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8</w:t>
            </w:r>
            <w:r>
              <w:rPr>
                <w:b w:val="0"/>
                <w:i w:val="0"/>
              </w:rPr>
              <w:t>: ophthalmic drugs (this section), ear, nose and throat drugs (section 2), antihypertensives (section 3), the lipid-lowering drugs (section 4) and myocardial ischemia drug therapy (section 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val="0"/>
          <w:i w:val="0"/>
        </w:rPr>
        <w:t>Also tested</w:t>
      </w:r>
    </w:p>
    <w:p>
      <w:pPr>
        <w:pStyle w:val="ListBullet"/>
        <w:spacing w:after="40"/>
      </w:pPr>
      <w:r>
        <w:rPr>
          <w:b/>
          <w:i w:val="0"/>
          <w:sz w:val="20"/>
        </w:rPr>
        <w:t>Prodrugs in the eye.</w:t>
      </w:r>
      <w:r>
        <w:rPr>
          <w:b w:val="0"/>
          <w:i w:val="0"/>
          <w:sz w:val="20"/>
        </w:rPr>
        <w:t xml:space="preserve"> The eye metabolizes some drugs, which is exploited deliberately: dipivefrin becomes epinephrine and latanoprost becomes prostaglandin F2-alpha once inside.</w:t>
      </w:r>
    </w:p>
    <w:p>
      <w:pPr>
        <w:pStyle w:val="ListBullet"/>
        <w:spacing w:after="40"/>
      </w:pPr>
      <w:r>
        <w:rPr>
          <w:b/>
          <w:i w:val="0"/>
          <w:sz w:val="20"/>
        </w:rPr>
        <w:t>Blocking the tear ducts.</w:t>
      </w:r>
      <w:r>
        <w:rPr>
          <w:b w:val="0"/>
          <w:i w:val="0"/>
          <w:sz w:val="20"/>
        </w:rPr>
        <w:t xml:space="preserve"> Silicone plugs or cautery increase absorption because it stops the drop draining away; nasolacrimal drainage removes drug from the eye and sends it systemically.</w:t>
      </w:r>
    </w:p>
    <w:p>
      <w:pPr>
        <w:pStyle w:val="ListBullet"/>
        <w:spacing w:after="40"/>
      </w:pPr>
      <w:r>
        <w:rPr>
          <w:b/>
          <w:i w:val="0"/>
          <w:sz w:val="20"/>
        </w:rPr>
        <w:t>Intravitreal delivery.</w:t>
      </w:r>
      <w:r>
        <w:rPr>
          <w:b w:val="0"/>
          <w:i w:val="0"/>
          <w:sz w:val="20"/>
        </w:rPr>
        <w:t xml:space="preserve"> Intravitreal injection or device circumvents absorption entirely for an immediate local effect; it is used for endophthalmitis, retinitis and age-related macular degeneration, and its limitation is retinal toxicity.</w:t>
      </w:r>
    </w:p>
    <w:p>
      <w:pPr>
        <w:pStyle w:val="ListBullet"/>
        <w:spacing w:after="40"/>
      </w:pPr>
      <w:r>
        <w:rPr>
          <w:b/>
          <w:i w:val="0"/>
          <w:sz w:val="20"/>
        </w:rPr>
        <w:t>Intravitreal treatment of endophthalmitis.</w:t>
      </w:r>
      <w:r>
        <w:rPr>
          <w:b w:val="0"/>
          <w:i w:val="0"/>
          <w:sz w:val="20"/>
        </w:rPr>
        <w:t xml:space="preserve"> Intravitreal injection or device circumvents absorption entirely for an immediate local effect, with a potential sustained effect too; its limitation is retinal toxicity.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val="0"/>
          <w:i w:val="0"/>
        </w:rPr>
        <w:t>Also tested</w:t>
      </w:r>
    </w:p>
    <w:p>
      <w:pPr>
        <w:pStyle w:val="ListBullet"/>
        <w:spacing w:after="40"/>
      </w:pPr>
      <w:r>
        <w:rPr>
          <w:b/>
          <w:i w:val="0"/>
          <w:sz w:val="20"/>
        </w:rPr>
        <w:t>Changing spectrum of ocular infection.</w:t>
      </w:r>
      <w:r>
        <w:rPr>
          <w:b w:val="0"/>
          <w:i w:val="0"/>
          <w:sz w:val="20"/>
        </w:rPr>
        <w:t xml:space="preserve"> The spectrum is not fixed; for example, </w:t>
      </w:r>
      <w:r>
        <w:rPr>
          <w:b w:val="0"/>
          <w:i/>
          <w:sz w:val="20"/>
        </w:rPr>
        <w:t>Haemophilus influenzae</w:t>
      </w:r>
      <w:r>
        <w:rPr>
          <w:b w:val="0"/>
          <w:i w:val="0"/>
          <w:sz w:val="20"/>
        </w:rPr>
        <w:t xml:space="preserve"> fell after vaccination was introduced, which changes what empiric therapy has to cover.</w:t>
      </w:r>
    </w:p>
    <w:p>
      <w:pPr>
        <w:pStyle w:val="ListBullet"/>
        <w:spacing w:after="40"/>
      </w:pPr>
      <w:r>
        <w:rPr>
          <w:b/>
          <w:i w:val="0"/>
          <w:sz w:val="20"/>
        </w:rPr>
        <w:t>Bacterial conjunctivitis in contact lens wearers.</w:t>
      </w:r>
      <w:r>
        <w:rPr>
          <w:b w:val="0"/>
          <w:i w:val="0"/>
          <w:sz w:val="20"/>
        </w:rPr>
        <w:t xml:space="preserve"> With keratitis ruled out, a fluoroquinolone is preferred for Pseudomonas cover, since contact lens use raises the risk of </w:t>
      </w:r>
      <w:r>
        <w:rPr>
          <w:b w:val="0"/>
          <w:i/>
          <w:sz w:val="20"/>
        </w:rPr>
        <w:t>Pseudomonas aeruginosa</w:t>
      </w:r>
      <w:r>
        <w:rPr>
          <w:b w:val="0"/>
          <w:i w:val="0"/>
          <w:sz w:val="20"/>
        </w:rPr>
        <w:t>, a gram-negative rod. Fluoroquinolones are also preferred for corneal ulcers for the same reason.</w:t>
      </w:r>
    </w:p>
    <w:p>
      <w:pPr>
        <w:pStyle w:val="ListBullet"/>
        <w:spacing w:after="40"/>
      </w:pPr>
      <w:r>
        <w:rPr>
          <w:b/>
          <w:i w:val="0"/>
          <w:sz w:val="20"/>
        </w:rPr>
        <w:t>Aminoglycoside mechanism.</w:t>
      </w:r>
      <w:r>
        <w:rPr>
          <w:b w:val="0"/>
          <w:i w:val="0"/>
          <w:sz w:val="20"/>
        </w:rPr>
        <w:t xml:space="preserve"> Aminoglycosides such as gentamicin bind the 30S subunit to interfere with protein synthesis. Their ocular risk is corneal ulceration and reactive keratoconjunctivitis after several days.</w:t>
      </w:r>
    </w:p>
    <w:p>
      <w:pPr>
        <w:pStyle w:val="ListBullet"/>
        <w:spacing w:after="40"/>
      </w:pPr>
      <w:r>
        <w:rPr>
          <w:b/>
          <w:i w:val="0"/>
          <w:sz w:val="20"/>
        </w:rPr>
        <w:t>Fluoroquinolone mechanism.</w:t>
      </w:r>
      <w:r>
        <w:rPr>
          <w:b w:val="0"/>
          <w:i w:val="0"/>
          <w:sz w:val="20"/>
        </w:rPr>
        <w:t xml:space="preserve"> Fluoroquinolones such as moxifloxacin inhibit DNA gyrase and topoisomerase IV, so supercoiled DNA cannot relax and the double strand breaks.</w:t>
      </w:r>
    </w:p>
    <w:p>
      <w:pPr>
        <w:pStyle w:val="ListBullet"/>
        <w:spacing w:after="40"/>
      </w:pPr>
      <w:r>
        <w:rPr>
          <w:b/>
          <w:i w:val="0"/>
          <w:sz w:val="20"/>
        </w:rPr>
        <w:t>Ophthalmic antibiotic for corneal ulcers.</w:t>
      </w:r>
      <w:r>
        <w:rPr>
          <w:b w:val="0"/>
          <w:i w:val="0"/>
          <w:sz w:val="20"/>
        </w:rPr>
        <w:t xml:space="preserve"> Fluoroquinolones such as moxifloxacin are preferred for corneal ulcers or suspected Pseudomonas aeruginosa, though they are expensive and resistance is emerging.</w:t>
      </w:r>
    </w:p>
    <w:p>
      <w:pPr>
        <w:pStyle w:val="ListBullet"/>
        <w:spacing w:after="40"/>
      </w:pPr>
      <w:r>
        <w:rPr>
          <w:b/>
          <w:i w:val="0"/>
          <w:sz w:val="20"/>
        </w:rPr>
        <w:t>Aminoglycoside-specific ocular risk.</w:t>
      </w:r>
      <w:r>
        <w:rPr>
          <w:b w:val="0"/>
          <w:i w:val="0"/>
          <w:sz w:val="20"/>
        </w:rPr>
        <w:t xml:space="preserve"> Aminoglycosides such as tobramycin carry a risk of corneal ulceration and reactive keratoconjunctivitis after several days of use.</w:t>
      </w:r>
    </w:p>
    <w:p>
      <w:pPr>
        <w:pStyle w:val="ListBullet"/>
        <w:spacing w:after="40"/>
      </w:pPr>
      <w:r>
        <w:rPr>
          <w:b/>
          <w:i w:val="0"/>
          <w:sz w:val="20"/>
        </w:rPr>
        <w:t>Fluoroquinolone taste.</w:t>
      </w:r>
      <w:r>
        <w:rPr>
          <w:b w:val="0"/>
          <w:i w:val="0"/>
          <w:sz w:val="20"/>
        </w:rPr>
        <w:t xml:space="preserve"> Fluoroquinolones such as levofloxacin can cause an unpleasant taste after instillation, reflecting nasolacrimal drainage carrying drug to the throat.</w:t>
      </w:r>
    </w:p>
    <w:p>
      <w:pPr>
        <w:pStyle w:val="ListBullet"/>
        <w:spacing w:after="40"/>
      </w:pPr>
      <w:r>
        <w:rPr>
          <w:b/>
          <w:i w:val="0"/>
          <w:sz w:val="20"/>
        </w:rPr>
        <w:t>Fluoroquinolone for contact lens wearers.</w:t>
      </w:r>
      <w:r>
        <w:rPr>
          <w:b w:val="0"/>
          <w:i w:val="0"/>
          <w:sz w:val="20"/>
        </w:rPr>
        <w:t xml:space="preserve"> A fluoroquinolone is chosen for purulent conjunctivitis in a contact lens wearer once keratitis is excluded, because lens wearers are at high risk for Pseudomonas. The same class is preferred for corneal ulcers.</w:t>
      </w:r>
    </w:p>
    <w:p>
      <w:pPr>
        <w:pStyle w:val="ListBullet"/>
        <w:spacing w:after="40"/>
      </w:pPr>
      <w:r>
        <w:rPr>
          <w:b/>
          <w:i w:val="0"/>
          <w:sz w:val="20"/>
        </w:rPr>
        <w:t>Macrolide mechanism.</w:t>
      </w:r>
      <w:r>
        <w:rPr>
          <w:b w:val="0"/>
          <w:i w:val="0"/>
          <w:sz w:val="20"/>
        </w:rPr>
        <w:t xml:space="preserve"> Erythromycin ointment and azithromycin solution act by inhibition of protein synthesis at the 50S ribosomal subunit, blocking transpeptidation so RNA-dependent protein synthesis stops.</w:t>
      </w:r>
    </w:p>
    <w:p>
      <w:pPr>
        <w:pStyle w:val="ListBullet"/>
        <w:spacing w:after="40"/>
      </w:pPr>
      <w:r>
        <w:rPr>
          <w:b/>
          <w:i w:val="0"/>
          <w:sz w:val="20"/>
        </w:rPr>
        <w:t>Goal in infectious conjunctivitis.</w:t>
      </w:r>
      <w:r>
        <w:rPr>
          <w:b w:val="0"/>
          <w:i w:val="0"/>
          <w:sz w:val="20"/>
        </w:rPr>
        <w:t xml:space="preserve"> Treatment aims to eradicate the infection and prevent long-term complications.</w:t>
      </w:r>
    </w:p>
    <w:p>
      <w:pPr>
        <w:pStyle w:val="ListBullet"/>
        <w:spacing w:after="40"/>
      </w:pPr>
      <w:r>
        <w:rPr>
          <w:b/>
          <w:i w:val="0"/>
          <w:sz w:val="20"/>
        </w:rPr>
        <w:t>Topical ocular antibiotics.</w:t>
      </w:r>
      <w:r>
        <w:rPr>
          <w:b w:val="0"/>
          <w:i w:val="0"/>
          <w:sz w:val="20"/>
        </w:rPr>
        <w:t xml:space="preserve"> They give very high local concentrations at the eye that an intravenous drug cannot, but more involved infection still needs systemic therapy.</w:t>
      </w:r>
    </w:p>
    <w:p>
      <w:pPr>
        <w:pStyle w:val="ListBullet"/>
        <w:spacing w:after="40"/>
      </w:pPr>
      <w:r>
        <w:rPr>
          <w:b/>
          <w:i w:val="0"/>
          <w:sz w:val="20"/>
        </w:rPr>
        <w:t>Azithromycin versus erythromycin eye preparations.</w:t>
      </w:r>
      <w:r>
        <w:rPr>
          <w:b w:val="0"/>
          <w:i w:val="0"/>
          <w:sz w:val="20"/>
        </w:rPr>
        <w:t xml:space="preserve"> Azithromycin solution is dosed twice daily, against four or more times a day for erythromycin ointment, which helps compliance, but azithromycin is considerably more expensive, so erythromycin remains the common choice.</w:t>
      </w:r>
    </w:p>
    <w:p>
      <w:pPr>
        <w:pStyle w:val="ListBullet"/>
        <w:spacing w:after="40"/>
      </w:pPr>
      <w:r>
        <w:rPr>
          <w:b/>
          <w:i w:val="0"/>
          <w:sz w:val="20"/>
        </w:rPr>
        <w:t>Ophthalmia neonatorum prophylaxis.</w:t>
      </w:r>
      <w:r>
        <w:rPr>
          <w:b w:val="0"/>
          <w:i w:val="0"/>
          <w:sz w:val="20"/>
        </w:rPr>
        <w:t xml:space="preserve"> Erythromycin, as the 0.5% ointment, is the ophthalmic antibiotic used for newborn prophylaxis and for superficial conjunctival or corneal infection.</w:t>
      </w:r>
    </w:p>
    <w:p>
      <w:pPr>
        <w:pStyle w:val="ListBullet"/>
        <w:spacing w:after="40"/>
      </w:pPr>
      <w:r>
        <w:rPr>
          <w:b/>
          <w:i w:val="0"/>
          <w:sz w:val="20"/>
        </w:rPr>
        <w:t>Azithromycin ophthalmic use.</w:t>
      </w:r>
      <w:r>
        <w:rPr>
          <w:b w:val="0"/>
          <w:i w:val="0"/>
          <w:sz w:val="20"/>
        </w:rPr>
        <w:t xml:space="preserve"> Azithromycin is considerably more expensive and given less frequently (twice a day against four or more times for erythromycin), but the cost keeps it from being used as often clinically.</w:t>
      </w:r>
    </w:p>
    <w:p>
      <w:pPr>
        <w:pStyle w:val="ListBullet"/>
        <w:spacing w:after="40"/>
      </w:pPr>
      <w:r>
        <w:rPr>
          <w:b/>
          <w:i w:val="0"/>
          <w:sz w:val="20"/>
        </w:rPr>
        <w:t>Newborn ophthalmia neonatorum prophylaxis.</w:t>
      </w:r>
      <w:r>
        <w:rPr>
          <w:b w:val="0"/>
          <w:i w:val="0"/>
          <w:sz w:val="20"/>
        </w:rPr>
        <w:t xml:space="preserve"> Erythromycin ointment is the named agent for prophylaxis against ophthalmia neonatorum, and it is inexpensive.</w:t>
      </w:r>
    </w:p>
    <w:p>
      <w:pPr>
        <w:pStyle w:val="ListBullet"/>
        <w:spacing w:after="40"/>
      </w:pPr>
      <w:r>
        <w:rPr>
          <w:b/>
          <w:i w:val="0"/>
          <w:sz w:val="20"/>
        </w:rPr>
        <w:t>Fluoroquinolones for corneal ulcers and Pseudomonas.</w:t>
      </w:r>
      <w:r>
        <w:rPr>
          <w:b w:val="0"/>
          <w:i w:val="0"/>
          <w:sz w:val="20"/>
        </w:rPr>
        <w:t xml:space="preserve"> Fluoroquinolones, such as levofloxacin, are the preferred ophthalmic antibiotic class for corneal ulcers and suspected Pseudomonas aeruginosa; they are expensive and resistance is emerging.</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val="0"/>
          <w:i w:val="0"/>
        </w:rPr>
        <w:t>Also tested</w:t>
      </w:r>
    </w:p>
    <w:p>
      <w:pPr>
        <w:pStyle w:val="ListBullet"/>
        <w:spacing w:after="40"/>
      </w:pPr>
      <w:r>
        <w:rPr>
          <w:b/>
          <w:i w:val="0"/>
          <w:sz w:val="20"/>
        </w:rPr>
        <w:t>Adenoviral conjunctivitis.</w:t>
      </w:r>
      <w:r>
        <w:rPr>
          <w:b w:val="0"/>
          <w:i w:val="0"/>
          <w:sz w:val="20"/>
        </w:rPr>
        <w:t xml:space="preserve"> No antiviral is indicated; it runs its own course and irritation is relieved. The ocular antivirals exist for keratitis, herpes zoster ophthalmicus and retinitis.</w:t>
      </w:r>
    </w:p>
    <w:p>
      <w:pPr>
        <w:pStyle w:val="ListBullet"/>
        <w:spacing w:after="40"/>
      </w:pPr>
      <w:r>
        <w:rPr>
          <w:b/>
          <w:i w:val="0"/>
          <w:sz w:val="20"/>
        </w:rPr>
        <w:t>Risk factors for ophthalmic fungal infection.</w:t>
      </w:r>
      <w:r>
        <w:rPr>
          <w:b w:val="0"/>
          <w:i w:val="0"/>
          <w:sz w:val="20"/>
        </w:rPr>
        <w:t xml:space="preserve"> These are trauma, chronic ocular surface disease, contact lens wear and immunosuppression; topical corticosteroid use counts as immunosuppression and is the one a clinician can introduce by prescribing.</w:t>
      </w:r>
    </w:p>
    <w:p>
      <w:pPr>
        <w:pStyle w:val="ListBullet"/>
        <w:spacing w:after="40"/>
      </w:pPr>
      <w:r>
        <w:rPr>
          <w:b/>
          <w:i w:val="0"/>
          <w:sz w:val="20"/>
        </w:rPr>
        <w:t>Trifluridine adverse effect.</w:t>
      </w:r>
      <w:r>
        <w:rPr>
          <w:b w:val="0"/>
          <w:i w:val="0"/>
          <w:sz w:val="20"/>
        </w:rPr>
        <w:t xml:space="preserve"> Beyond ocular irritation, trifluridine specifically causes punctate keratopathy.</w:t>
      </w:r>
    </w:p>
    <w:p>
      <w:pPr>
        <w:pStyle w:val="ListBullet"/>
        <w:spacing w:after="40"/>
      </w:pPr>
      <w:r>
        <w:rPr>
          <w:b/>
          <w:i w:val="0"/>
          <w:sz w:val="20"/>
        </w:rPr>
        <w:t>Adenoviral conjunctivitis.</w:t>
      </w:r>
      <w:r>
        <w:rPr>
          <w:b w:val="0"/>
          <w:i w:val="0"/>
          <w:sz w:val="20"/>
        </w:rPr>
        <w:t xml:space="preserve"> There is no antiviral for it; it runs a self-limited course and is treated with symptomatic relief of irritation.</w:t>
      </w:r>
    </w:p>
    <w:p>
      <w:pPr>
        <w:pStyle w:val="ListBullet"/>
        <w:spacing w:after="40"/>
      </w:pPr>
      <w:r>
        <w:rPr>
          <w:b/>
          <w:i w:val="0"/>
          <w:sz w:val="20"/>
        </w:rPr>
        <w:t>Fungal corneal infiltrate risk.</w:t>
      </w:r>
      <w:r>
        <w:rPr>
          <w:b w:val="0"/>
          <w:i w:val="0"/>
          <w:sz w:val="20"/>
        </w:rPr>
        <w:t xml:space="preserve"> Long-term topical steroid use most raises the risk; immunosuppression, including topical steroids, sits alongside trauma, chronic surface disease and contact lens wear.</w:t>
      </w:r>
    </w:p>
    <w:p>
      <w:pPr>
        <w:pStyle w:val="ListBullet"/>
        <w:spacing w:after="40"/>
      </w:pPr>
      <w:r>
        <w:rPr>
          <w:b/>
          <w:i w:val="0"/>
          <w:sz w:val="20"/>
        </w:rPr>
        <w:t>Adenoviral conjunctivitis.</w:t>
      </w:r>
      <w:r>
        <w:rPr>
          <w:b w:val="0"/>
          <w:i w:val="0"/>
          <w:sz w:val="20"/>
        </w:rPr>
        <w:t xml:space="preserve"> Adenoviral conjunctivitis runs a self-limited course and is treated with symptomatic relief of irritation; there is no antiviral for it, so supportive care is appropriate.</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val="0"/>
          <w:i w:val="0"/>
        </w:rPr>
        <w:t>Also tested</w:t>
      </w:r>
    </w:p>
    <w:p>
      <w:pPr>
        <w:pStyle w:val="ListBullet"/>
        <w:spacing w:after="40"/>
      </w:pPr>
      <w:r>
        <w:rPr>
          <w:b/>
          <w:i w:val="0"/>
          <w:sz w:val="20"/>
        </w:rPr>
        <w:t>Rebound hyperemia from ocular vasoconstrictors.</w:t>
      </w:r>
      <w:r>
        <w:rPr>
          <w:b w:val="0"/>
          <w:i w:val="0"/>
          <w:sz w:val="2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pStyle w:val="ListBullet"/>
        <w:spacing w:after="40"/>
      </w:pPr>
      <w:r>
        <w:rPr>
          <w:b/>
          <w:i w:val="0"/>
          <w:sz w:val="20"/>
        </w:rPr>
        <w:t>Over-the-counter ocular vasoconstrictors.</w:t>
      </w:r>
      <w:r>
        <w:rPr>
          <w:b w:val="0"/>
          <w:i w:val="0"/>
          <w:sz w:val="20"/>
        </w:rPr>
        <w:t xml:space="preserve"> Use them for under two weeks because of rebound hyperemia, and see a provider if no better in 72 hours, since a red eye that is not improving may be more serious than allergy.</w:t>
      </w:r>
    </w:p>
    <w:p>
      <w:pPr>
        <w:pStyle w:val="ListBullet"/>
        <w:spacing w:after="40"/>
      </w:pPr>
      <w:r>
        <w:rPr>
          <w:b/>
          <w:i w:val="0"/>
          <w:sz w:val="20"/>
        </w:rPr>
        <w:t>Vasoconstrictor allergy drops.</w:t>
      </w:r>
      <w:r>
        <w:rPr>
          <w:b w:val="0"/>
          <w:i w:val="0"/>
          <w:sz w:val="20"/>
        </w:rPr>
        <w:t xml:space="preserve"> The vasoconstrictor activates alpha-adrenergic receptors on vessels, reducing conjunctival edema and redness. It treats the appearance rather than the allergy, so it is paired with an antihistamine in products such as Naphcon-A.</w:t>
      </w:r>
    </w:p>
    <w:p>
      <w:pPr>
        <w:pStyle w:val="ListBullet"/>
        <w:spacing w:after="40"/>
      </w:pPr>
      <w:r>
        <w:rPr>
          <w:b/>
          <w:i w:val="0"/>
          <w:sz w:val="20"/>
        </w:rPr>
        <w:t>Over-the-counter ocular antihistamine.</w:t>
      </w:r>
      <w:r>
        <w:rPr>
          <w:b w:val="0"/>
          <w:i w:val="0"/>
          <w:sz w:val="20"/>
        </w:rPr>
        <w:t xml:space="preserve"> Ketotifen is an ocular antihistamine available over the counter.</w:t>
      </w:r>
    </w:p>
    <w:p>
      <w:pPr>
        <w:pStyle w:val="ListBullet"/>
        <w:spacing w:after="40"/>
      </w:pPr>
      <w:r>
        <w:rPr>
          <w:b/>
          <w:i w:val="0"/>
          <w:sz w:val="20"/>
        </w:rPr>
        <w:t>Rebound hyperemia.</w:t>
      </w:r>
      <w:r>
        <w:rPr>
          <w:b w:val="0"/>
          <w:i w:val="0"/>
          <w:sz w:val="20"/>
        </w:rPr>
        <w:t xml:space="preserve"> Naphazoline, a topical vasoconstrictor eye drop, causes rebound hyperemia after discontinuation if used for too long. Nasal decongestant sprays share the risk.</w:t>
      </w:r>
    </w:p>
    <w:p>
      <w:pPr>
        <w:pStyle w:val="ListBullet"/>
        <w:spacing w:after="40"/>
      </w:pPr>
      <w:r>
        <w:rPr>
          <w:b/>
          <w:i w:val="0"/>
          <w:sz w:val="20"/>
        </w:rPr>
        <w:t>Vasoconstrictor eye drop duration.</w:t>
      </w:r>
      <w:r>
        <w:rPr>
          <w:b w:val="0"/>
          <w:i w:val="0"/>
          <w:sz w:val="20"/>
        </w:rPr>
        <w:t xml:space="preserve"> Use is for the short term, less than two weeks. Prolonged use leads to rebound hyperemia after the drops are stopped.</w:t>
      </w:r>
    </w:p>
    <w:p>
      <w:pPr>
        <w:pStyle w:val="ListBullet"/>
        <w:spacing w:after="40"/>
      </w:pPr>
      <w:r>
        <w:rPr>
          <w:b/>
          <w:i w:val="0"/>
          <w:sz w:val="20"/>
        </w:rPr>
        <w:t>Over-the-counter ophthalmic antihistamine.</w:t>
      </w:r>
      <w:r>
        <w:rPr>
          <w:b w:val="0"/>
          <w:i w:val="0"/>
          <w:sz w:val="20"/>
        </w:rPr>
        <w:t xml:space="preserve"> Ketotifen is the over-the-counter agent among the ophthalmic antihistamines.</w:t>
      </w:r>
    </w:p>
    <w:p>
      <w:pPr>
        <w:pStyle w:val="ListBullet"/>
        <w:spacing w:after="40"/>
      </w:pPr>
      <w:r>
        <w:rPr>
          <w:b/>
          <w:i w:val="0"/>
          <w:sz w:val="20"/>
        </w:rPr>
        <w:t>Ophthalmic antihistamines.</w:t>
      </w:r>
      <w:r>
        <w:rPr>
          <w:b w:val="0"/>
          <w:i w:val="0"/>
          <w:sz w:val="20"/>
        </w:rPr>
        <w:t xml:space="preserve"> Agents such as olopatadine have an onset within minutes, are dosed once or twice daily, and are typically preferred over mast cell stabilizers for ocular allergy.</w:t>
      </w:r>
    </w:p>
    <w:p>
      <w:pPr>
        <w:pStyle w:val="ListBullet"/>
        <w:spacing w:after="40"/>
      </w:pPr>
      <w:r>
        <w:rPr>
          <w:b/>
          <w:i w:val="0"/>
          <w:sz w:val="20"/>
        </w:rPr>
        <w:t>Antihistamine onset.</w:t>
      </w:r>
      <w:r>
        <w:rPr>
          <w:b w:val="0"/>
          <w:i w:val="0"/>
          <w:sz w:val="20"/>
        </w:rPr>
        <w:t xml:space="preserve"> An ophthalmic antihistamine acts within minutes, with fast onset but slower time to full efficacy. Allow two weeks to judge the full effect.</w:t>
      </w:r>
    </w:p>
    <w:p>
      <w:pPr>
        <w:pStyle w:val="ListBullet"/>
        <w:spacing w:after="40"/>
      </w:pPr>
      <w:r>
        <w:rPr>
          <w:b/>
          <w:i w:val="0"/>
          <w:sz w:val="20"/>
        </w:rPr>
        <w:t>Redness-relief drop duration.</w:t>
      </w:r>
      <w:r>
        <w:rPr>
          <w:b w:val="0"/>
          <w:i w:val="0"/>
          <w:sz w:val="20"/>
        </w:rPr>
        <w:t xml:space="preserve"> Use should be no more than two weeks. If there is no improvement within 72 hours, the patient should stop and be seen.</w:t>
      </w:r>
    </w:p>
    <w:p>
      <w:pPr>
        <w:pStyle w:val="ListBullet"/>
        <w:spacing w:after="40"/>
      </w:pPr>
      <w:r>
        <w:rPr>
          <w:b/>
          <w:i w:val="0"/>
          <w:sz w:val="20"/>
        </w:rPr>
        <w:t>No improvement with vasoconstrictor drops.</w:t>
      </w:r>
      <w:r>
        <w:rPr>
          <w:b w:val="0"/>
          <w:i w:val="0"/>
          <w:sz w:val="20"/>
        </w:rPr>
        <w:t xml:space="preserve"> No improvement within 72 hours is the trigger to stop the drop and see a provider, because something more serious may be going on.</w:t>
      </w:r>
    </w:p>
    <w:p>
      <w:pPr>
        <w:pStyle w:val="ListBullet"/>
        <w:spacing w:after="40"/>
      </w:pPr>
      <w:r>
        <w:rPr>
          <w:b/>
          <w:i w:val="0"/>
          <w:sz w:val="20"/>
        </w:rPr>
        <w:t>Rebound hyperemia counseling.</w:t>
      </w:r>
      <w:r>
        <w:rPr>
          <w:b w:val="0"/>
          <w:i w:val="0"/>
          <w:sz w:val="20"/>
        </w:rPr>
        <w:t xml:space="preserve"> Beyond about two weeks of daily redness-relief drops, stopping leaves the eye redder than it started. This is rebound hyperemia.</w:t>
      </w:r>
    </w:p>
    <w:p>
      <w:pPr>
        <w:pStyle w:val="ListBullet"/>
        <w:spacing w:after="40"/>
      </w:pPr>
      <w:r>
        <w:rPr>
          <w:b/>
          <w:i w:val="0"/>
          <w:sz w:val="20"/>
        </w:rPr>
        <w:t>Seasonal itchy, watery eyes.</w:t>
      </w:r>
      <w:r>
        <w:rPr>
          <w:b w:val="0"/>
          <w:i w:val="0"/>
          <w:sz w:val="20"/>
        </w:rPr>
        <w:t xml:space="preserve"> An ophthalmic antihistamine works within minutes and is typically preferred over mast cell stabilizers. Allow two weeks to judge full efficacy.</w:t>
      </w:r>
    </w:p>
    <w:p>
      <w:pPr>
        <w:pStyle w:val="ListBullet"/>
        <w:spacing w:after="40"/>
      </w:pPr>
      <w:r>
        <w:rPr>
          <w:b/>
          <w:i w:val="0"/>
          <w:sz w:val="20"/>
        </w:rPr>
        <w:t>Ocular H1 agents.</w:t>
      </w:r>
      <w:r>
        <w:rPr>
          <w:b w:val="0"/>
          <w:i w:val="0"/>
          <w:sz w:val="20"/>
        </w:rPr>
        <w:t xml:space="preserve"> They are not true antagonists but inverse agonists, still competing with histamine, so the effect depends on relative concentrations.</w:t>
      </w:r>
    </w:p>
    <w:p>
      <w:pPr>
        <w:pStyle w:val="ListBullet"/>
        <w:spacing w:after="40"/>
      </w:pPr>
      <w:r>
        <w:rPr>
          <w:b/>
          <w:i w:val="0"/>
          <w:sz w:val="20"/>
        </w:rPr>
        <w:t>Ocular antihistamine adverse effects.</w:t>
      </w:r>
      <w:r>
        <w:rPr>
          <w:b w:val="0"/>
          <w:i w:val="0"/>
          <w:sz w:val="20"/>
        </w:rPr>
        <w:t xml:space="preserve"> Along with irritation and headache, they cause increased ocular dryness, worth mentioning to a patient who already has dry eyes.</w:t>
      </w:r>
    </w:p>
    <w:p>
      <w:pPr>
        <w:pStyle w:val="ListBullet"/>
        <w:spacing w:after="40"/>
      </w:pPr>
      <w:r>
        <w:rPr>
          <w:b/>
          <w:i w:val="0"/>
          <w:sz w:val="20"/>
        </w:rPr>
        <w:t>Mast cell stabilizers.</w:t>
      </w:r>
      <w:r>
        <w:rPr>
          <w:b w:val="0"/>
          <w:i w:val="0"/>
          <w:sz w:val="20"/>
        </w:rPr>
        <w:t xml:space="preserve"> They are most useful in predictable seasonal allergy when the patient is intolerant of alternatives; their weaknesses are 5 to 14 days to full effect and often four times daily dosing.</w:t>
      </w:r>
    </w:p>
    <w:p>
      <w:pPr>
        <w:pStyle w:val="ListBullet"/>
        <w:spacing w:after="40"/>
      </w:pPr>
      <w:r>
        <w:rPr>
          <w:b/>
          <w:i w:val="0"/>
          <w:sz w:val="20"/>
        </w:rPr>
        <w:t>Topical ocular vasoconstrictors.</w:t>
      </w:r>
      <w:r>
        <w:rPr>
          <w:b w:val="0"/>
          <w:i w:val="0"/>
          <w:sz w:val="20"/>
        </w:rPr>
        <w:t xml:space="preserve"> Locally in the eye they act on alpha 1 receptors, which constrict the conjunctival vessels; systemically these imidazolines target alpha 2 instead, which is what makes an accidental ingestion dangerous.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val="0"/>
          <w:i w:val="0"/>
        </w:rPr>
        <w:t>Also tested</w:t>
      </w:r>
    </w:p>
    <w:p>
      <w:pPr>
        <w:pStyle w:val="ListBullet"/>
        <w:spacing w:after="40"/>
      </w:pPr>
      <w:r>
        <w:rPr>
          <w:b/>
          <w:i w:val="0"/>
          <w:sz w:val="20"/>
        </w:rPr>
        <w:t>Cyclosporine drops counseling.</w:t>
      </w:r>
      <w:r>
        <w:rPr>
          <w:b w:val="0"/>
          <w:i w:val="0"/>
          <w:sz w:val="20"/>
        </w:rPr>
        <w:t xml:space="preserve"> Warn patients about ocular burning, which occurs in roughly seventeen percent (about one in six), along with foreign body sensation and blurred vision; warning up front helps keep patients on a drug that takes time to work.</w:t>
      </w:r>
    </w:p>
    <w:p>
      <w:pPr>
        <w:pStyle w:val="ListBullet"/>
        <w:spacing w:after="40"/>
      </w:pPr>
      <w:r>
        <w:rPr>
          <w:b/>
          <w:i w:val="0"/>
          <w:sz w:val="20"/>
        </w:rPr>
        <w:t>Glucocorticoids in the late-phase allergic reaction.</w:t>
      </w:r>
      <w:r>
        <w:rPr>
          <w:b w:val="0"/>
          <w:i w:val="0"/>
          <w:sz w:val="20"/>
        </w:rPr>
        <w:t xml:space="preserve"> Glucocorticoids such as prednisolone suppress the late phase by inhibiting phospholipase A2, cutting off arachidonic acid derived mediators at source. They also inhibit fibrin and collagen deposition, reducing scar formation.</w:t>
      </w:r>
    </w:p>
    <w:p>
      <w:pPr>
        <w:pStyle w:val="ListBullet"/>
        <w:spacing w:after="40"/>
      </w:pPr>
      <w:r>
        <w:rPr>
          <w:b/>
          <w:i w:val="0"/>
          <w:sz w:val="20"/>
        </w:rPr>
        <w:t>Cyclosporine drops for dry eye.</w:t>
      </w:r>
      <w:r>
        <w:rPr>
          <w:b w:val="0"/>
          <w:i w:val="0"/>
          <w:sz w:val="2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ListBullet"/>
        <w:spacing w:after="40"/>
      </w:pPr>
      <w:r>
        <w:rPr>
          <w:b/>
          <w:i w:val="0"/>
          <w:sz w:val="20"/>
        </w:rPr>
        <w:t>Ocular nonsteroidal anti-inflammatory drugs in glaucoma.</w:t>
      </w:r>
      <w:r>
        <w:rPr>
          <w:b w:val="0"/>
          <w:i w:val="0"/>
          <w:sz w:val="20"/>
        </w:rPr>
        <w:t xml:space="preserve"> The adverse effect that matters most is a rise in intraocular pressure, which could undo glaucoma control; lacrimation, keratitis and irritation are the nuisance effects.</w:t>
      </w:r>
    </w:p>
    <w:p>
      <w:pPr>
        <w:pStyle w:val="ListBullet"/>
        <w:spacing w:after="40"/>
      </w:pPr>
      <w:r>
        <w:rPr>
          <w:b/>
          <w:i w:val="0"/>
          <w:sz w:val="20"/>
        </w:rPr>
        <w:t>Ocular nonsteroidals and glaucoma.</w:t>
      </w:r>
      <w:r>
        <w:rPr>
          <w:b w:val="0"/>
          <w:i w:val="0"/>
          <w:sz w:val="20"/>
        </w:rPr>
        <w:t xml:space="preserve"> A rise in intraocular pressure matters most in a patient watched for glaucoma, because the drug given for inflammation pushes the very pressure that glaucoma treatment exists to lower.</w:t>
      </w:r>
    </w:p>
    <w:p>
      <w:pPr>
        <w:pStyle w:val="ListBullet"/>
        <w:spacing w:after="40"/>
      </w:pPr>
      <w:r>
        <w:rPr>
          <w:b/>
          <w:i w:val="0"/>
          <w:sz w:val="20"/>
        </w:rPr>
        <w:t>Ophthalmic non-steroidal anti-inflammatories.</w:t>
      </w:r>
      <w:r>
        <w:rPr>
          <w:b w:val="0"/>
          <w:i w:val="0"/>
          <w:sz w:val="20"/>
        </w:rPr>
        <w:t xml:space="preserve"> Ketorolac blocks cyclooxygenase, stopping conversion of arachidonic acid to prostaglandins and thromboxanes; the mechanism is the same whether the drug is taken for a headache or put in the eye.</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val="0"/>
          <w:i w:val="0"/>
        </w:rPr>
        <w:t>Also tested</w:t>
      </w:r>
    </w:p>
    <w:p>
      <w:pPr>
        <w:pStyle w:val="ListBullet"/>
        <w:spacing w:after="40"/>
      </w:pPr>
      <w:r>
        <w:rPr>
          <w:b/>
          <w:i w:val="0"/>
          <w:sz w:val="20"/>
        </w:rPr>
        <w:t>Dorzolamide local effects.</w:t>
      </w:r>
      <w:r>
        <w:rPr>
          <w:b w:val="0"/>
          <w:i w:val="0"/>
          <w:sz w:val="20"/>
        </w:rPr>
        <w:t xml:space="preserve"> Bitter taste (about a quarter of patients) and stinging on instillation (about a third) are both common with this class. Warning patients in advance improves adherence.</w:t>
      </w:r>
    </w:p>
    <w:p>
      <w:pPr>
        <w:pStyle w:val="ListBullet"/>
        <w:spacing w:after="40"/>
      </w:pPr>
      <w:r>
        <w:rPr>
          <w:b/>
          <w:i w:val="0"/>
          <w:sz w:val="20"/>
        </w:rPr>
        <w:t>Systemic effects of timolol drops.</w:t>
      </w:r>
      <w:r>
        <w:rPr>
          <w:b w:val="0"/>
          <w:i w:val="0"/>
          <w:sz w:val="20"/>
        </w:rPr>
        <w:t xml:space="preserve"> Systemic beta blockade can occur from a drop, causing worsening heart failure, bradycardia, heart block and increased airway resistance.</w:t>
      </w:r>
    </w:p>
    <w:p>
      <w:pPr>
        <w:pStyle w:val="ListBullet"/>
        <w:spacing w:after="40"/>
      </w:pPr>
      <w:r>
        <w:rPr>
          <w:b/>
          <w:i w:val="0"/>
          <w:sz w:val="20"/>
        </w:rPr>
        <w:t>Glaucoma pressure target.</w:t>
      </w:r>
      <w:r>
        <w:rPr>
          <w:b w:val="0"/>
          <w:i w:val="0"/>
          <w:sz w:val="20"/>
        </w:rPr>
        <w:t xml:space="preserve"> The general goal is a 20 to 30 percent reduction in intraocular pressure, expressed as a proportion rather than an absolute number, to prevent progressive optic nerve damage with the fewest side effects.</w:t>
      </w:r>
    </w:p>
    <w:p>
      <w:pPr>
        <w:pStyle w:val="ListBullet"/>
        <w:spacing w:after="40"/>
      </w:pPr>
      <w:r>
        <w:rPr>
          <w:b/>
          <w:i w:val="0"/>
          <w:sz w:val="20"/>
        </w:rPr>
        <w:t>Combination therapy in glaucoma.</w:t>
      </w:r>
      <w:r>
        <w:rPr>
          <w:b w:val="0"/>
          <w:i w:val="0"/>
          <w:sz w:val="20"/>
        </w:rPr>
        <w:t xml:space="preserve"> More than one agent is often needed for targeting production and outflow together; combinations are synergistic and also cut the number of drops, which helps compliance.</w:t>
      </w:r>
    </w:p>
    <w:p>
      <w:pPr>
        <w:pStyle w:val="ListBullet"/>
        <w:spacing w:after="40"/>
      </w:pPr>
      <w:r>
        <w:rPr>
          <w:b/>
          <w:i w:val="0"/>
          <w:sz w:val="20"/>
        </w:rPr>
        <w:t>Ophthalmic alpha-2 agonists.</w:t>
      </w:r>
      <w:r>
        <w:rPr>
          <w:b w:val="0"/>
          <w:i w:val="0"/>
          <w:sz w:val="20"/>
        </w:rPr>
        <w:t xml:space="preserve"> They are contraindicated in children under two, from apnea risk.</w:t>
      </w:r>
    </w:p>
    <w:p>
      <w:pPr>
        <w:pStyle w:val="ListBullet"/>
        <w:spacing w:after="40"/>
      </w:pPr>
      <w:r>
        <w:rPr>
          <w:b/>
          <w:i w:val="0"/>
          <w:sz w:val="20"/>
        </w:rPr>
        <w:t>Pilocarpine in glaucoma.</w:t>
      </w:r>
      <w:r>
        <w:rPr>
          <w:b w:val="0"/>
          <w:i w:val="0"/>
          <w:sz w:val="20"/>
        </w:rPr>
        <w:t xml:space="preserve"> It lowers intraocular pressure because it activates muscarinic receptors on the ciliary muscle; contracting the muscle pulls on the trabecular meshwork and opens the drainage route.</w:t>
      </w:r>
    </w:p>
    <w:p>
      <w:pPr>
        <w:pStyle w:val="ListBullet"/>
        <w:spacing w:after="40"/>
      </w:pPr>
      <w:r>
        <w:rPr>
          <w:b/>
          <w:i w:val="0"/>
          <w:sz w:val="20"/>
        </w:rPr>
        <w:t>Adding a second glaucoma agent.</w:t>
      </w:r>
      <w:r>
        <w:rPr>
          <w:b w:val="0"/>
          <w:i w:val="0"/>
          <w:sz w:val="20"/>
        </w:rPr>
        <w:t xml:space="preserve"> Choose a different mechanism, for synergy and fewer drops: targeting multiple routes lowers pressure synergistically, and fewer drops improves compliance. Adding a drug of the same category is the wrong move.</w:t>
      </w:r>
    </w:p>
    <w:p>
      <w:pPr>
        <w:pStyle w:val="ListBullet"/>
        <w:spacing w:after="40"/>
      </w:pPr>
      <w:r>
        <w:rPr>
          <w:b/>
          <w:i w:val="0"/>
          <w:sz w:val="20"/>
        </w:rPr>
        <w:t>Glaucoma therapy goal.</w:t>
      </w:r>
      <w:r>
        <w:rPr>
          <w:b w:val="0"/>
          <w:i w:val="0"/>
          <w:sz w:val="20"/>
        </w:rPr>
        <w:t xml:space="preserve"> The general goal is a 20 to 30 percent reduction in pressure, and therapy can be started in one eye to judge efficacy and tolerability.</w:t>
      </w:r>
    </w:p>
    <w:p>
      <w:pPr>
        <w:pStyle w:val="ListBullet"/>
        <w:spacing w:after="40"/>
      </w:pPr>
      <w:r>
        <w:rPr>
          <w:b/>
          <w:i w:val="0"/>
          <w:sz w:val="20"/>
        </w:rPr>
        <w:t>Routes of lowering intraocular pressure.</w:t>
      </w:r>
      <w:r>
        <w:rPr>
          <w:b w:val="0"/>
          <w:i w:val="0"/>
          <w:sz w:val="20"/>
        </w:rPr>
        <w:t xml:space="preserve"> Brimonidine, an alpha adrenergic agonist, both increases outflow and decreases production; prostaglandins and cholinergics increase outflow, while beta blockers and carbonic anhydrase inhibitors decrease production.</w:t>
      </w:r>
    </w:p>
    <w:p>
      <w:pPr>
        <w:pStyle w:val="ListBullet"/>
        <w:spacing w:after="40"/>
      </w:pPr>
      <w:r>
        <w:rPr>
          <w:b/>
          <w:i w:val="0"/>
          <w:sz w:val="20"/>
        </w:rPr>
        <w:t>Prostaglandin analog cosmetic effects.</w:t>
      </w:r>
      <w:r>
        <w:rPr>
          <w:b w:val="0"/>
          <w:i w:val="0"/>
          <w:sz w:val="20"/>
        </w:rPr>
        <w:t xml:space="preserve"> Warn about longer lashes and iris color change, which matter more when only one eye is treated; conjunctival hyperemia is common too.</w:t>
      </w:r>
    </w:p>
    <w:p>
      <w:pPr>
        <w:pStyle w:val="ListBullet"/>
        <w:spacing w:after="40"/>
      </w:pPr>
      <w:r>
        <w:rPr>
          <w:b/>
          <w:i w:val="0"/>
          <w:sz w:val="20"/>
        </w:rPr>
        <w:t>Raised pressure in glaucoma.</w:t>
      </w:r>
      <w:r>
        <w:rPr>
          <w:b w:val="0"/>
          <w:i w:val="0"/>
          <w:sz w:val="20"/>
        </w:rPr>
        <w:t xml:space="preserve"> Treat those with risk factors; monitor those without. Raised pressure alone is not automatically a prescription, and in the absence of risk factors you watch for the change that would make it a disease.</w:t>
      </w:r>
    </w:p>
    <w:p>
      <w:pPr>
        <w:pStyle w:val="ListBullet"/>
        <w:spacing w:after="40"/>
      </w:pPr>
      <w:r>
        <w:rPr>
          <w:b/>
          <w:i w:val="0"/>
          <w:sz w:val="20"/>
        </w:rPr>
        <w:t>Topical ophthalmic beta blocker.</w:t>
      </w:r>
      <w:r>
        <w:rPr>
          <w:b w:val="0"/>
          <w:i w:val="0"/>
          <w:sz w:val="20"/>
        </w:rPr>
        <w:t xml:space="preserve"> It can produce systemic bradycardia, heart block and bronchoconstriction, because nasolacrimal absorption avoids first-pass metabolism, so a topical beta blocker can do everything a systemic one does.</w:t>
      </w:r>
    </w:p>
    <w:p>
      <w:pPr>
        <w:pStyle w:val="ListBullet"/>
        <w:spacing w:after="40"/>
      </w:pPr>
      <w:r>
        <w:rPr>
          <w:b/>
          <w:i w:val="0"/>
          <w:sz w:val="20"/>
        </w:rPr>
        <w:t>Nonselective beta blocker in the eye.</w:t>
      </w:r>
      <w:r>
        <w:rPr>
          <w:b w:val="0"/>
          <w:i w:val="0"/>
          <w:sz w:val="20"/>
        </w:rPr>
        <w:t xml:space="preserve"> It is more efficacious but worse tolerated because there are more beta 2 receptors in the eye; blocking both gives more effect, at the cost of beta 2 effects elsewhere.</w:t>
      </w:r>
    </w:p>
    <w:p>
      <w:pPr>
        <w:pStyle w:val="ListBullet"/>
        <w:spacing w:after="40"/>
      </w:pPr>
      <w:r>
        <w:rPr>
          <w:b/>
          <w:i w:val="0"/>
          <w:sz w:val="20"/>
        </w:rPr>
        <w:t>Latanoprost twice daily.</w:t>
      </w:r>
      <w:r>
        <w:rPr>
          <w:b w:val="0"/>
          <w:i w:val="0"/>
          <w:sz w:val="20"/>
        </w:rPr>
        <w:t xml:space="preserve"> Using latanoprost twice daily does not lower pressure further; it inhibits the effect, which is counterintuitive.</w:t>
      </w:r>
    </w:p>
    <w:p>
      <w:pPr>
        <w:pStyle w:val="ListBullet"/>
        <w:spacing w:after="40"/>
      </w:pPr>
      <w:r>
        <w:rPr>
          <w:b/>
          <w:i w:val="0"/>
          <w:sz w:val="20"/>
        </w:rPr>
        <w:t>Topical beta blocker in a patient with asthma.</w:t>
      </w:r>
      <w:r>
        <w:rPr>
          <w:b w:val="0"/>
          <w:i w:val="0"/>
          <w:sz w:val="20"/>
        </w:rPr>
        <w:t xml:space="preserve"> Betaxolol is safer because it is beta-1 selective; beta-2 receptors mediate bronchodilation, so blocking them raises airway resistance. Carteolol, timolol and levobunolol are non-selective.</w:t>
      </w:r>
    </w:p>
    <w:p>
      <w:pPr>
        <w:pStyle w:val="ListBullet"/>
        <w:spacing w:after="40"/>
      </w:pPr>
      <w:r>
        <w:rPr>
          <w:b/>
          <w:i w:val="0"/>
          <w:sz w:val="20"/>
        </w:rPr>
        <w:t>Beta blocker for migraine prophylaxis.</w:t>
      </w:r>
      <w:r>
        <w:rPr>
          <w:b w:val="0"/>
          <w:i w:val="0"/>
          <w:sz w:val="20"/>
        </w:rPr>
        <w:t xml:space="preserve"> Propranolol (with timolol) is used for migraine prophylaxis at low dose; the mechanism is uncertain.</w:t>
      </w:r>
    </w:p>
    <w:p>
      <w:pPr>
        <w:pStyle w:val="ListBullet"/>
        <w:spacing w:after="40"/>
      </w:pPr>
      <w:r>
        <w:rPr>
          <w:b/>
          <w:i w:val="0"/>
          <w:sz w:val="20"/>
        </w:rPr>
        <w:t>Cholinergic agonist in the surgical setting.</w:t>
      </w:r>
      <w:r>
        <w:rPr>
          <w:b w:val="0"/>
          <w:i w:val="0"/>
          <w:sz w:val="20"/>
        </w:rPr>
        <w:t xml:space="preserve"> Acetylcholine is the surgical agent among the three cholinergic agonists.</w:t>
      </w:r>
    </w:p>
    <w:p>
      <w:pPr>
        <w:pStyle w:val="ListBullet"/>
        <w:spacing w:after="40"/>
      </w:pPr>
      <w:r>
        <w:rPr>
          <w:b/>
          <w:i w:val="0"/>
          <w:sz w:val="20"/>
        </w:rPr>
        <w:t>Pilocarpine in younger patients.</w:t>
      </w:r>
      <w:r>
        <w:rPr>
          <w:b w:val="0"/>
          <w:i w:val="0"/>
          <w:sz w:val="20"/>
        </w:rPr>
        <w:t xml:space="preserve"> Pilocarpine is particularly poorly tolerated in younger patients because miosis blurs vision: fixed small pupils, myopia and visual disturbance, and compliance suffers for it.</w:t>
      </w:r>
    </w:p>
    <w:p>
      <w:pPr>
        <w:pStyle w:val="ListBullet"/>
        <w:spacing w:after="40"/>
      </w:pPr>
      <w:r>
        <w:rPr>
          <w:b/>
          <w:i w:val="0"/>
          <w:sz w:val="20"/>
        </w:rPr>
        <w:t>Adding a second glaucoma drug.</w:t>
      </w:r>
      <w:r>
        <w:rPr>
          <w:b w:val="0"/>
          <w:i w:val="0"/>
          <w:sz w:val="20"/>
        </w:rPr>
        <w:t xml:space="preserve"> When pressure is not controlled on one agent, add a drug with a different mechanism: targeting a different route lowers pressure additively, and fixed combinations can then cut the number of drops.</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spacing w:after="120"/>
      </w:pPr>
      <w:r>
        <w:rPr>
          <w:b w:val="0"/>
          <w:i w:val="0"/>
        </w:rPr>
        <w:t>Also tested</w:t>
      </w:r>
    </w:p>
    <w:p>
      <w:pPr>
        <w:pStyle w:val="ListBullet"/>
        <w:spacing w:after="40"/>
      </w:pPr>
      <w:r>
        <w:rPr>
          <w:b/>
          <w:i w:val="0"/>
          <w:sz w:val="20"/>
        </w:rPr>
        <w:t>Mydriatic anticholinergics.</w:t>
      </w:r>
      <w:r>
        <w:rPr>
          <w:b w:val="0"/>
          <w:i w:val="0"/>
          <w:sz w:val="20"/>
        </w:rPr>
        <w:t xml:space="preserve"> Atropine, cyclopentolate and tropicamide produce mydriasis because they competitively block muscarinic acetylcholine receptors, the opposite of pilocarpine's action.</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val="0"/>
          <w:i w:val="0"/>
        </w:rPr>
        <w:t>Also tested</w:t>
      </w:r>
    </w:p>
    <w:p>
      <w:pPr>
        <w:pStyle w:val="ListBullet"/>
        <w:spacing w:after="40"/>
      </w:pPr>
      <w:r>
        <w:rPr>
          <w:b/>
          <w:i w:val="0"/>
          <w:sz w:val="20"/>
        </w:rPr>
        <w:t>Lacrimal duct occlusion.</w:t>
      </w:r>
      <w:r>
        <w:rPr>
          <w:b w:val="0"/>
          <w:i w:val="0"/>
          <w:sz w:val="20"/>
        </w:rPr>
        <w:t xml:space="preserve"> After a drop, occluding the duct limits nasolacrimal drainage and the systemic absorption that follows it. An ointment is too viscous to drain away, so there is nothing to block.</w:t>
      </w:r>
    </w:p>
    <w:p>
      <w:pPr>
        <w:pStyle w:val="ListBullet"/>
        <w:spacing w:after="40"/>
      </w:pPr>
      <w:r>
        <w:rPr>
          <w:b/>
          <w:i w:val="0"/>
          <w:sz w:val="20"/>
        </w:rPr>
        <w:t>Instilling an eye drop.</w:t>
      </w:r>
      <w:r>
        <w:rPr>
          <w:b w:val="0"/>
          <w:i w:val="0"/>
          <w:sz w:val="20"/>
        </w:rPr>
        <w:t xml:space="preserve"> The single most important step is washing the hands thoroughly with soap and water, before anything else; the dropper must then not touch anything, so it stays sterile.</w:t>
      </w:r>
    </w:p>
    <w:p>
      <w:pPr>
        <w:pStyle w:val="ListBullet"/>
        <w:spacing w:after="40"/>
      </w:pPr>
      <w:r>
        <w:rPr>
          <w:b/>
          <w:i w:val="0"/>
          <w:sz w:val="20"/>
        </w:rPr>
        <w:t>Conjunctivitis in contact lens wearers.</w:t>
      </w:r>
      <w:r>
        <w:rPr>
          <w:b w:val="0"/>
          <w:i w:val="0"/>
          <w:sz w:val="20"/>
        </w:rPr>
        <w:t xml:space="preserve"> Stop wearing lenses and resume after 24 hours clear of inflammation, dealing with the lens itself; eye makeup should go too, since it is the other reservoir.</w:t>
      </w:r>
    </w:p>
    <w:p>
      <w:pPr>
        <w:pStyle w:val="ListBullet"/>
        <w:spacing w:after="40"/>
      </w:pPr>
      <w:r>
        <w:rPr>
          <w:b/>
          <w:i w:val="0"/>
          <w:sz w:val="20"/>
        </w:rPr>
        <w:t>Resuming lenses after conjunctivitis.</w:t>
      </w:r>
      <w:r>
        <w:rPr>
          <w:b w:val="0"/>
          <w:i w:val="0"/>
          <w:sz w:val="2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Infection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Step up / failure</w:t>
            </w:r>
          </w:p>
        </w:tc>
        <w:tc>
          <w:tcPr>
            <w:tcW w:type="dxa" w:w="3636"/>
            <w:shd w:val="clear" w:color="auto" w:fill="6B3524"/>
          </w:tcPr>
          <w:p>
            <w:pPr>
              <w:spacing w:after="40"/>
            </w:pPr>
            <w:r>
              <w:rPr>
                <w:b/>
                <w:color w:val="FFFFFF"/>
                <w:sz w:val="18"/>
              </w:rPr>
            </w:r>
            <w:r>
              <w:rPr>
                <w:b/>
                <w:i w:val="0"/>
                <w:color w:val="FFFFFF"/>
                <w:sz w:val="18"/>
              </w:rPr>
              <w:t>Penicillin allergy</w:t>
            </w:r>
          </w:p>
        </w:tc>
      </w:tr>
      <w:tr>
        <w:tc>
          <w:tcPr>
            <w:tcW w:type="dxa" w:w="3636"/>
          </w:tcPr>
          <w:p>
            <w:pPr>
              <w:spacing w:after="40"/>
            </w:pPr>
            <w:r>
              <w:rPr>
                <w:sz w:val="18"/>
              </w:rPr>
            </w:r>
            <w:r>
              <w:rPr>
                <w:b w:val="0"/>
                <w:i w:val="0"/>
                <w:sz w:val="18"/>
              </w:rPr>
              <w:t>Acute otitis media</w:t>
            </w:r>
          </w:p>
        </w:tc>
        <w:tc>
          <w:tcPr>
            <w:tcW w:type="dxa" w:w="363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363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363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3636"/>
          </w:tcPr>
          <w:p>
            <w:pPr>
              <w:spacing w:after="40"/>
            </w:pPr>
            <w:r>
              <w:rPr>
                <w:sz w:val="18"/>
              </w:rPr>
            </w:r>
            <w:r>
              <w:rPr>
                <w:b w:val="0"/>
                <w:i w:val="0"/>
                <w:sz w:val="18"/>
              </w:rPr>
              <w:t>Acute bacterial rhinosinusitis</w:t>
            </w:r>
          </w:p>
        </w:tc>
        <w:tc>
          <w:tcPr>
            <w:tcW w:type="dxa" w:w="363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3636"/>
          </w:tcPr>
          <w:p>
            <w:pPr>
              <w:spacing w:after="40"/>
            </w:pPr>
            <w:r>
              <w:rPr>
                <w:sz w:val="18"/>
              </w:rPr>
            </w:r>
            <w:r>
              <w:rPr>
                <w:b w:val="0"/>
                <w:i w:val="0"/>
                <w:sz w:val="18"/>
              </w:rPr>
              <w:t>Saline irrigation can help alongside</w:t>
            </w:r>
          </w:p>
        </w:tc>
        <w:tc>
          <w:tcPr>
            <w:tcW w:type="dxa" w:w="363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3636"/>
          </w:tcPr>
          <w:p>
            <w:pPr>
              <w:spacing w:after="40"/>
            </w:pPr>
            <w:r>
              <w:rPr>
                <w:sz w:val="18"/>
              </w:rPr>
            </w:r>
            <w:r>
              <w:rPr>
                <w:b w:val="0"/>
                <w:i w:val="0"/>
                <w:sz w:val="18"/>
              </w:rPr>
              <w:t>Acute pharyngitis (group A strep)</w:t>
            </w:r>
          </w:p>
        </w:tc>
        <w:tc>
          <w:tcPr>
            <w:tcW w:type="dxa" w:w="363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val="0"/>
          <w:i w:val="0"/>
        </w:rPr>
        <w:t>Also tested</w:t>
      </w:r>
    </w:p>
    <w:p>
      <w:pPr>
        <w:pStyle w:val="ListBullet"/>
        <w:spacing w:after="40"/>
      </w:pPr>
      <w:r>
        <w:rPr>
          <w:b/>
          <w:i w:val="0"/>
          <w:sz w:val="20"/>
        </w:rPr>
        <w:t>Acute otitis media after recent antibiotics.</w:t>
      </w:r>
      <w:r>
        <w:rPr>
          <w:b w:val="0"/>
          <w:i w:val="0"/>
          <w:sz w:val="20"/>
        </w:rPr>
        <w:t xml:space="preserve"> In a child who finished antibiotics recently, amoxicillin-clavulanate is used instead, because recent exposure selects for beta-lactamase producers, which the clavulanate covers.</w:t>
      </w:r>
    </w:p>
    <w:p>
      <w:pPr>
        <w:pStyle w:val="ListBullet"/>
        <w:spacing w:after="40"/>
      </w:pPr>
      <w:r>
        <w:rPr>
          <w:b/>
          <w:i w:val="0"/>
          <w:sz w:val="20"/>
        </w:rPr>
        <w:t>Acute otitis media without recent antibiotics.</w:t>
      </w:r>
      <w:r>
        <w:rPr>
          <w:b w:val="0"/>
          <w:i w:val="0"/>
          <w:sz w:val="20"/>
        </w:rPr>
        <w:t xml:space="preserve"> Amoxicillin, at a high dose, is the mainstay and first line; the high dose is what overcomes the resistant pneumococcus.</w:t>
      </w:r>
    </w:p>
    <w:p>
      <w:pPr>
        <w:pStyle w:val="ListBullet"/>
        <w:spacing w:after="40"/>
      </w:pPr>
      <w:r>
        <w:rPr>
          <w:b/>
          <w:i w:val="0"/>
          <w:sz w:val="20"/>
        </w:rPr>
        <w:t>Viral acute otitis media.</w:t>
      </w:r>
      <w:r>
        <w:rPr>
          <w:b w:val="0"/>
          <w:i w:val="0"/>
          <w:sz w:val="20"/>
        </w:rPr>
        <w:t xml:space="preserve"> Most cases are viral, or viral with bacteria alongside, which is one reason antibiotics are not automatic in every case.</w:t>
      </w:r>
    </w:p>
    <w:p>
      <w:pPr>
        <w:pStyle w:val="ListBullet"/>
        <w:spacing w:after="40"/>
      </w:pPr>
      <w:r>
        <w:rPr>
          <w:b/>
          <w:i w:val="0"/>
          <w:sz w:val="20"/>
        </w:rPr>
        <w:t>Macrolides in acute otitis media.</w:t>
      </w:r>
      <w:r>
        <w:rPr>
          <w:b w:val="0"/>
          <w:i w:val="0"/>
          <w:sz w:val="20"/>
        </w:rPr>
        <w:t xml:space="preserve"> They remain an option for the penicillin-allergic patient but are a weak choice, because up to half of pneumococci are resistant to macrolides.</w:t>
      </w:r>
    </w:p>
    <w:p>
      <w:pPr>
        <w:pStyle w:val="ListBullet"/>
        <w:spacing w:after="40"/>
      </w:pPr>
      <w:r>
        <w:rPr>
          <w:b/>
          <w:i w:val="0"/>
          <w:sz w:val="20"/>
        </w:rPr>
        <w:t>Viral versus bacterial rhinosinusitis.</w:t>
      </w:r>
      <w:r>
        <w:rPr>
          <w:b w:val="0"/>
          <w:i w:val="0"/>
          <w:sz w:val="20"/>
        </w:rPr>
        <w:t xml:space="preserve"> Symptoms beyond ten days, or worsening after five to six days, decide that an antibiotic is given; the timeline does the work because nothing on examination reliably separates the two.</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The fact that names it</w:t>
            </w:r>
          </w:p>
        </w:tc>
      </w:tr>
      <w:tr>
        <w:tc>
          <w:tcPr>
            <w:tcW w:type="dxa" w:w="7272"/>
          </w:tcPr>
          <w:p>
            <w:pPr>
              <w:spacing w:after="40"/>
            </w:pPr>
            <w:r>
              <w:rPr>
                <w:sz w:val="18"/>
              </w:rPr>
            </w:r>
            <w:r>
              <w:rPr>
                <w:b w:val="0"/>
                <w:i w:val="0"/>
                <w:sz w:val="18"/>
              </w:rPr>
              <w:t>Neomycin</w:t>
            </w:r>
          </w:p>
        </w:tc>
        <w:tc>
          <w:tcPr>
            <w:tcW w:type="dxa" w:w="7272"/>
          </w:tcPr>
          <w:p>
            <w:pPr>
              <w:spacing w:after="40"/>
            </w:pPr>
            <w:r>
              <w:rPr>
                <w:sz w:val="18"/>
              </w:rPr>
            </w:r>
            <w:r>
              <w:rPr>
                <w:b w:val="0"/>
                <w:i w:val="0"/>
                <w:sz w:val="18"/>
              </w:rPr>
              <w:t xml:space="preserve">Chance of </w:t>
            </w:r>
            <w:r>
              <w:rPr>
                <w:b/>
                <w:i w:val="0"/>
                <w:sz w:val="18"/>
              </w:rPr>
              <w:t>hypersensitivity</w:t>
            </w:r>
          </w:p>
        </w:tc>
      </w:tr>
      <w:tr>
        <w:tc>
          <w:tcPr>
            <w:tcW w:type="dxa" w:w="7272"/>
          </w:tcPr>
          <w:p>
            <w:pPr>
              <w:spacing w:after="40"/>
            </w:pPr>
            <w:r>
              <w:rPr>
                <w:sz w:val="18"/>
              </w:rPr>
            </w:r>
            <w:r>
              <w:rPr>
                <w:b w:val="0"/>
                <w:i w:val="0"/>
                <w:sz w:val="18"/>
              </w:rPr>
              <w:t>Polymyxin B</w:t>
            </w:r>
          </w:p>
        </w:tc>
        <w:tc>
          <w:tcPr>
            <w:tcW w:type="dxa" w:w="727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7272"/>
          </w:tcPr>
          <w:p>
            <w:pPr>
              <w:spacing w:after="40"/>
            </w:pPr>
            <w:r>
              <w:rPr>
                <w:sz w:val="18"/>
              </w:rPr>
            </w:r>
            <w:r>
              <w:rPr>
                <w:b w:val="0"/>
                <w:i w:val="0"/>
                <w:sz w:val="18"/>
              </w:rPr>
              <w:t>Ciprofloxacin/dexamethasone</w:t>
            </w:r>
          </w:p>
        </w:tc>
        <w:tc>
          <w:tcPr>
            <w:tcW w:type="dxa" w:w="727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val="0"/>
          <w:i w:val="0"/>
        </w:rPr>
        <w:t>Also tested</w:t>
      </w:r>
    </w:p>
    <w:p>
      <w:pPr>
        <w:pStyle w:val="ListBullet"/>
        <w:spacing w:after="40"/>
      </w:pPr>
      <w:r>
        <w:rPr>
          <w:b/>
          <w:i w:val="0"/>
          <w:sz w:val="20"/>
        </w:rPr>
        <w:t>Otic anti-infectives.</w:t>
      </w:r>
      <w:r>
        <w:rPr>
          <w:b w:val="0"/>
          <w:i w:val="0"/>
          <w:sz w:val="20"/>
        </w:rPr>
        <w:t xml:space="preserve"> Available agents are ciprofloxacin, ofloxacin, and two steroid combinations: ciprofloxacin with dexamethasone, and neomycin with polymyxin B and hydrocortisone.</w:t>
      </w:r>
    </w:p>
    <w:p>
      <w:pPr>
        <w:pStyle w:val="ListBullet"/>
        <w:spacing w:after="40"/>
      </w:pPr>
      <w:r>
        <w:rPr>
          <w:b/>
          <w:i w:val="0"/>
          <w:sz w:val="20"/>
        </w:rPr>
        <w:t>Ear drops to avoid with a ruptured eardrum or tubes.</w:t>
      </w:r>
      <w:r>
        <w:rPr>
          <w:b w:val="0"/>
          <w:i w:val="0"/>
          <w:sz w:val="20"/>
        </w:rPr>
        <w:t xml:space="preserve"> The neomycin, polymyxin B and hydrocortisone drops are not recommended with a ruptured eardrum or tubes in place: the polymyxin B can reach the inner ear, causing cochlear damage and hearing loss.</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val="0"/>
          <w:i w:val="0"/>
        </w:rPr>
        <w:t>Also tested</w:t>
      </w:r>
    </w:p>
    <w:p>
      <w:pPr>
        <w:pStyle w:val="ListBullet"/>
        <w:spacing w:after="40"/>
      </w:pPr>
      <w:r>
        <w:rPr>
          <w:b/>
          <w:i w:val="0"/>
          <w:sz w:val="20"/>
        </w:rPr>
        <w:t>Settings for oral candidiasis.</w:t>
      </w:r>
      <w:r>
        <w:rPr>
          <w:b w:val="0"/>
          <w:i w:val="0"/>
          <w:sz w:val="20"/>
        </w:rPr>
        <w:t xml:space="preserve"> Oral candidiasis occurs with inhaled steroids, HIV infection and chemotherapy, which share suppressed local or general immunity.</w:t>
      </w:r>
    </w:p>
    <w:p>
      <w:pPr>
        <w:pStyle w:val="ListBullet"/>
        <w:spacing w:after="40"/>
      </w:pPr>
      <w:r>
        <w:rPr>
          <w:b/>
          <w:i w:val="0"/>
          <w:sz w:val="20"/>
        </w:rPr>
        <w:t>Nystatin.</w:t>
      </w:r>
      <w:r>
        <w:rPr>
          <w:b w:val="0"/>
          <w:i w:val="0"/>
          <w:sz w:val="20"/>
        </w:rPr>
        <w:t xml:space="preserve"> As a nonabsorbable antifungal it acts only where it touches and not elsewhere, which makes it well tolerated but unable to treat anything beyond the mucosa.</w:t>
      </w:r>
    </w:p>
    <w:p>
      <w:pPr>
        <w:pStyle w:val="ListBullet"/>
        <w:spacing w:after="40"/>
      </w:pPr>
      <w:r>
        <w:rPr>
          <w:b/>
          <w:i w:val="0"/>
          <w:sz w:val="20"/>
        </w:rPr>
        <w:t>Ketoconazole interactions.</w:t>
      </w:r>
      <w:r>
        <w:rPr>
          <w:b w:val="0"/>
          <w:i w:val="0"/>
          <w:sz w:val="2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Contraindication</w:t>
            </w:r>
          </w:p>
        </w:tc>
        <w:tc>
          <w:tcPr>
            <w:tcW w:type="dxa" w:w="7272"/>
            <w:shd w:val="clear" w:color="auto" w:fill="6B35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Bleeding disorders</w:t>
            </w:r>
          </w:p>
        </w:tc>
        <w:tc>
          <w:tcPr>
            <w:tcW w:type="dxa" w:w="7272"/>
          </w:tcPr>
          <w:p>
            <w:pPr>
              <w:spacing w:after="40"/>
            </w:pPr>
            <w:r>
              <w:rPr>
                <w:sz w:val="18"/>
              </w:rPr>
            </w:r>
            <w:r>
              <w:rPr>
                <w:b w:val="0"/>
                <w:i w:val="0"/>
                <w:sz w:val="18"/>
              </w:rPr>
              <w:t>Irreversible platelet inhibition</w:t>
            </w:r>
          </w:p>
        </w:tc>
      </w:tr>
      <w:tr>
        <w:tc>
          <w:tcPr>
            <w:tcW w:type="dxa" w:w="7272"/>
          </w:tcPr>
          <w:p>
            <w:pPr>
              <w:spacing w:after="40"/>
            </w:pPr>
            <w:r>
              <w:rPr>
                <w:sz w:val="18"/>
              </w:rPr>
            </w:r>
            <w:r>
              <w:rPr>
                <w:b w:val="0"/>
                <w:i w:val="0"/>
                <w:sz w:val="18"/>
              </w:rPr>
              <w:t>Pregnancy</w:t>
            </w:r>
          </w:p>
        </w:tc>
        <w:tc>
          <w:tcPr>
            <w:tcW w:type="dxa" w:w="7272"/>
          </w:tcPr>
          <w:p>
            <w:pPr>
              <w:spacing w:after="40"/>
            </w:pPr>
            <w:r>
              <w:rPr>
                <w:sz w:val="18"/>
              </w:rPr>
            </w:r>
            <w:r>
              <w:rPr>
                <w:b w:val="0"/>
                <w:i w:val="0"/>
                <w:sz w:val="18"/>
              </w:rPr>
              <w:t>Contraindicated, although very low doses may benefit hypertensive disorders of pregnancy (pre-eclampsia)</w:t>
            </w:r>
          </w:p>
        </w:tc>
      </w:tr>
      <w:tr>
        <w:tc>
          <w:tcPr>
            <w:tcW w:type="dxa" w:w="7272"/>
          </w:tcPr>
          <w:p>
            <w:pPr>
              <w:spacing w:after="40"/>
            </w:pPr>
            <w:r>
              <w:rPr>
                <w:sz w:val="18"/>
              </w:rPr>
            </w:r>
            <w:r>
              <w:rPr>
                <w:b/>
                <w:i w:val="0"/>
                <w:sz w:val="18"/>
              </w:rPr>
              <w:t>Children with fever from a viral illness</w:t>
            </w:r>
            <w:r>
              <w:rPr>
                <w:b w:val="0"/>
                <w:i w:val="0"/>
                <w:sz w:val="18"/>
              </w:rPr>
              <w:t xml:space="preserve"> (chickenpox, influenza)</w:t>
            </w:r>
          </w:p>
        </w:tc>
        <w:tc>
          <w:tcPr>
            <w:tcW w:type="dxa" w:w="727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spacing w:after="120"/>
      </w:pPr>
      <w:r>
        <w:rPr>
          <w:b w:val="0"/>
          <w:i w:val="0"/>
        </w:rPr>
        <w:t>Also tested</w:t>
      </w:r>
    </w:p>
    <w:p>
      <w:pPr>
        <w:pStyle w:val="ListBullet"/>
        <w:spacing w:after="40"/>
      </w:pPr>
      <w:r>
        <w:rPr>
          <w:b/>
          <w:i w:val="0"/>
          <w:sz w:val="20"/>
        </w:rPr>
        <w:t>Aspirin and cyclooxygenase.</w:t>
      </w:r>
      <w:r>
        <w:rPr>
          <w:b w:val="0"/>
          <w:i w:val="0"/>
          <w:sz w:val="20"/>
        </w:rPr>
        <w:t xml:space="preserve"> Aspirin inhibits cyclooxygenase irreversibly and non-competitively. A platelet has no nucleus and cannot make fresh enzyme, so one exposure disables it for its lifetime.</w:t>
      </w:r>
    </w:p>
    <w:p>
      <w:pPr>
        <w:pStyle w:val="ListBullet"/>
        <w:spacing w:after="40"/>
      </w:pPr>
      <w:r>
        <w:rPr>
          <w:b/>
          <w:i w:val="0"/>
          <w:sz w:val="20"/>
        </w:rPr>
        <w:t>Reye's syndrome.</w:t>
      </w:r>
      <w:r>
        <w:rPr>
          <w:b w:val="0"/>
          <w:i w:val="0"/>
          <w:sz w:val="20"/>
        </w:rPr>
        <w:t xml:space="preserve"> It affects children, with mortality around half; the severity justifies a blanket restriction on a cheap and otherwise useful drug.</w:t>
      </w:r>
    </w:p>
    <w:p>
      <w:pPr>
        <w:pStyle w:val="ListBullet"/>
        <w:spacing w:after="40"/>
      </w:pPr>
      <w:r>
        <w:rPr>
          <w:b/>
          <w:i w:val="0"/>
          <w:sz w:val="20"/>
        </w:rPr>
        <w:t>Tinnitus with regular aspirin.</w:t>
      </w:r>
      <w:r>
        <w:rPr>
          <w:b w:val="0"/>
          <w:i w:val="0"/>
          <w:sz w:val="20"/>
        </w:rPr>
        <w:t xml:space="preserve"> Ringing in the ears is an audible marker that exposure has climbed from analgesia into the anti-inflammatory range.</w:t>
      </w:r>
    </w:p>
    <w:p>
      <w:pPr>
        <w:pStyle w:val="ListBullet"/>
        <w:spacing w:after="40"/>
      </w:pPr>
      <w:r>
        <w:rPr>
          <w:b/>
          <w:i w:val="0"/>
          <w:sz w:val="20"/>
        </w:rPr>
        <w:t>Aspirin contraindications.</w:t>
      </w:r>
      <w:r>
        <w:rPr>
          <w:b w:val="0"/>
          <w:i w:val="0"/>
          <w:sz w:val="20"/>
        </w:rPr>
        <w:t xml:space="preserve"> Bleeding disorders, pregnancy, and children with fever from viral illness; the three involve unrelated mechanisms (bleeding risk, pregnancy, and Reye's), so the list has to be remembered rather than derived.</w:t>
      </w:r>
    </w:p>
    <w:p>
      <w:pPr>
        <w:pStyle w:val="ListBullet"/>
        <w:spacing w:after="40"/>
      </w:pPr>
      <w:r>
        <w:rPr>
          <w:b/>
          <w:i w:val="0"/>
          <w:sz w:val="20"/>
        </w:rPr>
        <w:t>Aspirin versus acetaminophen for fever in a child.</w:t>
      </w:r>
      <w:r>
        <w:rPr>
          <w:b w:val="0"/>
          <w:i w:val="0"/>
          <w:sz w:val="20"/>
        </w:rPr>
        <w:t xml:space="preserve"> Aspirin in a child with viral illness such as influenza risks Reye's syndrome, which is why acetaminophen became the default antipyretic in children.</w:t>
      </w:r>
    </w:p>
    <w:p>
      <w:pPr>
        <w:pStyle w:val="ListBullet"/>
        <w:spacing w:after="40"/>
      </w:pPr>
      <w:r>
        <w:rPr>
          <w:b/>
          <w:i w:val="0"/>
          <w:sz w:val="20"/>
        </w:rPr>
        <w:t>Aspirin in pregnancy.</w:t>
      </w:r>
      <w:r>
        <w:rPr>
          <w:b w:val="0"/>
          <w:i w:val="0"/>
          <w:sz w:val="20"/>
        </w:rPr>
        <w:t xml:space="preserve"> Aspirin is avoided in pregnancy at ordinary doses, but very low doses may benefit hypertensive disorders of pregnancy (preeclampsia).</w:t>
      </w:r>
    </w:p>
    <w:p>
      <w:pPr>
        <w:pStyle w:val="ListBullet"/>
        <w:spacing w:after="40"/>
      </w:pPr>
      <w:r>
        <w:rPr>
          <w:b/>
          <w:i w:val="0"/>
          <w:sz w:val="20"/>
        </w:rPr>
        <w:t>Salicylism (aspirin toxicity).</w:t>
      </w:r>
      <w:r>
        <w:rPr>
          <w:b w:val="0"/>
          <w:i w:val="0"/>
          <w:sz w:val="20"/>
        </w:rPr>
        <w:t xml:space="preserve"> Aspirin toxicity, salicylism, runs from hyperventilation and alkalosis to fever, dehydration and metabolic acidosis, then shock and coma.</w:t>
      </w: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Ibuprofen interaction</w:t>
            </w:r>
          </w:p>
        </w:tc>
        <w:tc>
          <w:tcPr>
            <w:tcW w:type="dxa" w:w="7272"/>
            <w:shd w:val="clear" w:color="auto" w:fill="6B3524"/>
          </w:tcPr>
          <w:p>
            <w:pPr>
              <w:spacing w:after="40"/>
            </w:pPr>
            <w:r>
              <w:rPr>
                <w:b/>
                <w:color w:val="FFFFFF"/>
                <w:sz w:val="18"/>
              </w:rPr>
            </w:r>
            <w:r>
              <w:rPr>
                <w:b/>
                <w:i w:val="0"/>
                <w:color w:val="FFFFFF"/>
                <w:sz w:val="18"/>
              </w:rPr>
              <w:t>Result</w:t>
            </w:r>
          </w:p>
        </w:tc>
      </w:tr>
      <w:tr>
        <w:tc>
          <w:tcPr>
            <w:tcW w:type="dxa" w:w="7272"/>
          </w:tcPr>
          <w:p>
            <w:pPr>
              <w:spacing w:after="40"/>
            </w:pPr>
            <w:r>
              <w:rPr>
                <w:sz w:val="18"/>
              </w:rPr>
            </w:r>
            <w:r>
              <w:rPr>
                <w:b w:val="0"/>
                <w:i w:val="0"/>
                <w:sz w:val="18"/>
              </w:rPr>
              <w:t>ACE (angiotensin-converting enzyme) inhibitors</w:t>
            </w:r>
          </w:p>
        </w:tc>
        <w:tc>
          <w:tcPr>
            <w:tcW w:type="dxa" w:w="7272"/>
          </w:tcPr>
          <w:p>
            <w:pPr>
              <w:spacing w:after="40"/>
            </w:pPr>
            <w:r>
              <w:rPr>
                <w:sz w:val="18"/>
              </w:rPr>
            </w:r>
            <w:r>
              <w:rPr>
                <w:b w:val="0"/>
                <w:i w:val="0"/>
                <w:sz w:val="18"/>
              </w:rPr>
              <w:t>Decreases their effect</w:t>
            </w:r>
          </w:p>
        </w:tc>
      </w:tr>
      <w:tr>
        <w:tc>
          <w:tcPr>
            <w:tcW w:type="dxa" w:w="7272"/>
          </w:tcPr>
          <w:p>
            <w:pPr>
              <w:spacing w:after="40"/>
            </w:pPr>
            <w:r>
              <w:rPr>
                <w:sz w:val="18"/>
              </w:rPr>
            </w:r>
            <w:r>
              <w:rPr>
                <w:b w:val="0"/>
                <w:i w:val="0"/>
                <w:sz w:val="18"/>
              </w:rPr>
              <w:t>Diuretics</w:t>
            </w:r>
          </w:p>
        </w:tc>
        <w:tc>
          <w:tcPr>
            <w:tcW w:type="dxa" w:w="7272"/>
          </w:tcPr>
          <w:p>
            <w:pPr>
              <w:spacing w:after="40"/>
            </w:pPr>
            <w:r>
              <w:rPr>
                <w:sz w:val="18"/>
              </w:rPr>
            </w:r>
            <w:r>
              <w:rPr>
                <w:b w:val="0"/>
                <w:i w:val="0"/>
                <w:sz w:val="18"/>
              </w:rPr>
              <w:t>Watch for renal failure</w:t>
            </w:r>
          </w:p>
        </w:tc>
      </w:tr>
      <w:tr>
        <w:tc>
          <w:tcPr>
            <w:tcW w:type="dxa" w:w="7272"/>
          </w:tcPr>
          <w:p>
            <w:pPr>
              <w:spacing w:after="40"/>
            </w:pPr>
            <w:r>
              <w:rPr>
                <w:sz w:val="18"/>
              </w:rPr>
            </w:r>
            <w:r>
              <w:rPr>
                <w:b w:val="0"/>
                <w:i w:val="0"/>
                <w:sz w:val="18"/>
              </w:rPr>
              <w:t>Lithium</w:t>
            </w:r>
          </w:p>
        </w:tc>
        <w:tc>
          <w:tcPr>
            <w:tcW w:type="dxa" w:w="7272"/>
          </w:tcPr>
          <w:p>
            <w:pPr>
              <w:spacing w:after="40"/>
            </w:pPr>
            <w:r>
              <w:rPr>
                <w:sz w:val="18"/>
              </w:rPr>
            </w:r>
            <w:r>
              <w:rPr>
                <w:b w:val="0"/>
                <w:i w:val="0"/>
                <w:sz w:val="18"/>
              </w:rPr>
              <w:t>Decreases lithium secretion</w:t>
            </w:r>
          </w:p>
        </w:tc>
      </w:tr>
      <w:tr>
        <w:tc>
          <w:tcPr>
            <w:tcW w:type="dxa" w:w="7272"/>
          </w:tcPr>
          <w:p>
            <w:pPr>
              <w:spacing w:after="40"/>
            </w:pPr>
            <w:r>
              <w:rPr>
                <w:sz w:val="18"/>
              </w:rPr>
            </w:r>
            <w:r>
              <w:rPr>
                <w:b w:val="0"/>
                <w:i w:val="0"/>
                <w:sz w:val="18"/>
              </w:rPr>
              <w:t>Methotrexate</w:t>
            </w:r>
          </w:p>
        </w:tc>
        <w:tc>
          <w:tcPr>
            <w:tcW w:type="dxa" w:w="7272"/>
          </w:tcPr>
          <w:p>
            <w:pPr>
              <w:spacing w:after="40"/>
            </w:pPr>
            <w:r>
              <w:rPr>
                <w:sz w:val="18"/>
              </w:rPr>
            </w:r>
            <w:r>
              <w:rPr>
                <w:b w:val="0"/>
                <w:i w:val="0"/>
                <w:sz w:val="18"/>
              </w:rPr>
              <w:t xml:space="preserve">Decreases its secretion, producing </w:t>
            </w:r>
            <w:r>
              <w:rPr>
                <w:b/>
                <w:i w:val="0"/>
                <w:sz w:val="18"/>
              </w:rPr>
              <w:t>toxic levels</w:t>
            </w:r>
          </w:p>
        </w:tc>
      </w:tr>
      <w:tr>
        <w:tc>
          <w:tcPr>
            <w:tcW w:type="dxa" w:w="7272"/>
          </w:tcPr>
          <w:p>
            <w:pPr>
              <w:spacing w:after="40"/>
            </w:pPr>
            <w:r>
              <w:rPr>
                <w:sz w:val="18"/>
              </w:rPr>
            </w:r>
            <w:r>
              <w:rPr>
                <w:b w:val="0"/>
                <w:i w:val="0"/>
                <w:sz w:val="18"/>
              </w:rPr>
              <w:t>Anticoagulants</w:t>
            </w:r>
          </w:p>
        </w:tc>
        <w:tc>
          <w:tcPr>
            <w:tcW w:type="dxa" w:w="727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val="0"/>
          <w:i w:val="0"/>
        </w:rPr>
        <w:t>Also tested</w:t>
      </w:r>
    </w:p>
    <w:p>
      <w:pPr>
        <w:pStyle w:val="ListBullet"/>
        <w:spacing w:after="40"/>
      </w:pPr>
      <w:r>
        <w:rPr>
          <w:b/>
          <w:i w:val="0"/>
          <w:sz w:val="20"/>
        </w:rPr>
        <w:t>Ibuprofen with lithium.</w:t>
      </w:r>
      <w:r>
        <w:rPr>
          <w:b w:val="0"/>
          <w:i w:val="0"/>
          <w:sz w:val="20"/>
        </w:rPr>
        <w:t xml:space="preserve"> Ibuprofen reduces lithium excretion, so levels rise; lithium has little margin between useful and toxic, so anything that slows its removal matters quickly.</w:t>
      </w:r>
    </w:p>
    <w:p>
      <w:pPr>
        <w:pStyle w:val="ListBullet"/>
        <w:spacing w:after="40"/>
      </w:pPr>
      <w:r>
        <w:rPr>
          <w:b/>
          <w:i w:val="0"/>
          <w:sz w:val="20"/>
        </w:rPr>
        <w:t>Ibuprofen with a diuretic and an ACE inhibitor.</w:t>
      </w:r>
      <w:r>
        <w:rPr>
          <w:b w:val="0"/>
          <w:i w:val="0"/>
          <w:sz w:val="20"/>
        </w:rPr>
        <w:t xml:space="preserve"> Renal function should be watched: the kidney is at risk with the diuretic, and the ACE inhibitor works less well, so its blood pressure response should also be watched.</w:t>
      </w:r>
    </w:p>
    <w:p>
      <w:pPr>
        <w:pStyle w:val="ListBullet"/>
        <w:spacing w:after="40"/>
      </w:pPr>
      <w:r>
        <w:rPr>
          <w:b/>
          <w:i w:val="0"/>
          <w:sz w:val="20"/>
        </w:rPr>
        <w:t>Ibuprofen and age.</w:t>
      </w:r>
      <w:r>
        <w:rPr>
          <w:b w:val="0"/>
          <w:i w:val="0"/>
          <w:sz w:val="20"/>
        </w:rPr>
        <w:t xml:space="preserve"> Ibuprofen is avoided in young infants, as there is a lower age limit below which it is not used, which distinguishes it from acetaminophen.</w:t>
      </w:r>
    </w:p>
    <w:p>
      <w:pPr>
        <w:pStyle w:val="ListBullet"/>
        <w:spacing w:after="40"/>
      </w:pPr>
      <w:r>
        <w:rPr>
          <w:b/>
          <w:i w:val="0"/>
          <w:sz w:val="20"/>
        </w:rPr>
        <w:t>Who should avoid ibuprofen.</w:t>
      </w:r>
      <w:r>
        <w:rPr>
          <w:b w:val="0"/>
          <w:i w:val="0"/>
          <w:sz w:val="20"/>
        </w:rPr>
        <w:t xml:space="preserve"> Avoid it in patients with asthma it may worsen, previous ulcer or perforation, or renal impairment; asthma is the easiest to forget.</w:t>
      </w:r>
    </w:p>
    <w:p>
      <w:pPr>
        <w:pStyle w:val="ListBullet"/>
        <w:spacing w:after="40"/>
      </w:pPr>
      <w:r>
        <w:rPr>
          <w:b/>
          <w:i w:val="0"/>
          <w:sz w:val="20"/>
        </w:rPr>
        <w:t>Ibuprofen adverse effects.</w:t>
      </w:r>
      <w:r>
        <w:rPr>
          <w:b w:val="0"/>
          <w:i w:val="0"/>
          <w:sz w:val="20"/>
        </w:rPr>
        <w:t xml:space="preserve"> The main ones fall on the gastrointestinal tract and the kidney (ulceration and bleeding, falling clearance, fluid retention and edema), both from prostaglandin blockade.</w:t>
      </w:r>
    </w:p>
    <w:p>
      <w:pPr>
        <w:pStyle w:val="ListBullet"/>
        <w:spacing w:after="40"/>
      </w:pPr>
      <w:r>
        <w:rPr>
          <w:b/>
          <w:i w:val="0"/>
          <w:sz w:val="20"/>
        </w:rPr>
        <w:t>Ibuprofen with an anticoagulant.</w:t>
      </w:r>
      <w:r>
        <w:rPr>
          <w:b w:val="0"/>
          <w:i w:val="0"/>
          <w:sz w:val="20"/>
        </w:rPr>
        <w:t xml:space="preserve"> Prothrombin time is prolonged, with a risk of serious gastrointestinal bleeding; the combination is worse than either alone.</w:t>
      </w:r>
    </w:p>
    <w:p>
      <w:pPr>
        <w:pStyle w:val="ListBullet"/>
        <w:spacing w:after="40"/>
      </w:pPr>
      <w:r>
        <w:rPr>
          <w:b/>
          <w:i w:val="0"/>
          <w:sz w:val="20"/>
        </w:rPr>
        <w:t>Acetaminophen and regular alcohol.</w:t>
      </w:r>
      <w:r>
        <w:rPr>
          <w:b w:val="0"/>
          <w:i w:val="0"/>
          <w:sz w:val="20"/>
        </w:rPr>
        <w:t xml:space="preserve"> The combination risks liver damage over time; neither is dangerous on its own at ordinary use.</w:t>
      </w:r>
    </w:p>
    <w:p>
      <w:pPr>
        <w:pStyle w:val="ListBullet"/>
        <w:spacing w:after="40"/>
      </w:pPr>
      <w:r>
        <w:rPr>
          <w:b/>
          <w:i w:val="0"/>
          <w:sz w:val="20"/>
        </w:rPr>
        <w:t>Ibuprofen versus aspirin.</w:t>
      </w:r>
      <w:r>
        <w:rPr>
          <w:b w:val="0"/>
          <w:i w:val="0"/>
          <w:sz w:val="20"/>
        </w:rPr>
        <w:t xml:space="preserve"> At cyclooxygenase, ibuprofen inhibits reversibly rather than irreversibly, so the effect lifts as the drug clears and it is not used as an antiplatelet the way aspirin is.</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Tissue</w:t>
            </w:r>
          </w:p>
        </w:tc>
        <w:tc>
          <w:tcPr>
            <w:tcW w:type="dxa" w:w="4848"/>
            <w:shd w:val="clear" w:color="auto" w:fill="6B3524"/>
          </w:tcPr>
          <w:p>
            <w:pPr>
              <w:spacing w:after="40"/>
            </w:pPr>
            <w:r>
              <w:rPr>
                <w:b/>
                <w:color w:val="FFFFFF"/>
                <w:sz w:val="18"/>
              </w:rPr>
            </w:r>
            <w:r>
              <w:rPr>
                <w:b/>
                <w:i w:val="0"/>
                <w:color w:val="FFFFFF"/>
                <w:sz w:val="18"/>
              </w:rPr>
              <w:t>Receptor</w:t>
            </w:r>
          </w:p>
        </w:tc>
        <w:tc>
          <w:tcPr>
            <w:tcW w:type="dxa" w:w="4848"/>
            <w:shd w:val="clear" w:color="auto" w:fill="6B3524"/>
          </w:tcPr>
          <w:p>
            <w:pPr>
              <w:spacing w:after="40"/>
            </w:pPr>
            <w:r>
              <w:rPr>
                <w:b/>
                <w:color w:val="FFFFFF"/>
                <w:sz w:val="18"/>
              </w:rPr>
            </w:r>
            <w:r>
              <w:rPr>
                <w:b/>
                <w:i w:val="0"/>
                <w:color w:val="FFFFFF"/>
                <w:sz w:val="18"/>
              </w:rPr>
              <w:t>Action</w:t>
            </w:r>
          </w:p>
        </w:tc>
      </w:tr>
      <w:tr>
        <w:tc>
          <w:tcPr>
            <w:tcW w:type="dxa" w:w="4848"/>
          </w:tcPr>
          <w:p>
            <w:pPr>
              <w:spacing w:after="40"/>
            </w:pPr>
            <w:r>
              <w:rPr>
                <w:sz w:val="18"/>
              </w:rPr>
            </w:r>
            <w:r>
              <w:rPr>
                <w:b w:val="0"/>
                <w:i w:val="0"/>
                <w:sz w:val="18"/>
              </w:rPr>
              <w:t>Vascular</w:t>
            </w:r>
          </w:p>
        </w:tc>
        <w:tc>
          <w:tcPr>
            <w:tcW w:type="dxa" w:w="4848"/>
          </w:tcPr>
          <w:p>
            <w:pPr>
              <w:spacing w:after="40"/>
            </w:pPr>
            <w:r>
              <w:rPr>
                <w:sz w:val="18"/>
              </w:rPr>
            </w:r>
            <w:r>
              <w:rPr>
                <w:b w:val="0"/>
                <w:i w:val="0"/>
                <w:sz w:val="18"/>
              </w:rPr>
              <w:t>H1 and H2</w:t>
            </w:r>
          </w:p>
        </w:tc>
        <w:tc>
          <w:tcPr>
            <w:tcW w:type="dxa" w:w="4848"/>
          </w:tcPr>
          <w:p>
            <w:pPr>
              <w:spacing w:after="40"/>
            </w:pPr>
            <w:r>
              <w:rPr>
                <w:sz w:val="18"/>
              </w:rPr>
            </w:r>
            <w:r>
              <w:rPr>
                <w:b w:val="0"/>
                <w:i w:val="0"/>
                <w:sz w:val="18"/>
              </w:rPr>
              <w:t>↓ total peripheral resistance</w:t>
            </w:r>
          </w:p>
        </w:tc>
      </w:tr>
      <w:tr>
        <w:tc>
          <w:tcPr>
            <w:tcW w:type="dxa" w:w="4848"/>
          </w:tcPr>
          <w:p>
            <w:pPr>
              <w:spacing w:after="40"/>
            </w:pPr>
            <w:r>
              <w:rPr>
                <w:sz w:val="18"/>
              </w:rPr>
            </w:r>
            <w:r>
              <w:rPr>
                <w:b w:val="0"/>
                <w:i w:val="0"/>
                <w:sz w:val="18"/>
              </w:rPr>
              <w:t>Postcapillary venules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 permeability</w:t>
            </w:r>
          </w:p>
        </w:tc>
      </w:tr>
      <w:tr>
        <w:tc>
          <w:tcPr>
            <w:tcW w:type="dxa" w:w="4848"/>
          </w:tcPr>
          <w:p>
            <w:pPr>
              <w:spacing w:after="40"/>
            </w:pPr>
            <w:r>
              <w:rPr>
                <w:sz w:val="18"/>
              </w:rPr>
            </w:r>
            <w:r>
              <w:rPr>
                <w:b w:val="0"/>
                <w:i w:val="0"/>
                <w:sz w:val="18"/>
              </w:rPr>
              <w:t>Heart</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 heart rate / ↑ force of contraction</w:t>
            </w:r>
          </w:p>
        </w:tc>
      </w:tr>
      <w:tr>
        <w:tc>
          <w:tcPr>
            <w:tcW w:type="dxa" w:w="4848"/>
          </w:tcPr>
          <w:p>
            <w:pPr>
              <w:spacing w:after="40"/>
            </w:pPr>
            <w:r>
              <w:rPr>
                <w:sz w:val="18"/>
              </w:rPr>
            </w:r>
            <w:r>
              <w:rPr>
                <w:b w:val="0"/>
                <w:i w:val="0"/>
                <w:sz w:val="18"/>
              </w:rPr>
              <w:t>Bronchiolar smooth muscle</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Contraction / relaxation</w:t>
            </w:r>
          </w:p>
        </w:tc>
      </w:tr>
      <w:tr>
        <w:tc>
          <w:tcPr>
            <w:tcW w:type="dxa" w:w="4848"/>
          </w:tcPr>
          <w:p>
            <w:pPr>
              <w:spacing w:after="40"/>
            </w:pPr>
            <w:r>
              <w:rPr>
                <w:sz w:val="18"/>
              </w:rPr>
            </w:r>
            <w:r>
              <w:rPr>
                <w:b w:val="0"/>
                <w:i w:val="0"/>
                <w:sz w:val="18"/>
              </w:rPr>
              <w:t>Gastrointestinal smooth muscle</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Constriction</w:t>
            </w:r>
          </w:p>
        </w:tc>
      </w:tr>
      <w:tr>
        <w:tc>
          <w:tcPr>
            <w:tcW w:type="dxa" w:w="4848"/>
          </w:tcPr>
          <w:p>
            <w:pPr>
              <w:spacing w:after="40"/>
            </w:pPr>
            <w:r>
              <w:rPr>
                <w:sz w:val="18"/>
              </w:rPr>
            </w:r>
            <w:r>
              <w:rPr>
                <w:b w:val="0"/>
                <w:i w:val="0"/>
                <w:sz w:val="18"/>
              </w:rPr>
              <w:t>Gastrointestinal mucosa</w:t>
            </w:r>
          </w:p>
        </w:tc>
        <w:tc>
          <w:tcPr>
            <w:tcW w:type="dxa" w:w="4848"/>
          </w:tcPr>
          <w:p>
            <w:pPr>
              <w:spacing w:after="40"/>
            </w:pPr>
            <w:r>
              <w:rPr>
                <w:sz w:val="18"/>
              </w:rPr>
            </w:r>
            <w:r>
              <w:rPr>
                <w:b w:val="0"/>
                <w:i w:val="0"/>
                <w:sz w:val="18"/>
              </w:rPr>
              <w:t>H2</w:t>
            </w:r>
          </w:p>
        </w:tc>
        <w:tc>
          <w:tcPr>
            <w:tcW w:type="dxa" w:w="4848"/>
          </w:tcPr>
          <w:p>
            <w:pPr>
              <w:spacing w:after="40"/>
            </w:pPr>
            <w:r>
              <w:rPr>
                <w:sz w:val="18"/>
              </w:rPr>
            </w:r>
            <w:r>
              <w:rPr>
                <w:b w:val="0"/>
                <w:i w:val="0"/>
                <w:sz w:val="18"/>
              </w:rPr>
              <w:t>Gastric acid and pepsin secretion</w:t>
            </w:r>
          </w:p>
        </w:tc>
      </w:tr>
      <w:tr>
        <w:tc>
          <w:tcPr>
            <w:tcW w:type="dxa" w:w="4848"/>
          </w:tcPr>
          <w:p>
            <w:pPr>
              <w:spacing w:after="40"/>
            </w:pPr>
            <w:r>
              <w:rPr>
                <w:sz w:val="18"/>
              </w:rPr>
            </w:r>
            <w:r>
              <w:rPr>
                <w:b w:val="0"/>
                <w:i w:val="0"/>
                <w:sz w:val="18"/>
              </w:rPr>
              <w:t>Cutaneous nerve endings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Sedation</w:t>
            </w:r>
          </w:p>
        </w:tc>
        <w:tc>
          <w:tcPr>
            <w:tcW w:type="dxa" w:w="3636"/>
            <w:shd w:val="clear" w:color="auto" w:fill="6B3524"/>
          </w:tcPr>
          <w:p>
            <w:pPr>
              <w:spacing w:after="40"/>
            </w:pPr>
            <w:r>
              <w:rPr>
                <w:b/>
                <w:color w:val="FFFFFF"/>
                <w:sz w:val="18"/>
              </w:rPr>
            </w:r>
            <w:r>
              <w:rPr>
                <w:b/>
                <w:i w:val="0"/>
                <w:color w:val="FFFFFF"/>
                <w:sz w:val="18"/>
              </w:rPr>
              <w:t>Antiemetic</w:t>
            </w:r>
          </w:p>
        </w:tc>
        <w:tc>
          <w:tcPr>
            <w:tcW w:type="dxa" w:w="3636"/>
            <w:shd w:val="clear" w:color="auto" w:fill="6B3524"/>
          </w:tcPr>
          <w:p>
            <w:pPr>
              <w:spacing w:after="40"/>
            </w:pPr>
            <w:r>
              <w:rPr>
                <w:b/>
                <w:color w:val="FFFFFF"/>
                <w:sz w:val="18"/>
              </w:rPr>
            </w:r>
            <w:r>
              <w:rPr>
                <w:b/>
                <w:i w:val="0"/>
                <w:color w:val="FFFFFF"/>
                <w:sz w:val="18"/>
              </w:rPr>
              <w:t>Anticholinergic</w:t>
            </w:r>
          </w:p>
        </w:tc>
      </w:tr>
      <w:tr>
        <w:tc>
          <w:tcPr>
            <w:tcW w:type="dxa" w:w="14544"/>
            <w:gridSpan w:val="4"/>
          </w:tcPr>
          <w:p>
            <w:pPr>
              <w:spacing w:after="40"/>
            </w:pPr>
            <w:r/>
          </w:p>
        </w:tc>
      </w:tr>
      <w:tr>
        <w:tc>
          <w:tcPr>
            <w:tcW w:type="dxa" w:w="3636"/>
          </w:tcPr>
          <w:p>
            <w:pPr>
              <w:spacing w:after="40"/>
            </w:pPr>
            <w:r>
              <w:rPr>
                <w:sz w:val="18"/>
              </w:rPr>
            </w:r>
            <w:r>
              <w:rPr>
                <w:b w:val="0"/>
                <w:i w:val="0"/>
                <w:sz w:val="18"/>
              </w:rPr>
              <w:t>Chlorpheniramine (Chlor-Trimeton)</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Dimenhydrinate (Dramamine)</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Diphenhydramine (Benadryl)</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Hydroxyzine (Atarax)</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Meclizine (Antivert)</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Promethazine (Phenergan)</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r>
      <w:tr>
        <w:tc>
          <w:tcPr>
            <w:tcW w:type="dxa" w:w="14544"/>
            <w:gridSpan w:val="4"/>
          </w:tcPr>
          <w:p>
            <w:pPr>
              <w:spacing w:after="40"/>
            </w:pPr>
            <w:r/>
          </w:p>
        </w:tc>
      </w:tr>
      <w:tr>
        <w:tc>
          <w:tcPr>
            <w:tcW w:type="dxa" w:w="3636"/>
          </w:tcPr>
          <w:p>
            <w:pPr>
              <w:spacing w:after="40"/>
            </w:pPr>
            <w:r>
              <w:rPr>
                <w:sz w:val="18"/>
              </w:rPr>
            </w:r>
            <w:r>
              <w:rPr>
                <w:b w:val="0"/>
                <w:i w:val="0"/>
                <w:sz w:val="18"/>
              </w:rPr>
              <w:t>Cetirizine (Zyrtec)</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Fexofenadine (Allegra)</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Loratadine (Claritin)</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14544"/>
            <w:gridSpan w:val="4"/>
          </w:tcPr>
          <w:p>
            <w:pPr>
              <w:spacing w:after="40"/>
            </w:pPr>
            <w:r/>
          </w:p>
        </w:tc>
      </w:tr>
      <w:tr>
        <w:tc>
          <w:tcPr>
            <w:tcW w:type="dxa" w:w="3636"/>
          </w:tcPr>
          <w:p>
            <w:pPr>
              <w:spacing w:after="40"/>
            </w:pPr>
            <w:r>
              <w:rPr>
                <w:sz w:val="18"/>
              </w:rPr>
            </w:r>
            <w:r>
              <w:rPr>
                <w:b w:val="0"/>
                <w:i w:val="0"/>
                <w:sz w:val="18"/>
              </w:rPr>
              <w:t>Azelastine (Astelin)</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val="0"/>
          <w:i w:val="0"/>
        </w:rPr>
        <w:t>Also tested</w:t>
      </w:r>
    </w:p>
    <w:p>
      <w:pPr>
        <w:pStyle w:val="ListBullet"/>
        <w:spacing w:after="40"/>
      </w:pPr>
      <w:r>
        <w:rPr>
          <w:b/>
          <w:i w:val="0"/>
          <w:sz w:val="20"/>
        </w:rPr>
        <w:t>Histamine H2 receptors in the heart.</w:t>
      </w:r>
      <w:r>
        <w:rPr>
          <w:b w:val="0"/>
          <w:i w:val="0"/>
          <w:sz w:val="20"/>
        </w:rPr>
        <w:t xml:space="preserve"> Through H2 receptors, histamine increases cardiac contractility.</w:t>
      </w:r>
    </w:p>
    <w:p>
      <w:pPr>
        <w:pStyle w:val="ListBullet"/>
        <w:spacing w:after="40"/>
      </w:pPr>
      <w:r>
        <w:rPr>
          <w:b/>
          <w:i w:val="0"/>
          <w:sz w:val="20"/>
        </w:rPr>
        <w:t>Indications for H1 antagonists.</w:t>
      </w:r>
      <w:r>
        <w:rPr>
          <w:b w:val="0"/>
          <w:i w:val="0"/>
          <w:sz w:val="20"/>
        </w:rPr>
        <w:t xml:space="preserve"> These are allergic reactions, motion sickness and vestibular symptoms, sleep remedies, and an adjuvant role in anaphylaxis; bacterial sinusitis is not among them.</w:t>
      </w:r>
    </w:p>
    <w:p>
      <w:pPr>
        <w:pStyle w:val="ListBullet"/>
        <w:spacing w:after="40"/>
      </w:pPr>
      <w:r>
        <w:rPr>
          <w:b/>
          <w:i w:val="0"/>
          <w:sz w:val="20"/>
        </w:rPr>
        <w:t>H1 receptor signaling.</w:t>
      </w:r>
      <w:r>
        <w:rPr>
          <w:b w:val="0"/>
          <w:i w:val="0"/>
          <w:sz w:val="20"/>
        </w:rPr>
        <w:t xml:space="preserve"> H1 receptors raise intracellular calcium through phospholipase C, producing IP3 and DAG, whereas H2 receptors work through adenylate cyclase and cyclic AMP.</w:t>
      </w:r>
    </w:p>
    <w:p>
      <w:pPr>
        <w:pStyle w:val="ListBullet"/>
        <w:spacing w:after="40"/>
      </w:pPr>
      <w:r>
        <w:rPr>
          <w:b/>
          <w:i w:val="0"/>
          <w:sz w:val="20"/>
        </w:rPr>
        <w:t>First generation antihistamines.</w:t>
      </w:r>
      <w:r>
        <w:rPr>
          <w:b w:val="0"/>
          <w:i w:val="0"/>
          <w:sz w:val="20"/>
        </w:rPr>
        <w:t xml:space="preserve"> Beyond histamine receptors they act on muscarinic and serotonergic systems, which gives uses and side effects unrelated to allergy, including antiemetic action.</w:t>
      </w:r>
    </w:p>
    <w:p>
      <w:pPr>
        <w:pStyle w:val="ListBullet"/>
        <w:spacing w:after="40"/>
      </w:pPr>
      <w:r>
        <w:rPr>
          <w:b/>
          <w:i w:val="0"/>
          <w:sz w:val="20"/>
        </w:rPr>
        <w:t>Paradoxical excitation.</w:t>
      </w:r>
      <w:r>
        <w:rPr>
          <w:b w:val="0"/>
          <w:i w:val="0"/>
          <w:sz w:val="20"/>
        </w:rPr>
        <w:t xml:space="preserve"> First generation antihistamines can cause excitation rather than sleepiness at higher exposure, particularly in children, so an agitated child may have had more of the drug rather than less.</w:t>
      </w:r>
    </w:p>
    <w:p>
      <w:pPr>
        <w:pStyle w:val="ListBullet"/>
        <w:spacing w:after="40"/>
      </w:pPr>
      <w:r>
        <w:rPr>
          <w:b/>
          <w:i w:val="0"/>
          <w:sz w:val="20"/>
        </w:rPr>
        <w:t>Azelastine nasal spray.</w:t>
      </w:r>
      <w:r>
        <w:rPr>
          <w:b w:val="0"/>
          <w:i w:val="0"/>
          <w:sz w:val="20"/>
        </w:rPr>
        <w:t xml:space="preserve"> Side effects are a bitter taste and nosebleed; the bitter taste comes from spray running back into the throat and is a common reason patients stop it.</w:t>
      </w:r>
    </w:p>
    <w:p>
      <w:pPr>
        <w:pStyle w:val="ListBullet"/>
        <w:spacing w:after="40"/>
      </w:pPr>
      <w:r>
        <w:rPr>
          <w:b/>
          <w:i w:val="0"/>
          <w:sz w:val="20"/>
        </w:rPr>
        <w:t>H1 versus H2 vasodilation.</w:t>
      </w:r>
      <w:r>
        <w:rPr>
          <w:b w:val="0"/>
          <w:i w:val="0"/>
          <w:sz w:val="20"/>
        </w:rPr>
        <w:t xml:space="preserve"> Both cause vasodilation, but H1 is rapid in onset and short-lived while H2 is slow in onset and long-lasting, so blocking H1 alone does not abolish the flush.</w:t>
      </w:r>
    </w:p>
    <w:p>
      <w:pPr>
        <w:pStyle w:val="ListBullet"/>
        <w:spacing w:after="40"/>
      </w:pPr>
      <w:r>
        <w:rPr>
          <w:b/>
          <w:i w:val="0"/>
          <w:sz w:val="20"/>
        </w:rPr>
        <w:t>The flare.</w:t>
      </w:r>
      <w:r>
        <w:rPr>
          <w:b w:val="0"/>
          <w:i w:val="0"/>
          <w:sz w:val="20"/>
        </w:rPr>
        <w:t xml:space="preserve"> The redness spreading around the original insult comes from a reflex through axons causing vasodilation, a nerve reflex rather than direct spread of histamine.</w:t>
      </w:r>
    </w:p>
    <w:p>
      <w:pPr>
        <w:pStyle w:val="ListBullet"/>
        <w:spacing w:after="40"/>
      </w:pPr>
      <w:r>
        <w:rPr>
          <w:b/>
          <w:i w:val="0"/>
          <w:sz w:val="20"/>
        </w:rPr>
        <w:t>H1 receptor effects on airways.</w:t>
      </w:r>
      <w:r>
        <w:rPr>
          <w:b w:val="0"/>
          <w:i w:val="0"/>
          <w:sz w:val="20"/>
        </w:rPr>
        <w:t xml:space="preserve"> H1 receptors raise smooth muscle tone and cause bronchoconstriction, so histamine itself is a bronchoconstrictor and H1 antagonists relax airway and gut smooth muscle.</w:t>
      </w:r>
    </w:p>
    <w:p>
      <w:pPr>
        <w:pStyle w:val="ListBullet"/>
        <w:spacing w:after="40"/>
      </w:pPr>
      <w:r>
        <w:rPr>
          <w:b/>
          <w:i w:val="0"/>
          <w:sz w:val="20"/>
        </w:rPr>
        <w:t>H2 receptor effect.</w:t>
      </w:r>
      <w:r>
        <w:rPr>
          <w:b w:val="0"/>
          <w:i w:val="0"/>
          <w:sz w:val="20"/>
        </w:rPr>
        <w:t xml:space="preserve"> Increased gastric acid secretion belongs to H2 rather than H1 receptors, which is why H2 blockers are stomach drugs while H1 blockers are allergy drugs.</w:t>
      </w:r>
    </w:p>
    <w:p>
      <w:pPr>
        <w:pStyle w:val="ListBullet"/>
        <w:spacing w:after="40"/>
      </w:pPr>
      <w:r>
        <w:rPr>
          <w:b/>
          <w:i w:val="0"/>
          <w:sz w:val="20"/>
        </w:rPr>
        <w:t>Topical antihistamine adverse effects.</w:t>
      </w:r>
      <w:r>
        <w:rPr>
          <w:b w:val="0"/>
          <w:i w:val="0"/>
          <w:sz w:val="20"/>
        </w:rPr>
        <w:t xml:space="preserve"> Topical use is specifically associated with dermatitis and photosensitivity of the skin.</w:t>
      </w:r>
    </w:p>
    <w:p>
      <w:pPr>
        <w:pStyle w:val="ListBullet"/>
        <w:spacing w:after="40"/>
      </w:pPr>
      <w:r>
        <w:rPr>
          <w:b/>
          <w:i w:val="0"/>
          <w:sz w:val="20"/>
        </w:rPr>
        <w:t>Antihistamine drying of secretions.</w:t>
      </w:r>
      <w:r>
        <w:rPr>
          <w:b w:val="0"/>
          <w:i w:val="0"/>
          <w:sz w:val="20"/>
        </w:rPr>
        <w:t xml:space="preserve"> Antihistamines reduce nasal and bronchial secretions during an allergic reaction through their antimuscarinic action; the drying is a muscarinic effect rather than a histamine one, so second generation agents dry you out less.</w:t>
      </w:r>
    </w:p>
    <w:p>
      <w:pPr>
        <w:pStyle w:val="ListBullet"/>
        <w:spacing w:after="40"/>
      </w:pPr>
      <w:r>
        <w:rPr>
          <w:b/>
          <w:i w:val="0"/>
          <w:sz w:val="20"/>
        </w:rPr>
        <w:t>Second-generation antihistamines and sedation.</w:t>
      </w:r>
      <w:r>
        <w:rPr>
          <w:b w:val="0"/>
          <w:i w:val="0"/>
          <w:sz w:val="20"/>
        </w:rPr>
        <w:t xml:space="preserve"> Second-generation histamine-1 (H1) blockers largely stay out of the central nervous system, so they cause much less sedation.</w:t>
      </w:r>
    </w:p>
    <w:p>
      <w:pPr>
        <w:pStyle w:val="ListBullet"/>
        <w:spacing w:after="40"/>
      </w:pPr>
      <w:r>
        <w:rPr>
          <w:b/>
          <w:i w:val="0"/>
          <w:sz w:val="20"/>
        </w:rPr>
        <w:t>Oral second-generation antihistamines and sedation.</w:t>
      </w:r>
      <w:r>
        <w:rPr>
          <w:b w:val="0"/>
          <w:i w:val="0"/>
          <w:sz w:val="20"/>
        </w:rPr>
        <w:t xml:space="preserve"> Cetirizine is rated low for sedation, while the other oral second-generation agents, fexofenadine and loratadine, are rated very low.</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Dexamethasone (Decadron)</w:t>
            </w:r>
          </w:p>
        </w:tc>
        <w:tc>
          <w:tcPr>
            <w:tcW w:type="dxa" w:w="484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4848"/>
          </w:tcPr>
          <w:p>
            <w:pPr>
              <w:spacing w:after="40"/>
            </w:pPr>
            <w:r>
              <w:rPr>
                <w:sz w:val="18"/>
              </w:rPr>
            </w:r>
            <w:r>
              <w:rPr>
                <w:b w:val="0"/>
                <w:i w:val="0"/>
                <w:sz w:val="18"/>
              </w:rPr>
              <w:t>Class</w:t>
            </w:r>
          </w:p>
        </w:tc>
        <w:tc>
          <w:tcPr>
            <w:tcW w:type="dxa" w:w="4848"/>
          </w:tcPr>
          <w:p>
            <w:pPr>
              <w:spacing w:after="40"/>
            </w:pPr>
            <w:r>
              <w:rPr>
                <w:sz w:val="18"/>
              </w:rPr>
            </w:r>
            <w:r>
              <w:rPr>
                <w:b w:val="0"/>
                <w:i w:val="0"/>
                <w:sz w:val="18"/>
              </w:rPr>
              <w:t>Synthetic adrenocortical steroid</w:t>
            </w:r>
          </w:p>
        </w:tc>
        <w:tc>
          <w:tcPr>
            <w:tcW w:type="dxa" w:w="4848"/>
          </w:tcPr>
          <w:p>
            <w:pPr>
              <w:spacing w:after="40"/>
            </w:pPr>
            <w:r>
              <w:rPr>
                <w:sz w:val="18"/>
              </w:rPr>
            </w:r>
            <w:r>
              <w:rPr>
                <w:b w:val="0"/>
                <w:i w:val="0"/>
                <w:sz w:val="18"/>
              </w:rPr>
              <w:t>Glucocorticoid</w:t>
            </w:r>
          </w:p>
        </w:tc>
      </w:tr>
      <w:tr>
        <w:tc>
          <w:tcPr>
            <w:tcW w:type="dxa" w:w="4848"/>
          </w:tcPr>
          <w:p>
            <w:pPr>
              <w:spacing w:after="40"/>
            </w:pPr>
            <w:r>
              <w:rPr>
                <w:sz w:val="18"/>
              </w:rPr>
            </w:r>
            <w:r>
              <w:rPr>
                <w:b w:val="0"/>
                <w:i w:val="0"/>
                <w:sz w:val="18"/>
              </w:rPr>
              <w:t>Indications</w:t>
            </w:r>
          </w:p>
        </w:tc>
        <w:tc>
          <w:tcPr>
            <w:tcW w:type="dxa" w:w="4848"/>
          </w:tcPr>
          <w:p>
            <w:pPr>
              <w:spacing w:after="40"/>
            </w:pPr>
            <w:r>
              <w:rPr>
                <w:sz w:val="18"/>
              </w:rPr>
            </w:r>
            <w:r>
              <w:rPr>
                <w:b w:val="0"/>
                <w:i w:val="0"/>
                <w:sz w:val="18"/>
              </w:rPr>
              <w:t>Allergic rhinitis, drug hypersensitivity reactions</w:t>
            </w:r>
          </w:p>
        </w:tc>
        <w:tc>
          <w:tcPr>
            <w:tcW w:type="dxa" w:w="4848"/>
          </w:tcPr>
          <w:p>
            <w:pPr>
              <w:spacing w:after="40"/>
            </w:pPr>
            <w:r>
              <w:rPr>
                <w:sz w:val="18"/>
              </w:rPr>
            </w:r>
            <w:r>
              <w:rPr>
                <w:b w:val="0"/>
                <w:i w:val="0"/>
                <w:sz w:val="18"/>
              </w:rPr>
              <w:t>Allergic rhinitis, allergic conjunctivitis, drug hypersensitivity reactions</w:t>
            </w:r>
          </w:p>
        </w:tc>
      </w:tr>
      <w:tr>
        <w:tc>
          <w:tcPr>
            <w:tcW w:type="dxa" w:w="4848"/>
          </w:tcPr>
          <w:p>
            <w:pPr>
              <w:spacing w:after="40"/>
            </w:pPr>
            <w:r>
              <w:rPr>
                <w:sz w:val="18"/>
              </w:rPr>
            </w:r>
            <w:r>
              <w:rPr>
                <w:b w:val="0"/>
                <w:i w:val="0"/>
                <w:sz w:val="18"/>
              </w:rPr>
              <w:t>Side effects</w:t>
            </w:r>
          </w:p>
        </w:tc>
        <w:tc>
          <w:tcPr>
            <w:tcW w:type="dxa" w:w="9696"/>
            <w:gridSpan w:val="2"/>
          </w:tcPr>
          <w:p>
            <w:pPr>
              <w:spacing w:after="40"/>
            </w:pPr>
            <w:r/>
          </w:p>
        </w:tc>
      </w:tr>
      <w:tr>
        <w:tc>
          <w:tcPr>
            <w:tcW w:type="dxa" w:w="4848"/>
          </w:tcPr>
          <w:p>
            <w:pPr>
              <w:spacing w:after="40"/>
            </w:pPr>
            <w:r>
              <w:rPr>
                <w:sz w:val="18"/>
              </w:rPr>
            </w:r>
            <w:r>
              <w:rPr>
                <w:b w:val="0"/>
                <w:i w:val="0"/>
                <w:sz w:val="18"/>
              </w:rPr>
              <w:t>Contraindications</w:t>
            </w:r>
          </w:p>
        </w:tc>
        <w:tc>
          <w:tcPr>
            <w:tcW w:type="dxa" w:w="4848"/>
          </w:tcPr>
          <w:p>
            <w:pPr>
              <w:spacing w:after="40"/>
            </w:pPr>
            <w:r>
              <w:rPr>
                <w:sz w:val="18"/>
              </w:rPr>
            </w:r>
            <w:r>
              <w:rPr>
                <w:b/>
                <w:i w:val="0"/>
                <w:sz w:val="18"/>
              </w:rPr>
              <w:t>Systemic fungal infections</w:t>
            </w:r>
          </w:p>
        </w:tc>
        <w:tc>
          <w:tcPr>
            <w:tcW w:type="dxa" w:w="484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val="0"/>
          <w:i w:val="0"/>
        </w:rPr>
        <w:t>Also tested</w:t>
      </w:r>
    </w:p>
    <w:p>
      <w:pPr>
        <w:pStyle w:val="ListBullet"/>
        <w:spacing w:after="40"/>
      </w:pPr>
      <w:r>
        <w:rPr>
          <w:b/>
          <w:i w:val="0"/>
          <w:sz w:val="20"/>
        </w:rPr>
        <w:t>Prednisone in diabetes.</w:t>
      </w:r>
      <w:r>
        <w:rPr>
          <w:b w:val="0"/>
          <w:i w:val="0"/>
          <w:sz w:val="20"/>
        </w:rPr>
        <w:t xml:space="preserve"> Glucose control will worsen: the steroid raises glucose and blunts the drugs used to lower it, so antidiabetic medicines work less well.</w:t>
      </w:r>
    </w:p>
    <w:p>
      <w:pPr>
        <w:pStyle w:val="ListBullet"/>
        <w:spacing w:after="40"/>
      </w:pPr>
      <w:r>
        <w:rPr>
          <w:b/>
          <w:i w:val="0"/>
          <w:sz w:val="20"/>
        </w:rPr>
        <w:t>Stopping corticosteroids.</w:t>
      </w:r>
      <w:r>
        <w:rPr>
          <w:b w:val="0"/>
          <w:i w:val="0"/>
          <w:sz w:val="20"/>
        </w:rPr>
        <w:t xml:space="preserve"> After more than about a week of use, do not stop abruptly, because stopping suddenly produces rebound symptoms; a short course and a long one are stopped differently.</w:t>
      </w:r>
    </w:p>
    <w:p>
      <w:pPr>
        <w:pStyle w:val="ListBullet"/>
        <w:spacing w:after="40"/>
      </w:pPr>
      <w:r>
        <w:rPr>
          <w:b/>
          <w:i w:val="0"/>
          <w:sz w:val="20"/>
        </w:rPr>
        <w:t>Nasal corticosteroid side effects.</w:t>
      </w:r>
      <w:r>
        <w:rPr>
          <w:b w:val="0"/>
          <w:i w:val="0"/>
          <w:sz w:val="20"/>
        </w:rPr>
        <w:t xml:space="preserve"> They cause nosebleed, perforation and an unpleasant taste; all three are local, unlike a systemic steroid.</w:t>
      </w:r>
    </w:p>
    <w:p>
      <w:pPr>
        <w:pStyle w:val="ListBullet"/>
        <w:spacing w:after="40"/>
      </w:pPr>
      <w:r>
        <w:rPr>
          <w:b/>
          <w:i w:val="0"/>
          <w:sz w:val="20"/>
        </w:rPr>
        <w:t>Diuretic plus dexamethasone.</w:t>
      </w:r>
      <w:r>
        <w:rPr>
          <w:b w:val="0"/>
          <w:i w:val="0"/>
          <w:sz w:val="20"/>
        </w:rPr>
        <w:t xml:space="preserve"> Monitor potassium, since both drugs lower it; two drugs pushing the same electrolyte the same way can bring a patient to a dangerous level without either drug being at fault alone.</w:t>
      </w:r>
    </w:p>
    <w:p>
      <w:pPr>
        <w:pStyle w:val="ListBullet"/>
        <w:spacing w:after="40"/>
      </w:pPr>
      <w:r>
        <w:rPr>
          <w:b/>
          <w:i w:val="0"/>
          <w:sz w:val="20"/>
        </w:rPr>
        <w:t>Systemic corticosteroid contraindication.</w:t>
      </w:r>
      <w:r>
        <w:rPr>
          <w:b w:val="0"/>
          <w:i w:val="0"/>
          <w:sz w:val="20"/>
        </w:rPr>
        <w:t xml:space="preserve"> Systemic fungal infection is a specific contraindication, because a drug that suppresses immunity makes a disseminated fungal infection worse.</w:t>
      </w:r>
    </w:p>
    <w:p>
      <w:pPr>
        <w:pStyle w:val="ListBullet"/>
        <w:spacing w:after="40"/>
      </w:pPr>
      <w:r>
        <w:rPr>
          <w:b/>
          <w:i w:val="0"/>
          <w:sz w:val="20"/>
        </w:rPr>
        <w:t>Prednisone and prednisolone.</w:t>
      </w:r>
      <w:r>
        <w:rPr>
          <w:b w:val="0"/>
          <w:i w:val="0"/>
          <w:sz w:val="20"/>
        </w:rPr>
        <w:t xml:space="preserve"> Prednisone is converted in the liver to prednisolone, the active glucocorticoid sold as the oral liquid Orapred; prednisone (Deltasone) is the tablet.</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Route and use</w:t>
            </w:r>
          </w:p>
        </w:tc>
        <w:tc>
          <w:tcPr>
            <w:tcW w:type="dxa" w:w="4848"/>
            <w:shd w:val="clear" w:color="auto" w:fill="6B3524"/>
          </w:tcPr>
          <w:p>
            <w:pPr>
              <w:spacing w:after="40"/>
            </w:pPr>
            <w:r>
              <w:rPr>
                <w:b/>
                <w:color w:val="FFFFFF"/>
                <w:sz w:val="18"/>
              </w:rPr>
            </w:r>
            <w:r>
              <w:rPr>
                <w:b/>
                <w:i w:val="0"/>
                <w:color w:val="FFFFFF"/>
                <w:sz w:val="18"/>
              </w:rPr>
              <w:t>Adverse effects and interactions</w:t>
            </w:r>
          </w:p>
        </w:tc>
      </w:tr>
      <w:tr>
        <w:tc>
          <w:tcPr>
            <w:tcW w:type="dxa" w:w="4848"/>
          </w:tcPr>
          <w:p>
            <w:pPr>
              <w:spacing w:after="40"/>
            </w:pPr>
            <w:r>
              <w:rPr>
                <w:sz w:val="18"/>
              </w:rPr>
            </w:r>
            <w:r>
              <w:rPr>
                <w:b/>
                <w:i w:val="0"/>
                <w:sz w:val="18"/>
              </w:rPr>
              <w:t>Oxymetazoline (Afrin)</w:t>
            </w:r>
          </w:p>
        </w:tc>
        <w:tc>
          <w:tcPr>
            <w:tcW w:type="dxa" w:w="4848"/>
          </w:tcPr>
          <w:p>
            <w:pPr>
              <w:spacing w:after="40"/>
            </w:pPr>
            <w:r>
              <w:rPr>
                <w:sz w:val="18"/>
              </w:rPr>
            </w:r>
            <w:r>
              <w:rPr>
                <w:b w:val="0"/>
                <w:i w:val="0"/>
                <w:sz w:val="18"/>
              </w:rPr>
              <w:t xml:space="preserve">Nasal spray, nasal congestion; </w:t>
            </w:r>
            <w:r>
              <w:rPr>
                <w:b/>
                <w:i w:val="0"/>
                <w:sz w:val="18"/>
              </w:rPr>
              <w:t>3 to 5 days maximum</w:t>
            </w:r>
          </w:p>
        </w:tc>
        <w:tc>
          <w:tcPr>
            <w:tcW w:type="dxa" w:w="484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4848"/>
          </w:tcPr>
          <w:p>
            <w:pPr>
              <w:spacing w:after="40"/>
            </w:pPr>
            <w:r>
              <w:rPr>
                <w:sz w:val="18"/>
              </w:rPr>
            </w:r>
            <w:r>
              <w:rPr>
                <w:b/>
                <w:i w:val="0"/>
                <w:sz w:val="18"/>
              </w:rPr>
              <w:t>Pseudoephedrine (Sudafed)</w:t>
            </w:r>
          </w:p>
        </w:tc>
        <w:tc>
          <w:tcPr>
            <w:tcW w:type="dxa" w:w="484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484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4848"/>
          </w:tcPr>
          <w:p>
            <w:pPr>
              <w:spacing w:after="40"/>
            </w:pPr>
            <w:r>
              <w:rPr>
                <w:sz w:val="18"/>
              </w:rPr>
            </w:r>
            <w:r>
              <w:rPr>
                <w:b w:val="0"/>
                <w:i w:val="0"/>
                <w:sz w:val="18"/>
              </w:rPr>
              <w:t>Phenylephrine (Sudafed PE)</w:t>
            </w:r>
          </w:p>
        </w:tc>
        <w:tc>
          <w:tcPr>
            <w:tcW w:type="dxa" w:w="484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484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val="0"/>
          <w:i w:val="0"/>
        </w:rPr>
        <w:t>Also tested</w:t>
      </w:r>
    </w:p>
    <w:p>
      <w:pPr>
        <w:pStyle w:val="ListBullet"/>
        <w:spacing w:after="40"/>
      </w:pPr>
      <w:r>
        <w:rPr>
          <w:b/>
          <w:i w:val="0"/>
          <w:sz w:val="20"/>
        </w:rPr>
        <w:t>Pseudoephedrine versus oxymetazoline.</w:t>
      </w:r>
      <w:r>
        <w:rPr>
          <w:b w:val="0"/>
          <w:i w:val="0"/>
          <w:sz w:val="20"/>
        </w:rPr>
        <w:t xml:space="preserve"> Pseudoephedrine has the same alpha agonist mechanism as oxymetazoline but is taken orally.</w:t>
      </w:r>
    </w:p>
    <w:p>
      <w:pPr>
        <w:pStyle w:val="ListBullet"/>
        <w:spacing w:after="40"/>
      </w:pPr>
      <w:r>
        <w:rPr>
          <w:b/>
          <w:i w:val="0"/>
          <w:sz w:val="20"/>
        </w:rPr>
        <w:t>Oxymetazoline systemic effect.</w:t>
      </w:r>
      <w:r>
        <w:rPr>
          <w:b w:val="0"/>
          <w:i w:val="0"/>
          <w:sz w:val="20"/>
        </w:rPr>
        <w:t xml:space="preserve"> Besides rebound congestion, oxymetazoline can raise blood pressure, since a drug sprayed into the nose still reaches the circulation.</w:t>
      </w:r>
    </w:p>
    <w:p>
      <w:pPr>
        <w:pStyle w:val="ListBullet"/>
        <w:spacing w:after="40"/>
      </w:pPr>
      <w:r>
        <w:rPr>
          <w:b/>
          <w:i w:val="0"/>
          <w:sz w:val="20"/>
        </w:rPr>
        <w:t>Pseudoephedrine and antihypertensives.</w:t>
      </w:r>
      <w:r>
        <w:rPr>
          <w:b w:val="0"/>
          <w:i w:val="0"/>
          <w:sz w:val="20"/>
        </w:rPr>
        <w:t xml:space="preserve"> Pseudoephedrine reduces the effect of antihypertensive medicines, so a patient can undo blood pressure treatment with an over-the-counter product.</w:t>
      </w:r>
    </w:p>
    <w:p>
      <w:pPr>
        <w:pStyle w:val="ListBullet"/>
        <w:spacing w:after="40"/>
      </w:pPr>
      <w:r>
        <w:rPr>
          <w:b/>
          <w:i w:val="0"/>
          <w:sz w:val="20"/>
        </w:rPr>
        <w:t>Pseudoephedrine adverse effects.</w:t>
      </w:r>
      <w:r>
        <w:rPr>
          <w:b w:val="0"/>
          <w:i w:val="0"/>
          <w:sz w:val="20"/>
        </w:rPr>
        <w:t xml:space="preserve"> These are fast heart rate, raised blood pressure and headache, all following from stimulating alpha receptors throughout the body rather than only in the nose.</w:t>
      </w:r>
    </w:p>
    <w:p>
      <w:pPr>
        <w:pStyle w:val="ListBullet"/>
        <w:spacing w:after="40"/>
      </w:pPr>
      <w:r>
        <w:rPr>
          <w:b/>
          <w:i w:val="0"/>
          <w:sz w:val="20"/>
        </w:rPr>
        <w:t>Topical nasal decongestant.</w:t>
      </w:r>
      <w:r>
        <w:rPr>
          <w:b w:val="0"/>
          <w:i w:val="0"/>
          <w:sz w:val="2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Indication</w:t>
            </w:r>
          </w:p>
        </w:tc>
        <w:tc>
          <w:tcPr>
            <w:tcW w:type="dxa" w:w="3636"/>
            <w:shd w:val="clear" w:color="auto" w:fill="6B3524"/>
          </w:tcPr>
          <w:p>
            <w:pPr>
              <w:spacing w:after="40"/>
            </w:pPr>
            <w:r>
              <w:rPr>
                <w:b/>
                <w:color w:val="FFFFFF"/>
                <w:sz w:val="18"/>
              </w:rPr>
            </w:r>
            <w:r>
              <w:rPr>
                <w:b/>
                <w:i w:val="0"/>
                <w:color w:val="FFFFFF"/>
                <w:sz w:val="18"/>
              </w:rPr>
              <w:t>Side effects</w:t>
            </w:r>
          </w:p>
        </w:tc>
        <w:tc>
          <w:tcPr>
            <w:tcW w:type="dxa" w:w="3636"/>
            <w:shd w:val="clear" w:color="auto" w:fill="6B3524"/>
          </w:tcPr>
          <w:p>
            <w:pPr>
              <w:spacing w:after="40"/>
            </w:pPr>
            <w:r>
              <w:rPr>
                <w:b/>
                <w:color w:val="FFFFFF"/>
                <w:sz w:val="18"/>
              </w:rPr>
            </w:r>
            <w:r>
              <w:rPr>
                <w:b/>
                <w:i w:val="0"/>
                <w:color w:val="FFFFFF"/>
                <w:sz w:val="18"/>
              </w:rPr>
              <w:t>Contraindication / interaction</w:t>
            </w:r>
          </w:p>
        </w:tc>
      </w:tr>
      <w:tr>
        <w:tc>
          <w:tcPr>
            <w:tcW w:type="dxa" w:w="3636"/>
          </w:tcPr>
          <w:p>
            <w:pPr>
              <w:spacing w:after="40"/>
            </w:pPr>
            <w:r>
              <w:rPr>
                <w:sz w:val="18"/>
              </w:rPr>
            </w:r>
            <w:r>
              <w:rPr>
                <w:b w:val="0"/>
                <w:i w:val="0"/>
                <w:sz w:val="18"/>
              </w:rPr>
              <w:t>Benzonatate</w:t>
            </w:r>
          </w:p>
        </w:tc>
        <w:tc>
          <w:tcPr>
            <w:tcW w:type="dxa" w:w="363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3636"/>
          </w:tcPr>
          <w:p>
            <w:pPr>
              <w:spacing w:after="40"/>
            </w:pPr>
            <w:r>
              <w:rPr>
                <w:sz w:val="18"/>
              </w:rPr>
            </w:r>
            <w:r>
              <w:rPr>
                <w:b/>
                <w:i w:val="0"/>
                <w:sz w:val="18"/>
              </w:rPr>
              <w:t>Local anesthesia of the mouth if the capsule is chewed</w:t>
            </w:r>
          </w:p>
        </w:tc>
        <w:tc>
          <w:tcPr>
            <w:tcW w:type="dxa" w:w="3636"/>
          </w:tcPr>
          <w:p>
            <w:pPr>
              <w:spacing w:after="40"/>
            </w:pPr>
            <w:r>
              <w:rPr>
                <w:sz w:val="18"/>
              </w:rPr>
            </w:r>
            <w:r>
              <w:rPr>
                <w:b w:val="0"/>
                <w:i w:val="0"/>
                <w:sz w:val="18"/>
              </w:rPr>
              <w:t>Allergy to it or related products (tetracaine)</w:t>
            </w:r>
          </w:p>
        </w:tc>
      </w:tr>
      <w:tr>
        <w:tc>
          <w:tcPr>
            <w:tcW w:type="dxa" w:w="3636"/>
          </w:tcPr>
          <w:p>
            <w:pPr>
              <w:spacing w:after="40"/>
            </w:pPr>
            <w:r>
              <w:rPr>
                <w:sz w:val="18"/>
              </w:rPr>
            </w:r>
            <w:r>
              <w:rPr>
                <w:b w:val="0"/>
                <w:i w:val="0"/>
                <w:sz w:val="18"/>
              </w:rPr>
              <w:t>Dextromethorphan</w:t>
            </w:r>
          </w:p>
        </w:tc>
        <w:tc>
          <w:tcPr>
            <w:tcW w:type="dxa" w:w="3636"/>
          </w:tcPr>
          <w:p>
            <w:pPr>
              <w:spacing w:after="40"/>
            </w:pPr>
            <w:r>
              <w:rPr>
                <w:sz w:val="18"/>
              </w:rPr>
            </w:r>
            <w:r>
              <w:rPr>
                <w:b w:val="0"/>
                <w:i w:val="0"/>
                <w:sz w:val="18"/>
              </w:rPr>
              <w:t>Cough</w:t>
            </w:r>
          </w:p>
        </w:tc>
        <w:tc>
          <w:tcPr>
            <w:tcW w:type="dxa" w:w="3636"/>
          </w:tcPr>
          <w:p>
            <w:pPr>
              <w:spacing w:after="40"/>
            </w:pPr>
            <w:r>
              <w:rPr>
                <w:sz w:val="18"/>
              </w:rPr>
            </w:r>
            <w:r>
              <w:rPr>
                <w:b w:val="0"/>
                <w:i w:val="0"/>
                <w:sz w:val="18"/>
              </w:rPr>
              <w:t>Confusion, excitement, agitation</w:t>
            </w:r>
          </w:p>
        </w:tc>
        <w:tc>
          <w:tcPr>
            <w:tcW w:type="dxa" w:w="363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3636"/>
          </w:tcPr>
          <w:p>
            <w:pPr>
              <w:spacing w:after="40"/>
            </w:pPr>
            <w:r>
              <w:rPr>
                <w:sz w:val="18"/>
              </w:rPr>
            </w:r>
            <w:r>
              <w:rPr>
                <w:b w:val="0"/>
                <w:i w:val="0"/>
                <w:sz w:val="18"/>
              </w:rPr>
              <w:t>Guaifenesin</w:t>
            </w:r>
          </w:p>
        </w:tc>
        <w:tc>
          <w:tcPr>
            <w:tcW w:type="dxa" w:w="3636"/>
          </w:tcPr>
          <w:p>
            <w:pPr>
              <w:spacing w:after="40"/>
            </w:pPr>
            <w:r>
              <w:rPr>
                <w:sz w:val="18"/>
              </w:rPr>
            </w:r>
            <w:r>
              <w:rPr>
                <w:b w:val="0"/>
                <w:i w:val="0"/>
                <w:sz w:val="18"/>
              </w:rPr>
              <w:t xml:space="preserve">Mucolytic, expectorant: </w:t>
            </w:r>
            <w:r>
              <w:rPr>
                <w:b/>
                <w:i w:val="0"/>
                <w:sz w:val="18"/>
              </w:rPr>
              <w:t>loosens mucus and decreases its viscosity</w:t>
            </w:r>
          </w:p>
        </w:tc>
        <w:tc>
          <w:tcPr>
            <w:tcW w:type="dxa" w:w="3636"/>
          </w:tcPr>
          <w:p>
            <w:pPr>
              <w:spacing w:after="40"/>
            </w:pPr>
            <w:r>
              <w:rPr>
                <w:sz w:val="18"/>
              </w:rPr>
            </w:r>
            <w:r>
              <w:rPr>
                <w:b w:val="0"/>
                <w:i w:val="0"/>
                <w:sz w:val="18"/>
              </w:rPr>
              <w:t>Nausea, vomiting</w:t>
            </w:r>
          </w:p>
        </w:tc>
        <w:tc>
          <w:tcPr>
            <w:tcW w:type="dxa" w:w="363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spacing w:after="120"/>
      </w:pPr>
      <w:r>
        <w:rPr>
          <w:b w:val="0"/>
          <w:i w:val="0"/>
        </w:rPr>
        <w:t>Also tested</w:t>
      </w:r>
    </w:p>
    <w:p>
      <w:pPr>
        <w:pStyle w:val="ListBullet"/>
        <w:spacing w:after="40"/>
      </w:pPr>
      <w:r>
        <w:rPr>
          <w:b/>
          <w:i w:val="0"/>
          <w:sz w:val="20"/>
        </w:rPr>
        <w:t>Benzonatate capsules.</w:t>
      </w:r>
      <w:r>
        <w:rPr>
          <w:b w:val="0"/>
          <w:i w:val="0"/>
          <w:sz w:val="20"/>
        </w:rPr>
        <w:t xml:space="preserve"> Swallow them whole, because they release local anesthetic that numbs whatever it touches; releasing it in the mouth and throat numbs the airway the patient needs to protect.</w:t>
      </w:r>
    </w:p>
    <w:p>
      <w:pPr>
        <w:pStyle w:val="ListBullet"/>
        <w:spacing w:after="40"/>
      </w:pPr>
      <w:r>
        <w:rPr>
          <w:b/>
          <w:i w:val="0"/>
          <w:sz w:val="20"/>
        </w:rPr>
        <w:t>Goals of cough treatment.</w:t>
      </w:r>
      <w:r>
        <w:rPr>
          <w:b w:val="0"/>
          <w:i w:val="0"/>
          <w:sz w:val="20"/>
        </w:rPr>
        <w:t xml:space="preserve"> The aim is fewer, milder episodes and no complications; abolishing the cough is not the goal, since a productive cough is doing a job.</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val="0"/>
                <w:i w:val="0"/>
                <w:sz w:val="18"/>
              </w:rPr>
              <w:t>Aspirin</w:t>
            </w:r>
          </w:p>
        </w:tc>
        <w:tc>
          <w:tcPr>
            <w:tcW w:type="dxa" w:w="727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7272"/>
          </w:tcPr>
          <w:p>
            <w:pPr>
              <w:spacing w:after="40"/>
            </w:pPr>
            <w:r>
              <w:rPr>
                <w:sz w:val="18"/>
              </w:rPr>
            </w:r>
            <w:r>
              <w:rPr>
                <w:b w:val="0"/>
                <w:i w:val="0"/>
                <w:sz w:val="18"/>
              </w:rPr>
              <w:t>Dexamethasone</w:t>
            </w:r>
          </w:p>
        </w:tc>
        <w:tc>
          <w:tcPr>
            <w:tcW w:type="dxa" w:w="727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7272"/>
          </w:tcPr>
          <w:p>
            <w:pPr>
              <w:spacing w:after="40"/>
            </w:pPr>
            <w:r>
              <w:rPr>
                <w:sz w:val="18"/>
              </w:rPr>
            </w:r>
            <w:r>
              <w:rPr>
                <w:b w:val="0"/>
                <w:i w:val="0"/>
                <w:sz w:val="18"/>
              </w:rPr>
              <w:t>Prednisone</w:t>
            </w:r>
          </w:p>
        </w:tc>
        <w:tc>
          <w:tcPr>
            <w:tcW w:type="dxa" w:w="727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7272"/>
          </w:tcPr>
          <w:p>
            <w:pPr>
              <w:spacing w:after="40"/>
            </w:pPr>
            <w:r>
              <w:rPr>
                <w:sz w:val="18"/>
              </w:rPr>
            </w:r>
            <w:r>
              <w:rPr>
                <w:b w:val="0"/>
                <w:i w:val="0"/>
                <w:sz w:val="18"/>
              </w:rPr>
              <w:t>Benzonatate</w:t>
            </w:r>
          </w:p>
        </w:tc>
        <w:tc>
          <w:tcPr>
            <w:tcW w:type="dxa" w:w="7272"/>
          </w:tcPr>
          <w:p>
            <w:pPr>
              <w:spacing w:after="40"/>
            </w:pPr>
            <w:r>
              <w:rPr>
                <w:sz w:val="18"/>
              </w:rPr>
            </w:r>
            <w:r>
              <w:rPr>
                <w:b/>
                <w:i w:val="0"/>
                <w:sz w:val="18"/>
              </w:rPr>
              <w:t>Swallow whole</w:t>
            </w:r>
            <w:r>
              <w:rPr>
                <w:b w:val="0"/>
                <w:i w:val="0"/>
                <w:sz w:val="18"/>
              </w:rPr>
              <w:t xml:space="preserve"> — do not chew, cut or crush</w:t>
            </w:r>
          </w:p>
        </w:tc>
      </w:tr>
      <w:tr>
        <w:tc>
          <w:tcPr>
            <w:tcW w:type="dxa" w:w="7272"/>
          </w:tcPr>
          <w:p>
            <w:pPr>
              <w:spacing w:after="40"/>
            </w:pPr>
            <w:r>
              <w:rPr>
                <w:sz w:val="18"/>
              </w:rPr>
            </w:r>
            <w:r>
              <w:rPr>
                <w:b w:val="0"/>
                <w:i w:val="0"/>
                <w:sz w:val="18"/>
              </w:rPr>
              <w:t>Guaifenesin</w:t>
            </w:r>
          </w:p>
        </w:tc>
        <w:tc>
          <w:tcPr>
            <w:tcW w:type="dxa" w:w="727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val="0"/>
          <w:i w:val="0"/>
        </w:rPr>
        <w:t>Also tested</w:t>
      </w:r>
    </w:p>
    <w:p>
      <w:pPr>
        <w:pStyle w:val="ListBullet"/>
        <w:spacing w:after="40"/>
      </w:pPr>
      <w:r>
        <w:rPr>
          <w:b/>
          <w:i w:val="0"/>
          <w:sz w:val="20"/>
        </w:rPr>
        <w:t>Aspirin for fever: other medicines.</w:t>
      </w:r>
      <w:r>
        <w:rPr>
          <w:b w:val="0"/>
          <w:i w:val="0"/>
          <w:sz w:val="20"/>
        </w:rPr>
        <w:t xml:space="preserve"> Patients should not take other non-steroidal anti-inflammatory drugs alongside it; they share a mechanism, so combining them adds the harms without adding the benefit.</w:t>
      </w:r>
    </w:p>
    <w:p>
      <w:pPr>
        <w:pStyle w:val="ListBullet"/>
        <w:spacing w:after="40"/>
      </w:pPr>
      <w:r>
        <w:rPr>
          <w:b/>
          <w:i w:val="0"/>
          <w:sz w:val="20"/>
        </w:rPr>
        <w:t>Aspirin for fever: when to return.</w:t>
      </w:r>
      <w:r>
        <w:rPr>
          <w:b w:val="0"/>
          <w:i w:val="0"/>
          <w:sz w:val="20"/>
        </w:rPr>
        <w:t xml:space="preserve"> Patients are told to come back straight away if the fever does not come down, meaning it fails to respond to the medicine rather than merely persisting.</w:t>
      </w:r>
    </w:p>
    <w:p>
      <w:pPr>
        <w:pStyle w:val="ListBullet"/>
        <w:spacing w:after="40"/>
      </w:pPr>
      <w:r>
        <w:rPr>
          <w:b/>
          <w:i w:val="0"/>
          <w:sz w:val="20"/>
        </w:rPr>
        <w:t>Nasal spray technique.</w:t>
      </w:r>
      <w:r>
        <w:rPr>
          <w:b w:val="0"/>
          <w:i w:val="0"/>
          <w:sz w:val="20"/>
        </w:rPr>
        <w:t xml:space="preserve"> Do not tilt the head back, because that draws the medicine into the throat, wasting the dose and producing the bitter taste that stops people using the spray.</w:t>
      </w:r>
    </w:p>
    <w:p>
      <w:pPr>
        <w:pStyle w:val="ListBullet"/>
        <w:spacing w:after="40"/>
      </w:pPr>
      <w:r>
        <w:rPr>
          <w:b/>
          <w:i w:val="0"/>
          <w:sz w:val="20"/>
        </w:rPr>
        <w:t>Nasal spray hand technique.</w:t>
      </w:r>
      <w:r>
        <w:rPr>
          <w:b w:val="0"/>
          <w:i w:val="0"/>
          <w:sz w:val="20"/>
        </w:rPr>
        <w:t xml:space="preserve"> Use the right hand for the left nostril and the left hand for the right: crossing hands angles the spray away from the septum, which is where nosebleed and perforation happen.</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Dry cough</w:t>
            </w:r>
          </w:p>
        </w:tc>
        <w:tc>
          <w:tcPr>
            <w:tcW w:type="dxa" w:w="727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7272"/>
          </w:tcPr>
          <w:p>
            <w:pPr>
              <w:spacing w:after="40"/>
            </w:pPr>
            <w:r>
              <w:rPr>
                <w:sz w:val="18"/>
              </w:rPr>
            </w:r>
            <w:r>
              <w:rPr>
                <w:b/>
                <w:i w:val="0"/>
                <w:sz w:val="18"/>
              </w:rPr>
              <w:t>First-dose hypotension</w:t>
            </w:r>
          </w:p>
        </w:tc>
        <w:tc>
          <w:tcPr>
            <w:tcW w:type="dxa" w:w="727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7272"/>
          </w:tcPr>
          <w:p>
            <w:pPr>
              <w:spacing w:after="40"/>
            </w:pPr>
            <w:r>
              <w:rPr>
                <w:sz w:val="18"/>
              </w:rPr>
            </w:r>
            <w:r>
              <w:rPr>
                <w:b/>
                <w:i w:val="0"/>
                <w:sz w:val="18"/>
              </w:rPr>
              <w:t>Renal impairment</w:t>
            </w:r>
          </w:p>
        </w:tc>
        <w:tc>
          <w:tcPr>
            <w:tcW w:type="dxa" w:w="727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7272"/>
          </w:tcPr>
          <w:p>
            <w:pPr>
              <w:spacing w:after="40"/>
            </w:pPr>
            <w:r>
              <w:rPr>
                <w:sz w:val="18"/>
              </w:rPr>
            </w:r>
            <w:r>
              <w:rPr>
                <w:b/>
                <w:i w:val="0"/>
                <w:sz w:val="18"/>
              </w:rPr>
              <w:t>Angioedema</w:t>
            </w:r>
          </w:p>
        </w:tc>
        <w:tc>
          <w:tcPr>
            <w:tcW w:type="dxa" w:w="727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7272"/>
          </w:tcPr>
          <w:p>
            <w:pPr>
              <w:spacing w:after="40"/>
            </w:pPr>
            <w:r>
              <w:rPr>
                <w:sz w:val="18"/>
              </w:rPr>
            </w:r>
            <w:r>
              <w:rPr>
                <w:b/>
                <w:i w:val="0"/>
                <w:sz w:val="18"/>
              </w:rPr>
              <w:t>Fetal harm</w:t>
            </w:r>
          </w:p>
        </w:tc>
        <w:tc>
          <w:tcPr>
            <w:tcW w:type="dxa" w:w="727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spacing w:after="120"/>
      </w:pPr>
      <w:r>
        <w:rPr>
          <w:b w:val="0"/>
          <w:i w:val="0"/>
        </w:rPr>
        <w:t>Also tested</w:t>
      </w:r>
    </w:p>
    <w:p>
      <w:pPr>
        <w:pStyle w:val="ListBullet"/>
        <w:spacing w:after="40"/>
      </w:pPr>
      <w:r>
        <w:rPr>
          <w:b/>
          <w:i w:val="0"/>
          <w:sz w:val="20"/>
        </w:rPr>
        <w:t>ACE inhibitors in left ventricular dysfunction.</w:t>
      </w:r>
      <w:r>
        <w:rPr>
          <w:b w:val="0"/>
          <w:i w:val="0"/>
          <w:sz w:val="20"/>
        </w:rPr>
        <w:t xml:space="preserve"> Give to all patients unless contraindicated. They reduce remodeling, afterload and preload, delay progression of heart failure, and reduce myocardial infarction and hospitalization.</w:t>
      </w:r>
    </w:p>
    <w:p>
      <w:pPr>
        <w:pStyle w:val="ListBullet"/>
        <w:spacing w:after="40"/>
      </w:pPr>
      <w:r>
        <w:rPr>
          <w:b/>
          <w:i w:val="0"/>
          <w:sz w:val="20"/>
        </w:rPr>
        <w:t>ACE inhibitor dry cough.</w:t>
      </w:r>
      <w:r>
        <w:rPr>
          <w:b w:val="0"/>
          <w:i w:val="0"/>
          <w:sz w:val="20"/>
        </w:rPr>
        <w:t xml:space="preserve"> It is not related to dose or agent, so lowering the dose will not stop it. It is more frequent in women and may require removing the ACE inhibitor if bothersome.</w:t>
      </w:r>
    </w:p>
    <w:p>
      <w:pPr>
        <w:pStyle w:val="ListBullet"/>
        <w:spacing w:after="40"/>
      </w:pPr>
      <w:r>
        <w:rPr>
          <w:b/>
          <w:i w:val="0"/>
          <w:sz w:val="20"/>
        </w:rPr>
        <w:t>ACE inhibitors and bradykinin.</w:t>
      </w:r>
      <w:r>
        <w:rPr>
          <w:b w:val="0"/>
          <w:i w:val="0"/>
          <w:sz w:val="20"/>
        </w:rPr>
        <w:t xml:space="preserve"> The enzyme that makes angiotensin II also inactivates bradykinin, so blocking it slows bradykinin breakdown and bradykinin accumulates, the root of both the dry cough and angioedema.</w:t>
      </w:r>
    </w:p>
    <w:p>
      <w:pPr>
        <w:pStyle w:val="ListBullet"/>
        <w:spacing w:after="40"/>
      </w:pPr>
      <w:r>
        <w:rPr>
          <w:b/>
          <w:i w:val="0"/>
          <w:sz w:val="20"/>
        </w:rPr>
        <w:t>ACE inhibitors in pregnancy.</w:t>
      </w:r>
      <w:r>
        <w:rPr>
          <w:b w:val="0"/>
          <w:i w:val="0"/>
          <w:sz w:val="20"/>
        </w:rPr>
        <w:t xml:space="preserve"> They cause fetal morbidity and mortality, including birth defects and fetal death, and are contraindicated in the second and third trimesters.</w:t>
      </w:r>
    </w:p>
    <w:p>
      <w:pPr>
        <w:pStyle w:val="ListBullet"/>
        <w:spacing w:after="40"/>
      </w:pPr>
      <w:r>
        <w:rPr>
          <w:b/>
          <w:i w:val="0"/>
          <w:sz w:val="20"/>
        </w:rPr>
        <w:t>ACE inhibitors in renal disease.</w:t>
      </w:r>
      <w:r>
        <w:rPr>
          <w:b w:val="0"/>
          <w:i w:val="0"/>
          <w:sz w:val="20"/>
        </w:rPr>
        <w:t xml:space="preserve"> Start with a low dose, increased slowly, because glomerular filtration can fall dramatically where renal blood flow depends on angiotensin II.</w:t>
      </w:r>
    </w:p>
    <w:p>
      <w:pPr>
        <w:pStyle w:val="ListBullet"/>
        <w:spacing w:after="40"/>
      </w:pPr>
      <w:r>
        <w:rPr>
          <w:b/>
          <w:i w:val="0"/>
          <w:sz w:val="20"/>
        </w:rPr>
        <w:t>Ramipril class.</w:t>
      </w:r>
      <w:r>
        <w:rPr>
          <w:b w:val="0"/>
          <w:i w:val="0"/>
          <w:sz w:val="20"/>
        </w:rPr>
        <w:t xml:space="preserve"> Ramipril is an ACE (angiotensin-converting enzyme) inhibitor; the -pril suffix marks the class, which also includes lisinopril, enalapril, benazepril and quinapril.</w:t>
      </w:r>
    </w:p>
    <w:p>
      <w:pPr>
        <w:pStyle w:val="ListBullet"/>
        <w:spacing w:after="40"/>
      </w:pPr>
      <w:r>
        <w:rPr>
          <w:b/>
          <w:i w:val="0"/>
          <w:sz w:val="20"/>
        </w:rPr>
        <w:t>Renin release and renal perfusion.</w:t>
      </w:r>
      <w:r>
        <w:rPr>
          <w:b w:val="0"/>
          <w:i w:val="0"/>
          <w:sz w:val="20"/>
        </w:rPr>
        <w:t xml:space="preserve"> Renin release increases when renal perfusion falls: the renal baroreceptor responds to stretch of the afferent arteriole, so less perfusion means more renin. Sympathetic activity at beta-1 receptors raises it too.</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ACE inhibitor</w:t>
                  </w:r>
                </w:p>
              </w:tc>
              <w:tc>
                <w:tcPr>
                  <w:tcW w:type="dxa" w:w="4848"/>
                  <w:shd w:val="clear" w:color="auto" w:fill="6B3524"/>
                </w:tcPr>
                <w:p>
                  <w:pPr>
                    <w:spacing w:after="40"/>
                  </w:pPr>
                  <w:r>
                    <w:rPr>
                      <w:b/>
                      <w:color w:val="FFFFFF"/>
                      <w:sz w:val="18"/>
                    </w:rPr>
                  </w:r>
                  <w:r>
                    <w:rPr>
                      <w:b/>
                      <w:i w:val="0"/>
                      <w:color w:val="FFFFFF"/>
                      <w:sz w:val="18"/>
                    </w:rPr>
                    <w:t>Angiotensin receptor blocker</w:t>
                  </w:r>
                </w:p>
              </w:tc>
            </w:tr>
            <w:tr>
              <w:tc>
                <w:tcPr>
                  <w:tcW w:type="dxa" w:w="4848"/>
                </w:tcPr>
                <w:p>
                  <w:pPr>
                    <w:spacing w:after="40"/>
                  </w:pPr>
                  <w:r>
                    <w:rPr>
                      <w:sz w:val="18"/>
                    </w:rPr>
                  </w:r>
                  <w:r>
                    <w:rPr>
                      <w:b w:val="0"/>
                      <w:i w:val="0"/>
                      <w:sz w:val="18"/>
                    </w:rPr>
                    <w:t>Bradykinin</w:t>
                  </w:r>
                </w:p>
              </w:tc>
              <w:tc>
                <w:tcPr>
                  <w:tcW w:type="dxa" w:w="4848"/>
                </w:tcPr>
                <w:p>
                  <w:pPr>
                    <w:spacing w:after="40"/>
                  </w:pPr>
                  <w:r>
                    <w:rPr>
                      <w:sz w:val="18"/>
                    </w:rPr>
                  </w:r>
                  <w:r>
                    <w:rPr>
                      <w:b w:val="0"/>
                      <w:i w:val="0"/>
                      <w:sz w:val="18"/>
                    </w:rPr>
                    <w:t xml:space="preserve">Not broken down → </w:t>
                  </w:r>
                  <w:r>
                    <w:rPr>
                      <w:b/>
                      <w:i w:val="0"/>
                      <w:sz w:val="18"/>
                    </w:rPr>
                    <w:t>cough and angioedema</w:t>
                  </w:r>
                </w:p>
              </w:tc>
              <w:tc>
                <w:tcPr>
                  <w:tcW w:type="dxa" w:w="4848"/>
                </w:tcPr>
                <w:p>
                  <w:pPr>
                    <w:spacing w:after="40"/>
                  </w:pPr>
                  <w:r>
                    <w:rPr>
                      <w:sz w:val="18"/>
                    </w:rPr>
                  </w:r>
                  <w:r>
                    <w:rPr>
                      <w:b w:val="0"/>
                      <w:i w:val="0"/>
                      <w:sz w:val="18"/>
                      <w:highlight w:val="yellow"/>
                    </w:rPr>
                    <w:t>ARB’s don’t inhibit breakdown of bradykinin (disadvantage)</w:t>
                  </w:r>
                </w:p>
              </w:tc>
            </w:tr>
            <w:tr>
              <w:tc>
                <w:tcPr>
                  <w:tcW w:type="dxa" w:w="4848"/>
                </w:tcPr>
                <w:p>
                  <w:pPr>
                    <w:spacing w:after="40"/>
                  </w:pPr>
                  <w:r>
                    <w:rPr>
                      <w:sz w:val="18"/>
                    </w:rPr>
                  </w:r>
                  <w:r>
                    <w:rPr>
                      <w:b w:val="0"/>
                      <w:i w:val="0"/>
                      <w:sz w:val="18"/>
                    </w:rPr>
                    <w:t>Cough</w:t>
                  </w:r>
                </w:p>
              </w:tc>
              <w:tc>
                <w:tcPr>
                  <w:tcW w:type="dxa" w:w="4848"/>
                </w:tcPr>
                <w:p>
                  <w:pPr>
                    <w:spacing w:after="40"/>
                  </w:pPr>
                  <w:r>
                    <w:rPr>
                      <w:sz w:val="18"/>
                    </w:rPr>
                  </w:r>
                  <w:r>
                    <w:rPr>
                      <w:b w:val="0"/>
                      <w:i w:val="0"/>
                      <w:sz w:val="18"/>
                    </w:rPr>
                    <w:t>5 to 15%</w:t>
                  </w:r>
                </w:p>
              </w:tc>
              <w:tc>
                <w:tcPr>
                  <w:tcW w:type="dxa" w:w="4848"/>
                </w:tcPr>
                <w:p>
                  <w:pPr>
                    <w:spacing w:after="40"/>
                  </w:pPr>
                  <w:r>
                    <w:rPr>
                      <w:sz w:val="18"/>
                    </w:rPr>
                  </w:r>
                  <w:r>
                    <w:rPr>
                      <w:b w:val="0"/>
                      <w:i w:val="0"/>
                      <w:sz w:val="18"/>
                      <w:highlight w:val="yellow"/>
                    </w:rPr>
                    <w:t>Do not cause cough — don’t affect bradykinin metabolism</w:t>
                  </w:r>
                </w:p>
              </w:tc>
            </w:tr>
            <w:tr>
              <w:tc>
                <w:tcPr>
                  <w:tcW w:type="dxa" w:w="4848"/>
                </w:tcPr>
                <w:p>
                  <w:pPr>
                    <w:spacing w:after="40"/>
                  </w:pPr>
                  <w:r>
                    <w:rPr>
                      <w:sz w:val="18"/>
                    </w:rPr>
                  </w:r>
                  <w:r>
                    <w:rPr>
                      <w:b w:val="0"/>
                      <w:i w:val="0"/>
                      <w:sz w:val="18"/>
                    </w:rPr>
                    <w:t>Angioedema</w:t>
                  </w:r>
                </w:p>
              </w:tc>
              <w:tc>
                <w:tcPr>
                  <w:tcW w:type="dxa" w:w="4848"/>
                </w:tcPr>
                <w:p>
                  <w:pPr>
                    <w:spacing w:after="40"/>
                  </w:pPr>
                  <w:r>
                    <w:rPr>
                      <w:sz w:val="18"/>
                    </w:rPr>
                  </w:r>
                  <w:r>
                    <w:rPr>
                      <w:b w:val="0"/>
                      <w:i w:val="0"/>
                      <w:sz w:val="18"/>
                    </w:rPr>
                    <w:t>Rare but real</w:t>
                  </w:r>
                </w:p>
              </w:tc>
              <w:tc>
                <w:tcPr>
                  <w:tcW w:type="dxa" w:w="4848"/>
                </w:tcPr>
                <w:p>
                  <w:pPr>
                    <w:spacing w:after="40"/>
                  </w:pPr>
                  <w:r>
                    <w:rPr>
                      <w:sz w:val="18"/>
                    </w:rPr>
                  </w:r>
                  <w:r>
                    <w:rPr>
                      <w:b w:val="0"/>
                      <w:i w:val="0"/>
                      <w:sz w:val="18"/>
                      <w:highlight w:val="yellow"/>
                    </w:rPr>
                    <w:t>Lower incidence of angioedema, may switch from ACE inhibitor</w:t>
                  </w:r>
                </w:p>
              </w:tc>
            </w:tr>
            <w:tr>
              <w:tc>
                <w:tcPr>
                  <w:tcW w:type="dxa" w:w="4848"/>
                </w:tcPr>
                <w:p>
                  <w:pPr>
                    <w:spacing w:after="40"/>
                  </w:pPr>
                  <w:r>
                    <w:rPr>
                      <w:sz w:val="18"/>
                    </w:rPr>
                  </w:r>
                  <w:r>
                    <w:rPr>
                      <w:b w:val="0"/>
                      <w:i w:val="0"/>
                      <w:sz w:val="18"/>
                    </w:rPr>
                    <w:t>Angiotensin II at AT1</w:t>
                  </w:r>
                </w:p>
              </w:tc>
              <w:tc>
                <w:tcPr>
                  <w:tcW w:type="dxa" w:w="4848"/>
                </w:tcPr>
                <w:p>
                  <w:pPr>
                    <w:spacing w:after="40"/>
                  </w:pPr>
                  <w:r>
                    <w:rPr>
                      <w:sz w:val="18"/>
                    </w:rPr>
                  </w:r>
                  <w:r>
                    <w:rPr>
                      <w:b w:val="0"/>
                      <w:i w:val="0"/>
                      <w:sz w:val="18"/>
                    </w:rPr>
                    <w:t>Reduced, not abolished</w:t>
                  </w:r>
                </w:p>
              </w:tc>
              <w:tc>
                <w:tcPr>
                  <w:tcW w:type="dxa" w:w="4848"/>
                </w:tcPr>
                <w:p>
                  <w:pPr>
                    <w:spacing w:after="40"/>
                  </w:pPr>
                  <w:r>
                    <w:rPr>
                      <w:sz w:val="18"/>
                    </w:rPr>
                  </w:r>
                  <w:r>
                    <w:rPr>
                      <w:b w:val="0"/>
                      <w:i w:val="0"/>
                      <w:sz w:val="18"/>
                    </w:rPr>
                    <w:t>Better at reducing its effect at AT1</w:t>
                  </w:r>
                </w:p>
              </w:tc>
            </w:tr>
            <w:tr>
              <w:tc>
                <w:tcPr>
                  <w:tcW w:type="dxa" w:w="4848"/>
                </w:tcPr>
                <w:p>
                  <w:pPr>
                    <w:spacing w:after="40"/>
                  </w:pPr>
                  <w:r>
                    <w:rPr>
                      <w:sz w:val="18"/>
                    </w:rPr>
                  </w:r>
                  <w:r>
                    <w:rPr>
                      <w:b w:val="0"/>
                      <w:i w:val="0"/>
                      <w:sz w:val="18"/>
                    </w:rPr>
                    <w:t>Hyperkalemia, pregnancy</w:t>
                  </w:r>
                </w:p>
              </w:tc>
              <w:tc>
                <w:tcPr>
                  <w:tcW w:type="dxa" w:w="969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val="0"/>
          <w:i w:val="0"/>
        </w:rPr>
        <w:t>Also tested</w:t>
      </w:r>
    </w:p>
    <w:p>
      <w:pPr>
        <w:pStyle w:val="ListBullet"/>
        <w:spacing w:after="40"/>
      </w:pPr>
      <w:r>
        <w:rPr>
          <w:b/>
          <w:i w:val="0"/>
          <w:sz w:val="20"/>
        </w:rPr>
        <w:t>Angiotensin receptor blockers in pregnancy.</w:t>
      </w:r>
      <w:r>
        <w:rPr>
          <w:b w:val="0"/>
          <w:i w:val="0"/>
          <w:sz w:val="20"/>
        </w:rPr>
        <w:t xml:space="preserve"> They share the fetal morbidity and mortality of ACE inhibitors and are not given in the second and third trimesters, so they are not an acceptable substitute then.</w:t>
      </w:r>
    </w:p>
    <w:p>
      <w:pPr>
        <w:pStyle w:val="ListBullet"/>
        <w:spacing w:after="40"/>
      </w:pPr>
      <w:r>
        <w:rPr>
          <w:b/>
          <w:i w:val="0"/>
          <w:sz w:val="20"/>
        </w:rPr>
        <w:t>Angiotensin receptor blocker mechanism.</w:t>
      </w:r>
      <w:r>
        <w:rPr>
          <w:b w:val="0"/>
          <w:i w:val="0"/>
          <w:sz w:val="20"/>
        </w:rPr>
        <w:t xml:space="preserve"> They lower blood pressure by blocking AT1 (angiotensin II type 1) receptors, binding with high affinity and dissociating slowly for sustained blockade: vasodilation, less aldosterone and less sodium reabsorption.</w:t>
      </w:r>
    </w:p>
    <w:p>
      <w:pPr>
        <w:pStyle w:val="ListBullet"/>
        <w:spacing w:after="40"/>
      </w:pPr>
      <w:r>
        <w:rPr>
          <w:b/>
          <w:i w:val="0"/>
          <w:sz w:val="20"/>
        </w:rPr>
        <w:t>Angiotensin II despite ACE inhibition.</w:t>
      </w:r>
      <w:r>
        <w:rPr>
          <w:b w:val="0"/>
          <w:i w:val="0"/>
          <w:sz w:val="20"/>
        </w:rPr>
        <w:t xml:space="preserve"> Angiotensin II can still be produced by other enzymes such as chymase (also trypsin and cathepsin), a limit of ACE (angiotensin-converting enzyme) inhibitors that angiotensin receptor blockers get around.</w:t>
      </w:r>
    </w:p>
    <w:p>
      <w:pPr>
        <w:pStyle w:val="ListBullet"/>
        <w:spacing w:after="40"/>
      </w:pPr>
      <w:r>
        <w:rPr>
          <w:b/>
          <w:i w:val="0"/>
          <w:sz w:val="20"/>
        </w:rPr>
        <w:t>Losartan and hyperkalemia.</w:t>
      </w:r>
      <w:r>
        <w:rPr>
          <w:b w:val="0"/>
          <w:i w:val="0"/>
          <w:sz w:val="20"/>
        </w:rPr>
        <w:t xml:space="preserve"> Hyperkalemia with angiotensin receptor blockers is linked to renal disease and potassium-sparing diuretics, both of which keep potassium in, so adding a potassium-sparing diuretic to losartan most increases the risk.</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Diltiazem</w:t>
                  </w:r>
                </w:p>
              </w:tc>
              <w:tc>
                <w:tcPr>
                  <w:tcW w:type="dxa" w:w="3636"/>
                  <w:shd w:val="clear" w:color="auto" w:fill="6B3524"/>
                </w:tcPr>
                <w:p>
                  <w:pPr>
                    <w:spacing w:after="40"/>
                  </w:pPr>
                  <w:r>
                    <w:rPr>
                      <w:b/>
                      <w:color w:val="FFFFFF"/>
                      <w:sz w:val="18"/>
                    </w:rPr>
                  </w:r>
                  <w:r>
                    <w:rPr>
                      <w:b/>
                      <w:i w:val="0"/>
                      <w:color w:val="FFFFFF"/>
                      <w:sz w:val="18"/>
                    </w:rPr>
                    <w:t>Verapamil</w:t>
                  </w:r>
                </w:p>
              </w:tc>
              <w:tc>
                <w:tcPr>
                  <w:tcW w:type="dxa" w:w="3636"/>
                  <w:shd w:val="clear" w:color="auto" w:fill="6B3524"/>
                </w:tcPr>
                <w:p>
                  <w:pPr>
                    <w:spacing w:after="40"/>
                  </w:pPr>
                  <w:r>
                    <w:rPr>
                      <w:b/>
                      <w:color w:val="FFFFFF"/>
                      <w:sz w:val="18"/>
                    </w:rPr>
                  </w:r>
                  <w:r>
                    <w:rPr>
                      <w:b/>
                      <w:i w:val="0"/>
                      <w:color w:val="FFFFFF"/>
                      <w:sz w:val="18"/>
                    </w:rPr>
                    <w:t>Dihydropyridines</w:t>
                  </w:r>
                </w:p>
              </w:tc>
            </w:tr>
            <w:tr>
              <w:tc>
                <w:tcPr>
                  <w:tcW w:type="dxa" w:w="3636"/>
                </w:tcPr>
                <w:p>
                  <w:pPr>
                    <w:spacing w:after="40"/>
                  </w:pPr>
                  <w:r>
                    <w:rPr>
                      <w:sz w:val="18"/>
                    </w:rPr>
                  </w:r>
                  <w:r>
                    <w:rPr>
                      <w:b w:val="0"/>
                      <w:i w:val="0"/>
                      <w:sz w:val="18"/>
                    </w:rPr>
                    <w:t>Vasodilation</w:t>
                  </w:r>
                </w:p>
              </w:tc>
              <w:tc>
                <w:tcPr>
                  <w:tcW w:type="dxa" w:w="3636"/>
                </w:tcPr>
                <w:p>
                  <w:pPr>
                    <w:spacing w:after="40"/>
                  </w:pPr>
                  <w:r>
                    <w:rPr>
                      <w:sz w:val="18"/>
                    </w:rPr>
                  </w:r>
                  <w:r>
                    <w:rPr>
                      <w:b w:val="0"/>
                      <w:i w:val="0"/>
                      <w:sz w:val="18"/>
                    </w:rPr>
                    <w:t>Strong</w:t>
                  </w:r>
                </w:p>
              </w:tc>
              <w:tc>
                <w:tcPr>
                  <w:tcW w:type="dxa" w:w="3636"/>
                </w:tcPr>
                <w:p>
                  <w:pPr>
                    <w:spacing w:after="40"/>
                  </w:pPr>
                  <w:r>
                    <w:rPr>
                      <w:sz w:val="18"/>
                    </w:rPr>
                  </w:r>
                  <w:r>
                    <w:rPr>
                      <w:b w:val="0"/>
                      <w:i w:val="0"/>
                      <w:sz w:val="18"/>
                    </w:rPr>
                    <w:t>Stronger</w:t>
                  </w:r>
                </w:p>
              </w:tc>
              <w:tc>
                <w:tcPr>
                  <w:tcW w:type="dxa" w:w="3636"/>
                </w:tcPr>
                <w:p>
                  <w:pPr>
                    <w:spacing w:after="40"/>
                  </w:pPr>
                  <w:r>
                    <w:rPr>
                      <w:sz w:val="18"/>
                    </w:rPr>
                  </w:r>
                  <w:r>
                    <w:rPr>
                      <w:b/>
                      <w:i w:val="0"/>
                      <w:sz w:val="18"/>
                    </w:rPr>
                    <w:t>Strongest</w:t>
                  </w:r>
                </w:p>
              </w:tc>
            </w:tr>
            <w:tr>
              <w:tc>
                <w:tcPr>
                  <w:tcW w:type="dxa" w:w="3636"/>
                </w:tcPr>
                <w:p>
                  <w:pPr>
                    <w:spacing w:after="40"/>
                  </w:pPr>
                  <w:r>
                    <w:rPr>
                      <w:sz w:val="18"/>
                    </w:rPr>
                  </w:r>
                  <w:r>
                    <w:rPr>
                      <w:b w:val="0"/>
                      <w:i w:val="0"/>
                      <w:sz w:val="18"/>
                    </w:rPr>
                    <w:t>Suppresses contractility</w:t>
                  </w:r>
                </w:p>
              </w:tc>
              <w:tc>
                <w:tcPr>
                  <w:tcW w:type="dxa" w:w="3636"/>
                </w:tcPr>
                <w:p>
                  <w:pPr>
                    <w:spacing w:after="40"/>
                  </w:pPr>
                  <w:r>
                    <w:rPr>
                      <w:sz w:val="18"/>
                    </w:rPr>
                  </w:r>
                  <w:r>
                    <w:rPr>
                      <w:b w:val="0"/>
                      <w:i w:val="0"/>
                      <w:sz w:val="18"/>
                    </w:rPr>
                    <w:t>Moderate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None to minimal</w:t>
                  </w:r>
                </w:p>
              </w:tc>
            </w:tr>
            <w:tr>
              <w:tc>
                <w:tcPr>
                  <w:tcW w:type="dxa" w:w="3636"/>
                </w:tcPr>
                <w:p>
                  <w:pPr>
                    <w:spacing w:after="40"/>
                  </w:pPr>
                  <w:r>
                    <w:rPr>
                      <w:sz w:val="18"/>
                    </w:rPr>
                  </w:r>
                  <w:r>
                    <w:rPr>
                      <w:b w:val="0"/>
                      <w:i w:val="0"/>
                      <w:sz w:val="18"/>
                    </w:rPr>
                    <w:t>Suppresses sinoatrial automaticity</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Minimal</w:t>
                  </w:r>
                </w:p>
              </w:tc>
            </w:tr>
            <w:tr>
              <w:tc>
                <w:tcPr>
                  <w:tcW w:type="dxa" w:w="3636"/>
                </w:tcPr>
                <w:p>
                  <w:pPr>
                    <w:spacing w:after="40"/>
                  </w:pPr>
                  <w:r>
                    <w:rPr>
                      <w:sz w:val="18"/>
                    </w:rPr>
                  </w:r>
                  <w:r>
                    <w:rPr>
                      <w:b w:val="0"/>
                      <w:i w:val="0"/>
                      <w:sz w:val="18"/>
                    </w:rPr>
                    <w:t>Slows atrioventricular conduction</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val="0"/>
          <w:i w:val="0"/>
        </w:rPr>
        <w:t>Also tested</w:t>
      </w:r>
    </w:p>
    <w:p>
      <w:pPr>
        <w:pStyle w:val="ListBullet"/>
        <w:spacing w:after="40"/>
      </w:pPr>
      <w:r>
        <w:rPr>
          <w:b/>
          <w:i w:val="0"/>
          <w:sz w:val="20"/>
        </w:rPr>
        <w:t>Clonidine with a beta blocker.</w:t>
      </w:r>
      <w:r>
        <w:rPr>
          <w:b w:val="0"/>
          <w:i w:val="0"/>
          <w:sz w:val="20"/>
        </w:rPr>
        <w:t xml:space="preserve"> Together they lower pressure, but abrupt clonidine withdrawal in this combination produces a dramatic rise in blood pressure.</w:t>
      </w:r>
    </w:p>
    <w:p>
      <w:pPr>
        <w:pStyle w:val="ListBullet"/>
        <w:spacing w:after="40"/>
      </w:pPr>
      <w:r>
        <w:rPr>
          <w:b/>
          <w:i w:val="0"/>
          <w:sz w:val="20"/>
        </w:rPr>
        <w:t>AV conduction and calcium channel blockers.</w:t>
      </w:r>
      <w:r>
        <w:rPr>
          <w:b w:val="0"/>
          <w:i w:val="0"/>
          <w:sz w:val="20"/>
        </w:rPr>
        <w:t xml:space="preserve"> Both classes reduce the slow inward calcium current, but only non-dihydropyridines also decrease the channel's rate of recovery, which slows atrioventricular conduction.</w:t>
      </w:r>
    </w:p>
    <w:p>
      <w:pPr>
        <w:pStyle w:val="ListBullet"/>
        <w:spacing w:after="40"/>
      </w:pPr>
      <w:r>
        <w:rPr>
          <w:b/>
          <w:i w:val="0"/>
          <w:sz w:val="20"/>
        </w:rPr>
        <w:t>Verapamil and digoxin.</w:t>
      </w:r>
      <w:r>
        <w:rPr>
          <w:b w:val="0"/>
          <w:i w:val="0"/>
          <w:sz w:val="20"/>
        </w:rPr>
        <w:t xml:space="preserve"> Non-dihydropyridines inhibit P-glycoprotein, raising digoxin, tacrolimus, cyclosporine and carbamazepine; digoxin also adds a pharmacodynamic interaction.</w:t>
      </w:r>
    </w:p>
    <w:p>
      <w:pPr>
        <w:pStyle w:val="ListBullet"/>
        <w:spacing w:after="40"/>
      </w:pPr>
      <w:r>
        <w:rPr>
          <w:b/>
          <w:i w:val="0"/>
          <w:sz w:val="20"/>
        </w:rPr>
        <w:t>Non-dihydropyridine adverse effects.</w:t>
      </w:r>
      <w:r>
        <w:rPr>
          <w:b w:val="0"/>
          <w:i w:val="0"/>
          <w:sz w:val="20"/>
        </w:rPr>
        <w:t xml:space="preserve"> Raised liver function tests are listed among them, and liver disease is a relative contraindication to diltiazem and verapamil.</w:t>
      </w:r>
    </w:p>
    <w:p>
      <w:pPr>
        <w:pStyle w:val="ListBullet"/>
        <w:spacing w:after="40"/>
      </w:pPr>
      <w:r>
        <w:rPr>
          <w:b/>
          <w:i w:val="0"/>
          <w:sz w:val="20"/>
        </w:rPr>
        <w:t>Calcium channel blockers and load.</w:t>
      </w:r>
      <w:r>
        <w:rPr>
          <w:b w:val="0"/>
          <w:i w:val="0"/>
          <w:sz w:val="20"/>
        </w:rPr>
        <w:t xml:space="preserve"> At therapeutic doses they lower afterload with no change in preload, because they do not reduce venous tone.</w:t>
      </w:r>
    </w:p>
    <w:p>
      <w:pPr>
        <w:pStyle w:val="ListBullet"/>
        <w:spacing w:after="40"/>
      </w:pPr>
      <w:r>
        <w:rPr>
          <w:b/>
          <w:i w:val="0"/>
          <w:sz w:val="20"/>
        </w:rPr>
        <w:t>Verapamil and simvastatin.</w:t>
      </w:r>
      <w:r>
        <w:rPr>
          <w:b w:val="0"/>
          <w:i w:val="0"/>
          <w:sz w:val="20"/>
        </w:rPr>
        <w:t xml:space="preserve"> Verapamil raises simvastatin levels through CYP3A4 inhibition. Non-dihydropyridines inhibit CYP3A4, raising atorvastatin, lovastatin and simvastatin, as well as carbamazepine, propranolol, tacrolimus and cyclosporine.</w:t>
      </w:r>
    </w:p>
    <w:p>
      <w:pPr>
        <w:pStyle w:val="ListBullet"/>
        <w:spacing w:after="40"/>
      </w:pPr>
      <w:r>
        <w:rPr>
          <w:b/>
          <w:i w:val="0"/>
          <w:sz w:val="20"/>
        </w:rPr>
        <w:t>Nimodipine.</w:t>
      </w:r>
      <w:r>
        <w:rPr>
          <w:b w:val="0"/>
          <w:i w:val="0"/>
          <w:sz w:val="20"/>
        </w:rPr>
        <w:t xml:space="preserve"> Nimodipine is the dihydropyridine approved for subarachnoid hemorrhage; the other dihydropyridines are approved for hypertension with or without angina.</w:t>
      </w:r>
    </w:p>
    <w:p>
      <w:pPr>
        <w:pStyle w:val="ListBullet"/>
        <w:spacing w:after="40"/>
      </w:pPr>
      <w:r>
        <w:rPr>
          <w:b/>
          <w:i w:val="0"/>
          <w:sz w:val="20"/>
        </w:rPr>
        <w:t>Calcium channel blocker gynecomastia.</w:t>
      </w:r>
      <w:r>
        <w:rPr>
          <w:b w:val="0"/>
          <w:i w:val="0"/>
          <w:sz w:val="20"/>
        </w:rPr>
        <w:t xml:space="preserve"> Gynecomastia is more likely with nifedipine than with diltiazem, whereas gingival hyperplasia is shared across the class.</w:t>
      </w:r>
    </w:p>
    <w:p>
      <w:pPr>
        <w:pStyle w:val="ListBullet"/>
        <w:spacing w:after="40"/>
      </w:pPr>
      <w:r>
        <w:rPr>
          <w:b/>
          <w:i w:val="0"/>
          <w:sz w:val="20"/>
        </w:rPr>
        <w:t>Diltiazem and tacrolimus.</w:t>
      </w:r>
      <w:r>
        <w:rPr>
          <w:b w:val="0"/>
          <w:i w:val="0"/>
          <w:sz w:val="20"/>
        </w:rPr>
        <w:t xml:space="preserve"> The tacrolimus level rises when diltiazem is started: non-dihydropyridines inhibit CYP3A4 and P-glycoprotein, and tacrolimus and cyclosporine are on both lists, so their levels rise.</w:t>
      </w:r>
    </w:p>
    <w:p>
      <w:pPr>
        <w:pStyle w:val="ListBullet"/>
        <w:spacing w:after="40"/>
      </w:pPr>
      <w:r>
        <w:rPr>
          <w:b/>
          <w:i w:val="0"/>
          <w:sz w:val="20"/>
        </w:rPr>
        <w:t>Calcium channel blockers in heart failure.</w:t>
      </w:r>
      <w:r>
        <w:rPr>
          <w:b w:val="0"/>
          <w:i w:val="0"/>
          <w:sz w:val="20"/>
        </w:rPr>
        <w:t xml:space="preserve"> Heart failure is a relative contraindication to the non-dihydropyridines because they suppress contractility; amlodipine, a dihydropyridine approved for hypertension, has little effect on contractility and avoids this.</w:t>
      </w:r>
    </w:p>
    <w:p>
      <w:pPr>
        <w:pStyle w:val="ListBullet"/>
        <w:spacing w:after="40"/>
      </w:pPr>
      <w:r>
        <w:rPr>
          <w:b/>
          <w:i w:val="0"/>
          <w:sz w:val="20"/>
        </w:rPr>
        <w:t>Diltiazem and simvastatin.</w:t>
      </w:r>
      <w:r>
        <w:rPr>
          <w:b w:val="0"/>
          <w:i w:val="0"/>
          <w:sz w:val="20"/>
        </w:rPr>
        <w:t xml:space="preserve"> Diltiazem raises simvastatin levels by inhibiting CYP3A4; non-dihydropyridines inhibit CYP3A4, raising atorvastatin, lovastatin and simvastatin.</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Generation</w:t>
            </w:r>
          </w:p>
        </w:tc>
        <w:tc>
          <w:tcPr>
            <w:tcW w:type="dxa" w:w="4848"/>
            <w:shd w:val="clear" w:color="auto" w:fill="6B3524"/>
          </w:tcPr>
          <w:p>
            <w:pPr>
              <w:spacing w:after="40"/>
            </w:pPr>
            <w:r>
              <w:rPr>
                <w:b/>
                <w:color w:val="FFFFFF"/>
                <w:sz w:val="18"/>
              </w:rPr>
            </w:r>
            <w:r>
              <w:rPr>
                <w:b/>
                <w:i w:val="0"/>
                <w:color w:val="FFFFFF"/>
                <w:sz w:val="18"/>
              </w:rPr>
              <w:t>Agents</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val="0"/>
                <w:i w:val="0"/>
                <w:sz w:val="18"/>
              </w:rPr>
              <w:t xml:space="preserve">First — </w:t>
            </w:r>
            <w:r>
              <w:rPr>
                <w:b/>
                <w:i w:val="0"/>
                <w:sz w:val="18"/>
              </w:rPr>
              <w:t>non-selective</w:t>
            </w:r>
          </w:p>
        </w:tc>
        <w:tc>
          <w:tcPr>
            <w:tcW w:type="dxa" w:w="484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484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4848"/>
          </w:tcPr>
          <w:p>
            <w:pPr>
              <w:spacing w:after="40"/>
            </w:pPr>
            <w:r>
              <w:rPr>
                <w:sz w:val="18"/>
              </w:rPr>
            </w:r>
            <w:r>
              <w:rPr>
                <w:b w:val="0"/>
                <w:i w:val="0"/>
                <w:sz w:val="18"/>
              </w:rPr>
              <w:t xml:space="preserve">Second — </w:t>
            </w:r>
            <w:r>
              <w:rPr>
                <w:b/>
                <w:i w:val="0"/>
                <w:sz w:val="18"/>
              </w:rPr>
              <w:t>beta-1 selective</w:t>
            </w:r>
          </w:p>
        </w:tc>
        <w:tc>
          <w:tcPr>
            <w:tcW w:type="dxa" w:w="484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4848"/>
          </w:tcPr>
          <w:p>
            <w:pPr>
              <w:spacing w:after="40"/>
            </w:pPr>
            <w:r>
              <w:rPr>
                <w:sz w:val="18"/>
              </w:rPr>
            </w:r>
            <w:r>
              <w:rPr>
                <w:b w:val="0"/>
                <w:i w:val="0"/>
                <w:sz w:val="18"/>
              </w:rPr>
              <w:t>Bronchospasm less likely</w:t>
            </w:r>
          </w:p>
        </w:tc>
      </w:tr>
      <w:tr>
        <w:tc>
          <w:tcPr>
            <w:tcW w:type="dxa" w:w="4848"/>
          </w:tcPr>
          <w:p>
            <w:pPr>
              <w:spacing w:after="40"/>
            </w:pPr>
            <w:r>
              <w:rPr>
                <w:sz w:val="18"/>
              </w:rPr>
            </w:r>
            <w:r>
              <w:rPr>
                <w:b w:val="0"/>
                <w:i w:val="0"/>
                <w:sz w:val="18"/>
              </w:rPr>
              <w:t xml:space="preserve">Third — </w:t>
            </w:r>
            <w:r>
              <w:rPr>
                <w:b/>
                <w:i w:val="0"/>
                <w:sz w:val="18"/>
              </w:rPr>
              <w:t>vasodilating</w:t>
            </w:r>
          </w:p>
        </w:tc>
        <w:tc>
          <w:tcPr>
            <w:tcW w:type="dxa" w:w="484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484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Detail</w:t>
            </w:r>
          </w:p>
        </w:tc>
      </w:tr>
      <w:tr>
        <w:tc>
          <w:tcPr>
            <w:tcW w:type="dxa" w:w="7272"/>
          </w:tcPr>
          <w:p>
            <w:pPr>
              <w:spacing w:after="40"/>
            </w:pPr>
            <w:r>
              <w:rPr>
                <w:sz w:val="18"/>
              </w:rPr>
            </w:r>
            <w:r>
              <w:rPr>
                <w:b/>
                <w:i w:val="0"/>
                <w:sz w:val="18"/>
              </w:rPr>
              <w:t>Bronchoconstriction</w:t>
            </w:r>
          </w:p>
        </w:tc>
        <w:tc>
          <w:tcPr>
            <w:tcW w:type="dxa" w:w="727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7272"/>
          </w:tcPr>
          <w:p>
            <w:pPr>
              <w:spacing w:after="40"/>
            </w:pPr>
            <w:r>
              <w:rPr>
                <w:sz w:val="18"/>
              </w:rPr>
            </w:r>
            <w:r>
              <w:rPr>
                <w:b w:val="0"/>
                <w:i w:val="0"/>
                <w:sz w:val="18"/>
              </w:rPr>
              <w:t>Cardiodepression</w:t>
            </w:r>
          </w:p>
        </w:tc>
        <w:tc>
          <w:tcPr>
            <w:tcW w:type="dxa" w:w="7272"/>
          </w:tcPr>
          <w:p>
            <w:pPr>
              <w:spacing w:after="40"/>
            </w:pPr>
            <w:r>
              <w:rPr>
                <w:sz w:val="18"/>
              </w:rPr>
            </w:r>
            <w:r>
              <w:rPr>
                <w:b w:val="0"/>
                <w:i w:val="0"/>
                <w:sz w:val="18"/>
              </w:rPr>
              <w:t>Negative inotropy (fatigue, heart failure); negative chronotropy (bradycardia under 60); first-, second- and third-degree heart block</w:t>
            </w:r>
          </w:p>
        </w:tc>
      </w:tr>
      <w:tr>
        <w:tc>
          <w:tcPr>
            <w:tcW w:type="dxa" w:w="7272"/>
          </w:tcPr>
          <w:p>
            <w:pPr>
              <w:spacing w:after="40"/>
            </w:pPr>
            <w:r>
              <w:rPr>
                <w:sz w:val="18"/>
              </w:rPr>
            </w:r>
            <w:r>
              <w:rPr>
                <w:b/>
                <w:i w:val="0"/>
                <w:sz w:val="18"/>
              </w:rPr>
              <w:t>Glucose</w:t>
            </w:r>
          </w:p>
        </w:tc>
        <w:tc>
          <w:tcPr>
            <w:tcW w:type="dxa" w:w="727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7272"/>
          </w:tcPr>
          <w:p>
            <w:pPr>
              <w:spacing w:after="40"/>
            </w:pPr>
            <w:r>
              <w:rPr>
                <w:sz w:val="18"/>
              </w:rPr>
            </w:r>
            <w:r>
              <w:rPr>
                <w:b w:val="0"/>
                <w:i w:val="0"/>
                <w:sz w:val="18"/>
              </w:rPr>
              <w:t>Peripheral circulation</w:t>
            </w:r>
          </w:p>
        </w:tc>
        <w:tc>
          <w:tcPr>
            <w:tcW w:type="dxa" w:w="727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7272"/>
          </w:tcPr>
          <w:p>
            <w:pPr>
              <w:spacing w:after="40"/>
            </w:pPr>
            <w:r>
              <w:rPr>
                <w:sz w:val="18"/>
              </w:rPr>
            </w:r>
            <w:r>
              <w:rPr>
                <w:b/>
                <w:i w:val="0"/>
                <w:sz w:val="18"/>
              </w:rPr>
              <w:t>Sudden withdrawal</w:t>
            </w:r>
          </w:p>
        </w:tc>
        <w:tc>
          <w:tcPr>
            <w:tcW w:type="dxa" w:w="727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7272"/>
          </w:tcPr>
          <w:p>
            <w:pPr>
              <w:spacing w:after="40"/>
            </w:pPr>
            <w:r>
              <w:rPr>
                <w:sz w:val="18"/>
              </w:rPr>
            </w:r>
            <w:r>
              <w:rPr>
                <w:b w:val="0"/>
                <w:i w:val="0"/>
                <w:sz w:val="18"/>
              </w:rPr>
              <w:t>Central effects</w:t>
            </w:r>
          </w:p>
        </w:tc>
        <w:tc>
          <w:tcPr>
            <w:tcW w:type="dxa" w:w="727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7272"/>
          </w:tcPr>
          <w:p>
            <w:pPr>
              <w:spacing w:after="40"/>
            </w:pPr>
            <w:r>
              <w:rPr>
                <w:sz w:val="18"/>
              </w:rPr>
            </w:r>
            <w:r>
              <w:rPr>
                <w:b w:val="0"/>
                <w:i w:val="0"/>
                <w:sz w:val="18"/>
              </w:rPr>
              <w:t>Lipids</w:t>
            </w:r>
          </w:p>
        </w:tc>
        <w:tc>
          <w:tcPr>
            <w:tcW w:type="dxa" w:w="727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spacing w:after="120"/>
      </w:pPr>
      <w:r>
        <w:rPr>
          <w:b w:val="0"/>
          <w:i w:val="0"/>
        </w:rPr>
        <w:t>Also tested</w:t>
      </w:r>
    </w:p>
    <w:p>
      <w:pPr>
        <w:pStyle w:val="ListBullet"/>
        <w:spacing w:after="40"/>
      </w:pPr>
      <w:r>
        <w:rPr>
          <w:b/>
          <w:i w:val="0"/>
          <w:sz w:val="20"/>
        </w:rPr>
        <w:t>Non-selective beta blocker start.</w:t>
      </w:r>
      <w:r>
        <w:rPr>
          <w:b w:val="0"/>
          <w:i w:val="0"/>
          <w:sz w:val="20"/>
        </w:rPr>
        <w:t xml:space="preserve"> Cardiac output falls, so total peripheral resistance rises by reflex at first; mean arterial pressure falls only with chronic therapy as the baroreflex adjusts.</w:t>
      </w:r>
    </w:p>
    <w:p>
      <w:pPr>
        <w:pStyle w:val="ListBullet"/>
        <w:spacing w:after="40"/>
      </w:pPr>
      <w:r>
        <w:rPr>
          <w:b/>
          <w:i w:val="0"/>
          <w:sz w:val="20"/>
        </w:rPr>
        <w:t>Labetalol.</w:t>
      </w:r>
      <w:r>
        <w:rPr>
          <w:b w:val="0"/>
          <w:i w:val="0"/>
          <w:sz w:val="20"/>
        </w:rPr>
        <w:t xml:space="preserve"> This third-generation agent has alpha-1 blockade in addition to beta blockade, and also has beta-2 agonist activity, giving direct vasodilation.</w:t>
      </w:r>
    </w:p>
    <w:p>
      <w:pPr>
        <w:pStyle w:val="ListBullet"/>
        <w:spacing w:after="40"/>
      </w:pPr>
      <w:r>
        <w:rPr>
          <w:b/>
          <w:i w:val="0"/>
          <w:sz w:val="20"/>
        </w:rPr>
        <w:t>Beta blockers and angiotensin II.</w:t>
      </w:r>
      <w:r>
        <w:rPr>
          <w:b w:val="0"/>
          <w:i w:val="0"/>
          <w:sz w:val="20"/>
        </w:rPr>
        <w:t xml:space="preserve"> Blocking renal beta-1 receptors on the juxtaglomerular cells, which mediate renin release, reduces renin and therefore angiotensin II.</w:t>
      </w:r>
    </w:p>
    <w:p>
      <w:pPr>
        <w:pStyle w:val="ListBullet"/>
        <w:spacing w:after="40"/>
      </w:pPr>
      <w:r>
        <w:rPr>
          <w:b/>
          <w:i w:val="0"/>
          <w:sz w:val="20"/>
        </w:rPr>
        <w:t>Beta blockers in COPD (chronic obstructive pulmonary disease).</w:t>
      </w:r>
      <w:r>
        <w:rPr>
          <w:b w:val="0"/>
          <w:i w:val="0"/>
          <w:sz w:val="20"/>
        </w:rPr>
        <w:t xml:space="preserve"> They are contraindicated with bronchospasm because they block airway beta-2 receptors, reducing bronchial smooth muscle relaxation; about a third of patients with COPD develop bronchospasm.</w:t>
      </w:r>
    </w:p>
    <w:p>
      <w:pPr>
        <w:pStyle w:val="ListBullet"/>
        <w:spacing w:after="40"/>
      </w:pPr>
      <w:r>
        <w:rPr>
          <w:b/>
          <w:i w:val="0"/>
          <w:sz w:val="20"/>
        </w:rPr>
        <w:t>Beta blockers in type 1 diabetes.</w:t>
      </w:r>
      <w:r>
        <w:rPr>
          <w:b w:val="0"/>
          <w:i w:val="0"/>
          <w:sz w:val="20"/>
        </w:rPr>
        <w:t xml:space="preserve"> Beta blockers inhibit glycogenolysis, so hypoglycemia lasts longer, and they mask its adrenergic warning symptoms.</w:t>
      </w:r>
    </w:p>
    <w:p>
      <w:pPr>
        <w:pStyle w:val="ListBullet"/>
        <w:spacing w:after="40"/>
      </w:pPr>
      <w:r>
        <w:rPr>
          <w:b/>
          <w:i w:val="0"/>
          <w:sz w:val="20"/>
        </w:rPr>
        <w:t>Beta blockers in heart failure.</w:t>
      </w:r>
      <w:r>
        <w:rPr>
          <w:b w:val="0"/>
          <w:i w:val="0"/>
          <w:sz w:val="20"/>
        </w:rPr>
        <w:t xml:space="preserve"> Start at a very low dose and increase slowly, because beta blockers initially worsen heart failure symptoms.</w:t>
      </w:r>
    </w:p>
    <w:p>
      <w:pPr>
        <w:pStyle w:val="ListBullet"/>
        <w:spacing w:after="40"/>
      </w:pPr>
      <w:r>
        <w:rPr>
          <w:b/>
          <w:i w:val="0"/>
          <w:sz w:val="20"/>
        </w:rPr>
        <w:t>Beta blockade in exertional angina.</w:t>
      </w:r>
      <w:r>
        <w:rPr>
          <w:b w:val="0"/>
          <w:i w:val="0"/>
          <w:sz w:val="20"/>
        </w:rPr>
        <w:t xml:space="preserve"> It prolongs time to symptoms: blunting the rise in heart rate and contractility lengthens the time to the angina-provoking heart rate and prolongs exercise time.</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spacing w:after="120"/>
      </w:pPr>
      <w:r>
        <w:rPr>
          <w:b w:val="0"/>
          <w:i w:val="0"/>
        </w:rPr>
        <w:t>Also tested</w:t>
      </w:r>
    </w:p>
    <w:p>
      <w:pPr>
        <w:pStyle w:val="ListBullet"/>
        <w:spacing w:after="40"/>
      </w:pPr>
      <w:r>
        <w:rPr>
          <w:b/>
          <w:i w:val="0"/>
          <w:sz w:val="20"/>
        </w:rPr>
        <w:t>Prazosin reflex tachycardia.</w:t>
      </w:r>
      <w:r>
        <w:rPr>
          <w:b w:val="0"/>
          <w:i w:val="0"/>
          <w:sz w:val="20"/>
        </w:rPr>
        <w:t xml:space="preserve"> The reflex tachycardia with prazosin is mild, possibly because of some central sympatholytic activity and because prazosin dilates both arteries and veins.</w:t>
      </w:r>
    </w:p>
    <w:p>
      <w:pPr>
        <w:pStyle w:val="ListBullet"/>
        <w:spacing w:after="40"/>
      </w:pPr>
      <w:r>
        <w:rPr>
          <w:b/>
          <w:i w:val="0"/>
          <w:sz w:val="20"/>
        </w:rPr>
        <w:t>Alpha-1 blocker names.</w:t>
      </w:r>
      <w:r>
        <w:rPr>
          <w:b w:val="0"/>
          <w:i w:val="0"/>
          <w:sz w:val="20"/>
        </w:rPr>
        <w:t xml:space="preserve"> The -zosin suffix marks the alpha-1 selective antagonists prazosin, terazosin and doxazosin; tamsulosin is the alpha-1A selective agent.</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spacing w:after="120"/>
      </w:pPr>
      <w:r>
        <w:rPr>
          <w:b w:val="0"/>
          <w:i w:val="0"/>
        </w:rPr>
        <w:t>Also tested</w:t>
      </w:r>
    </w:p>
    <w:p>
      <w:pPr>
        <w:pStyle w:val="ListBullet"/>
        <w:spacing w:after="40"/>
      </w:pPr>
      <w:r>
        <w:rPr>
          <w:b/>
          <w:i w:val="0"/>
          <w:sz w:val="20"/>
        </w:rPr>
        <w:t>Clonidine withdrawal.</w:t>
      </w:r>
      <w:r>
        <w:rPr>
          <w:b w:val="0"/>
          <w:i w:val="0"/>
          <w:sz w:val="20"/>
        </w:rPr>
        <w:t xml:space="preserve"> Abrupt withdrawal causes rebound hypertension, a class side effect that may be severe, so the drug must not be stopped suddenly.</w:t>
      </w:r>
    </w:p>
    <w:p>
      <w:pPr>
        <w:pStyle w:val="ListBullet"/>
        <w:spacing w:after="40"/>
      </w:pPr>
      <w:r>
        <w:rPr>
          <w:b/>
          <w:i w:val="0"/>
          <w:sz w:val="20"/>
        </w:rPr>
        <w:t>Clonidine.</w:t>
      </w:r>
      <w:r>
        <w:rPr>
          <w:b w:val="0"/>
          <w:i w:val="0"/>
          <w:sz w:val="20"/>
        </w:rPr>
        <w:t xml:space="preserve"> It lowers blood pressure by stimulating central alpha-2 receptors; as an alpha-2 and imidazoline agonist, it inhibits sympathetic outflow and increases parasympathetic activity.</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Hydralazine</w:t>
            </w:r>
          </w:p>
        </w:tc>
        <w:tc>
          <w:tcPr>
            <w:tcW w:type="dxa" w:w="3636"/>
            <w:shd w:val="clear" w:color="auto" w:fill="6B3524"/>
          </w:tcPr>
          <w:p>
            <w:pPr>
              <w:spacing w:after="40"/>
            </w:pPr>
            <w:r>
              <w:rPr>
                <w:b/>
                <w:color w:val="FFFFFF"/>
                <w:sz w:val="18"/>
              </w:rPr>
            </w:r>
            <w:r>
              <w:rPr>
                <w:b/>
                <w:i w:val="0"/>
                <w:color w:val="FFFFFF"/>
                <w:sz w:val="18"/>
              </w:rPr>
              <w:t>Minoxidil</w:t>
            </w:r>
          </w:p>
        </w:tc>
        <w:tc>
          <w:tcPr>
            <w:tcW w:type="dxa" w:w="3636"/>
            <w:shd w:val="clear" w:color="auto" w:fill="6B3524"/>
          </w:tcPr>
          <w:p>
            <w:pPr>
              <w:spacing w:after="40"/>
            </w:pPr>
            <w:r>
              <w:rPr>
                <w:b/>
                <w:color w:val="FFFFFF"/>
                <w:sz w:val="18"/>
              </w:rPr>
            </w:r>
            <w:r>
              <w:rPr>
                <w:b/>
                <w:i w:val="0"/>
                <w:color w:val="FFFFFF"/>
                <w:sz w:val="18"/>
              </w:rPr>
              <w:t>Nitroprusside</w:t>
            </w:r>
          </w:p>
        </w:tc>
      </w:tr>
      <w:tr>
        <w:tc>
          <w:tcPr>
            <w:tcW w:type="dxa" w:w="3636"/>
          </w:tcPr>
          <w:p>
            <w:pPr>
              <w:spacing w:after="40"/>
            </w:pPr>
            <w:r>
              <w:rPr>
                <w:sz w:val="18"/>
              </w:rPr>
            </w:r>
            <w:r>
              <w:rPr>
                <w:b w:val="0"/>
                <w:i w:val="0"/>
                <w:sz w:val="18"/>
              </w:rPr>
              <w:t>Veins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No</w:t>
            </w:r>
          </w:p>
        </w:tc>
        <w:tc>
          <w:tcPr>
            <w:tcW w:type="dxa" w:w="3636"/>
          </w:tcPr>
          <w:p>
            <w:pPr>
              <w:spacing w:after="40"/>
            </w:pPr>
            <w:r>
              <w:rPr>
                <w:sz w:val="18"/>
              </w:rPr>
            </w:r>
            <w:r>
              <w:rPr>
                <w:b/>
                <w:i w:val="0"/>
                <w:sz w:val="18"/>
              </w:rPr>
              <w:t>Yes</w:t>
            </w:r>
            <w:r>
              <w:rPr>
                <w:b w:val="0"/>
                <w:i w:val="0"/>
                <w:sz w:val="18"/>
              </w:rPr>
              <w:t xml:space="preserve"> (veins and arterioles)</w:t>
            </w:r>
          </w:p>
        </w:tc>
      </w:tr>
      <w:tr>
        <w:tc>
          <w:tcPr>
            <w:tcW w:type="dxa" w:w="3636"/>
          </w:tcPr>
          <w:p>
            <w:pPr>
              <w:spacing w:after="40"/>
            </w:pPr>
            <w:r>
              <w:rPr>
                <w:sz w:val="18"/>
              </w:rPr>
            </w:r>
            <w:r>
              <w:rPr>
                <w:b w:val="0"/>
                <w:i w:val="0"/>
                <w:sz w:val="18"/>
              </w:rPr>
              <w:t>Arterioles</w:t>
            </w:r>
          </w:p>
        </w:tc>
        <w:tc>
          <w:tcPr>
            <w:tcW w:type="dxa" w:w="3636"/>
          </w:tcPr>
          <w:p>
            <w:pPr>
              <w:spacing w:after="40"/>
            </w:pPr>
            <w:r>
              <w:rPr>
                <w:sz w:val="18"/>
              </w:rPr>
            </w:r>
            <w:r>
              <w:rPr>
                <w:b w:val="0"/>
                <w:i w:val="0"/>
                <w:sz w:val="18"/>
              </w:rPr>
              <w:t>Yes</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Reflex tachycardia, sodium retention</w:t>
            </w:r>
          </w:p>
        </w:tc>
        <w:tc>
          <w:tcPr>
            <w:tcW w:type="dxa" w:w="3636"/>
          </w:tcPr>
          <w:p>
            <w:pPr>
              <w:spacing w:after="40"/>
            </w:pPr>
            <w:r>
              <w:rPr>
                <w:sz w:val="18"/>
              </w:rPr>
            </w:r>
            <w:r>
              <w:rPr>
                <w:b w:val="0"/>
                <w:i w:val="0"/>
                <w:sz w:val="18"/>
              </w:rPr>
              <w:t>Some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Tachycardia some; sodium retention none</w:t>
            </w:r>
          </w:p>
        </w:tc>
      </w:tr>
      <w:tr>
        <w:tc>
          <w:tcPr>
            <w:tcW w:type="dxa" w:w="3636"/>
          </w:tcPr>
          <w:p>
            <w:pPr>
              <w:spacing w:after="40"/>
            </w:pPr>
            <w:r>
              <w:rPr>
                <w:sz w:val="18"/>
              </w:rPr>
            </w:r>
            <w:r>
              <w:rPr>
                <w:b w:val="0"/>
                <w:i w:val="0"/>
                <w:sz w:val="18"/>
              </w:rPr>
              <w:t>Mechanism</w:t>
            </w:r>
          </w:p>
        </w:tc>
        <w:tc>
          <w:tcPr>
            <w:tcW w:type="dxa" w:w="3636"/>
          </w:tcPr>
          <w:p>
            <w:pPr>
              <w:spacing w:after="40"/>
            </w:pPr>
            <w:r>
              <w:rPr>
                <w:sz w:val="18"/>
              </w:rPr>
            </w:r>
            <w:r>
              <w:rPr>
                <w:b w:val="0"/>
                <w:i w:val="0"/>
                <w:sz w:val="18"/>
              </w:rPr>
              <w:t>Not clear — raised cyclic GMP (nitric oxide), renal prostaglandins, interference with calcium</w:t>
            </w:r>
          </w:p>
        </w:tc>
        <w:tc>
          <w:tcPr>
            <w:tcW w:type="dxa" w:w="363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363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spacing w:after="120"/>
      </w:pPr>
      <w:r>
        <w:rPr>
          <w:b w:val="0"/>
          <w:i w:val="0"/>
        </w:rPr>
        <w:t>Also tested</w:t>
      </w:r>
    </w:p>
    <w:p>
      <w:pPr>
        <w:pStyle w:val="ListBullet"/>
        <w:spacing w:after="40"/>
      </w:pPr>
      <w:r>
        <w:rPr>
          <w:b/>
          <w:i w:val="0"/>
          <w:sz w:val="20"/>
        </w:rPr>
        <w:t>Hydralazine contraindications.</w:t>
      </w:r>
      <w:r>
        <w:rPr>
          <w:b w:val="0"/>
          <w:i w:val="0"/>
          <w:sz w:val="20"/>
        </w:rPr>
        <w:t xml:space="preserve"> It is contraindicated in coronary artery disease, the elderly and ischemia, because vasodilation with reflex sympathetic activation raises cardiac workload.</w:t>
      </w:r>
    </w:p>
    <w:p>
      <w:pPr>
        <w:pStyle w:val="ListBullet"/>
        <w:spacing w:after="40"/>
      </w:pPr>
      <w:r>
        <w:rPr>
          <w:b/>
          <w:i w:val="0"/>
          <w:sz w:val="20"/>
        </w:rPr>
        <w:t>Hydralazine mechanism.</w:t>
      </w:r>
      <w:r>
        <w:rPr>
          <w:b w:val="0"/>
          <w:i w:val="0"/>
          <w:sz w:val="20"/>
        </w:rPr>
        <w:t xml:space="preserve"> It is not fully understood; proposed actions include increased cyclic GMP (via nitric oxide), renal prostaglandins and interference with calcium movement.</w:t>
      </w:r>
    </w:p>
    <w:p>
      <w:pPr>
        <w:pStyle w:val="ListBullet"/>
        <w:spacing w:after="40"/>
      </w:pPr>
      <w:r>
        <w:rPr>
          <w:b/>
          <w:i w:val="0"/>
          <w:sz w:val="20"/>
        </w:rPr>
        <w:t>Direct vasodilators used alone.</w:t>
      </w:r>
      <w:r>
        <w:rPr>
          <w:b w:val="0"/>
          <w:i w:val="0"/>
          <w:sz w:val="20"/>
        </w:rPr>
        <w:t xml:space="preserve"> They lose effect over time because reflex responses cause tachyphylaxis: arteriolar dilation triggers reflex sympathetic activation (tachycardia, higher cardiac output, fluid retention, raised renin).</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 or 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ACE inhibitors</w:t>
            </w:r>
          </w:p>
        </w:tc>
        <w:tc>
          <w:tcPr>
            <w:tcW w:type="dxa" w:w="727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7272"/>
          </w:tcPr>
          <w:p>
            <w:pPr>
              <w:spacing w:after="40"/>
            </w:pPr>
            <w:r>
              <w:rPr>
                <w:sz w:val="18"/>
              </w:rPr>
            </w:r>
            <w:r>
              <w:rPr>
                <w:b w:val="0"/>
                <w:i w:val="0"/>
                <w:sz w:val="18"/>
              </w:rPr>
              <w:t>Angiotensin receptor blockers</w:t>
            </w:r>
          </w:p>
        </w:tc>
        <w:tc>
          <w:tcPr>
            <w:tcW w:type="dxa" w:w="7272"/>
          </w:tcPr>
          <w:p>
            <w:pPr>
              <w:spacing w:after="40"/>
            </w:pPr>
            <w:r>
              <w:rPr>
                <w:sz w:val="18"/>
              </w:rPr>
            </w:r>
            <w:r>
              <w:rPr>
                <w:b w:val="0"/>
                <w:i w:val="0"/>
                <w:sz w:val="18"/>
              </w:rPr>
              <w:t>Same potassium and pregnancy warnings; no cough</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Peripheral edema, flushing, headache; constipation; gum overgrowth (gingival hyperplasia)</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7272"/>
          </w:tcPr>
          <w:p>
            <w:pPr>
              <w:spacing w:after="40"/>
            </w:pPr>
            <w:r>
              <w:rPr>
                <w:sz w:val="18"/>
              </w:rPr>
            </w:r>
            <w:r>
              <w:rPr>
                <w:b w:val="0"/>
                <w:i w:val="0"/>
                <w:sz w:val="18"/>
              </w:rPr>
              <w:t>Alpha-1 blockers</w:t>
            </w:r>
          </w:p>
        </w:tc>
        <w:tc>
          <w:tcPr>
            <w:tcW w:type="dxa" w:w="7272"/>
          </w:tcPr>
          <w:p>
            <w:pPr>
              <w:spacing w:after="40"/>
            </w:pPr>
            <w:r>
              <w:rPr>
                <w:sz w:val="18"/>
              </w:rPr>
            </w:r>
            <w:r>
              <w:rPr>
                <w:b w:val="0"/>
                <w:i w:val="0"/>
                <w:sz w:val="18"/>
              </w:rPr>
              <w:t>Dizziness on standing</w:t>
            </w:r>
          </w:p>
        </w:tc>
      </w:tr>
      <w:tr>
        <w:tc>
          <w:tcPr>
            <w:tcW w:type="dxa" w:w="7272"/>
          </w:tcPr>
          <w:p>
            <w:pPr>
              <w:spacing w:after="40"/>
            </w:pPr>
            <w:r>
              <w:rPr>
                <w:sz w:val="18"/>
              </w:rPr>
            </w:r>
            <w:r>
              <w:rPr>
                <w:b w:val="0"/>
                <w:i w:val="0"/>
                <w:sz w:val="18"/>
              </w:rPr>
              <w:t>Clonidine</w:t>
            </w:r>
          </w:p>
        </w:tc>
        <w:tc>
          <w:tcPr>
            <w:tcW w:type="dxa" w:w="7272"/>
          </w:tcPr>
          <w:p>
            <w:pPr>
              <w:spacing w:after="40"/>
            </w:pPr>
            <w:r>
              <w:rPr>
                <w:sz w:val="18"/>
              </w:rPr>
            </w:r>
            <w:r>
              <w:rPr>
                <w:b/>
                <w:i w:val="0"/>
                <w:sz w:val="18"/>
              </w:rPr>
              <w:t>Never stop suddenly</w:t>
            </w:r>
            <w:r>
              <w:rPr>
                <w:b w:val="0"/>
                <w:i w:val="0"/>
                <w:sz w:val="18"/>
              </w:rPr>
              <w:t>; drowsiness and dry mouth</w:t>
            </w:r>
          </w:p>
        </w:tc>
      </w:tr>
      <w:tr>
        <w:tc>
          <w:tcPr>
            <w:tcW w:type="dxa" w:w="7272"/>
          </w:tcPr>
          <w:p>
            <w:pPr>
              <w:spacing w:after="40"/>
            </w:pPr>
            <w:r>
              <w:rPr>
                <w:sz w:val="18"/>
              </w:rPr>
            </w:r>
            <w:r>
              <w:rPr>
                <w:b w:val="0"/>
                <w:i w:val="0"/>
                <w:sz w:val="18"/>
              </w:rPr>
              <w:t>Hydralazine</w:t>
            </w:r>
          </w:p>
        </w:tc>
        <w:tc>
          <w:tcPr>
            <w:tcW w:type="dxa" w:w="7272"/>
          </w:tcPr>
          <w:p>
            <w:pPr>
              <w:spacing w:after="40"/>
            </w:pPr>
            <w:r>
              <w:rPr>
                <w:sz w:val="18"/>
              </w:rPr>
            </w:r>
            <w:r>
              <w:rPr>
                <w:b w:val="0"/>
                <w:i w:val="0"/>
                <w:sz w:val="18"/>
              </w:rPr>
              <w:t>Stools may turn black</w:t>
            </w:r>
          </w:p>
        </w:tc>
      </w:tr>
      <w:tr>
        <w:tc>
          <w:tcPr>
            <w:tcW w:type="dxa" w:w="7272"/>
          </w:tcPr>
          <w:p>
            <w:pPr>
              <w:spacing w:after="40"/>
            </w:pPr>
            <w:r>
              <w:rPr>
                <w:sz w:val="18"/>
              </w:rPr>
            </w:r>
            <w:r>
              <w:rPr>
                <w:b w:val="0"/>
                <w:i w:val="0"/>
                <w:sz w:val="18"/>
              </w:rPr>
              <w:t>Minoxidil</w:t>
            </w:r>
          </w:p>
        </w:tc>
        <w:tc>
          <w:tcPr>
            <w:tcW w:type="dxa" w:w="7272"/>
          </w:tcPr>
          <w:p>
            <w:pPr>
              <w:spacing w:after="40"/>
            </w:pPr>
            <w:r>
              <w:rPr>
                <w:sz w:val="18"/>
              </w:rPr>
            </w:r>
            <w:r>
              <w:rPr>
                <w:b w:val="0"/>
                <w:i w:val="0"/>
                <w:sz w:val="18"/>
              </w:rPr>
              <w:t>Unwanted hair growth</w:t>
            </w:r>
          </w:p>
        </w:tc>
      </w:tr>
    </w:tbl>
    <w:p>
      <w:pPr>
        <w:spacing w:after="80"/>
      </w:pPr>
    </w:p>
    <w:p>
      <w:pPr>
        <w:spacing w:after="120"/>
      </w:pPr>
      <w:r>
        <w:rPr>
          <w:b w:val="0"/>
          <w:i w:val="0"/>
        </w:rPr>
        <w:t>Also tested</w:t>
      </w:r>
    </w:p>
    <w:p>
      <w:pPr>
        <w:pStyle w:val="ListBullet"/>
        <w:spacing w:after="40"/>
      </w:pPr>
      <w:r>
        <w:rPr>
          <w:b/>
          <w:i w:val="0"/>
          <w:sz w:val="20"/>
        </w:rPr>
        <w:t>Reassessing blood pressure control.</w:t>
      </w:r>
      <w:r>
        <w:rPr>
          <w:b w:val="0"/>
          <w:i w:val="0"/>
          <w:sz w:val="20"/>
        </w:rPr>
        <w:t xml:space="preserve"> Reassess about 4 weeks after starting or titrating an antihypertensive. One or two titration steps are appropriate before modifying or adding medication.</w:t>
      </w:r>
    </w:p>
    <w:p>
      <w:pPr>
        <w:pStyle w:val="ListBullet"/>
        <w:spacing w:after="40"/>
      </w:pPr>
      <w:r>
        <w:rPr>
          <w:b/>
          <w:i w:val="0"/>
          <w:sz w:val="20"/>
        </w:rPr>
        <w:t>Hypertension after a myocardial infarction.</w:t>
      </w:r>
      <w:r>
        <w:rPr>
          <w:b w:val="0"/>
          <w:i w:val="0"/>
          <w:sz w:val="20"/>
        </w:rPr>
        <w:t xml:space="preserve"> A history of myocardial infarction is a reason to start a beta blocker early, because beta blockade protects ischemic myocardium and protects against recurrent infarction.</w:t>
      </w: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spacing w:after="120"/>
      </w:pPr>
      <w:r>
        <w:rPr>
          <w:b w:val="0"/>
          <w:i w:val="0"/>
        </w:rPr>
        <w:t>Also tested</w:t>
      </w:r>
    </w:p>
    <w:p>
      <w:pPr>
        <w:pStyle w:val="ListBullet"/>
        <w:spacing w:after="40"/>
      </w:pPr>
      <w:r>
        <w:rPr>
          <w:b/>
          <w:i w:val="0"/>
          <w:sz w:val="20"/>
        </w:rPr>
        <w:t>LDL receptor activity.</w:t>
      </w:r>
      <w:r>
        <w:rPr>
          <w:b w:val="0"/>
          <w:i w:val="0"/>
          <w:sz w:val="20"/>
        </w:rPr>
        <w:t xml:space="preserve"> When it falls, LDL accumulates in plasma, driving atherosclerosis; most LDL-lowering classes work by raising receptor activity.</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val="0"/>
                <w:i w:val="0"/>
                <w:sz w:val="18"/>
              </w:rPr>
              <w:t>Common</w:t>
            </w:r>
          </w:p>
        </w:tc>
        <w:tc>
          <w:tcPr>
            <w:tcW w:type="dxa" w:w="7272"/>
          </w:tcPr>
          <w:p>
            <w:pPr>
              <w:spacing w:after="40"/>
            </w:pPr>
            <w:r>
              <w:rPr>
                <w:sz w:val="18"/>
              </w:rPr>
            </w:r>
            <w:r>
              <w:rPr>
                <w:b w:val="0"/>
                <w:i w:val="0"/>
                <w:sz w:val="18"/>
              </w:rPr>
              <w:t>Headache, sleep disturbance, fatigue, gastrointestinal intolerance, flu-like symptoms</w:t>
            </w:r>
          </w:p>
        </w:tc>
      </w:tr>
      <w:tr>
        <w:tc>
          <w:tcPr>
            <w:tcW w:type="dxa" w:w="7272"/>
          </w:tcPr>
          <w:p>
            <w:pPr>
              <w:spacing w:after="40"/>
            </w:pPr>
            <w:r>
              <w:rPr>
                <w:sz w:val="18"/>
              </w:rPr>
            </w:r>
            <w:r>
              <w:rPr>
                <w:b/>
                <w:i w:val="0"/>
                <w:sz w:val="18"/>
              </w:rPr>
              <w:t>Liver enzymes</w:t>
            </w:r>
          </w:p>
        </w:tc>
        <w:tc>
          <w:tcPr>
            <w:tcW w:type="dxa" w:w="727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7272"/>
          </w:tcPr>
          <w:p>
            <w:pPr>
              <w:spacing w:after="40"/>
            </w:pPr>
            <w:r>
              <w:rPr>
                <w:sz w:val="18"/>
              </w:rPr>
            </w:r>
            <w:r>
              <w:rPr>
                <w:b/>
                <w:i w:val="0"/>
                <w:sz w:val="18"/>
              </w:rPr>
              <w:t>Muscle</w:t>
            </w:r>
          </w:p>
        </w:tc>
        <w:tc>
          <w:tcPr>
            <w:tcW w:type="dxa" w:w="727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spacing w:after="120"/>
      </w:pPr>
      <w:r>
        <w:rPr>
          <w:b w:val="0"/>
          <w:i w:val="0"/>
        </w:rPr>
        <w:t>Also tested</w:t>
      </w:r>
    </w:p>
    <w:p>
      <w:pPr>
        <w:pStyle w:val="ListBullet"/>
        <w:spacing w:after="40"/>
      </w:pPr>
      <w:r>
        <w:rPr>
          <w:b/>
          <w:i w:val="0"/>
          <w:sz w:val="20"/>
        </w:rPr>
        <w:t>Statin muscle toxicity.</w:t>
      </w:r>
      <w:r>
        <w:rPr>
          <w:b w:val="0"/>
          <w:i w:val="0"/>
          <w:sz w:val="20"/>
        </w:rPr>
        <w:t xml:space="preserve"> Muscle toxicity requires discontinuing the statin. Myopathy occurs in 0.2 to 0.4% of patients, with rare rhabdomyolysis.</w:t>
      </w:r>
    </w:p>
    <w:p>
      <w:pPr>
        <w:pStyle w:val="ListBullet"/>
        <w:spacing w:after="40"/>
      </w:pPr>
      <w:r>
        <w:rPr>
          <w:b/>
          <w:i w:val="0"/>
          <w:sz w:val="20"/>
        </w:rPr>
        <w:t>Statin with a fibrate.</w:t>
      </w:r>
      <w:r>
        <w:rPr>
          <w:b w:val="0"/>
          <w:i w:val="0"/>
          <w:sz w:val="20"/>
        </w:rPr>
        <w:t xml:space="preserve"> Combine them only with caution because of a higher risk of myopathy, as both classes can cause it; gemfibrozil is a relative contraindication with statins.</w:t>
      </w:r>
    </w:p>
    <w:p>
      <w:pPr>
        <w:pStyle w:val="ListBullet"/>
        <w:spacing w:after="40"/>
      </w:pPr>
      <w:r>
        <w:rPr>
          <w:b/>
          <w:i w:val="0"/>
          <w:sz w:val="20"/>
        </w:rPr>
        <w:t>Reducing statin myopathy risk.</w:t>
      </w:r>
      <w:r>
        <w:rPr>
          <w:b w:val="0"/>
          <w:i w:val="0"/>
          <w:sz w:val="20"/>
        </w:rPr>
        <w:t xml:space="preserve"> Use the lowest effective dose; also use caution in renal impairment and with fibrates, avoid other drug interactions, and monitor symptoms and laboratory values.</w:t>
      </w:r>
    </w:p>
    <w:p>
      <w:pPr>
        <w:pStyle w:val="ListBullet"/>
        <w:spacing w:after="40"/>
      </w:pPr>
      <w:r>
        <w:rPr>
          <w:b/>
          <w:i w:val="0"/>
          <w:sz w:val="20"/>
        </w:rPr>
        <w:t>Rising liver enzymes on atorvastatin.</w:t>
      </w:r>
      <w:r>
        <w:rPr>
          <w:b w:val="0"/>
          <w:i w:val="0"/>
          <w:sz w:val="20"/>
        </w:rPr>
        <w:t xml:space="preserve"> Lower the dose or pause it; liver enzyme rises occur in 0.5 to 2.5% of patients in a dose-dependent manner and are managed by reducing the dose or stopping until levels return to normal.</w:t>
      </w:r>
    </w:p>
    <w:p>
      <w:pPr>
        <w:pStyle w:val="ListBullet"/>
        <w:spacing w:after="40"/>
      </w:pPr>
      <w:r>
        <w:rPr>
          <w:b/>
          <w:i w:val="0"/>
          <w:sz w:val="20"/>
        </w:rPr>
        <w:t>First-line LDL lowering.</w:t>
      </w:r>
      <w:r>
        <w:rPr>
          <w:b w:val="0"/>
          <w:i w:val="0"/>
          <w:sz w:val="20"/>
        </w:rPr>
        <w:t xml:space="preserve"> Atorvastatin is first line when LDL (low-density lipoprotein) lowering drugs are indicated; statins are the most efficacious and best tolerated agents.</w:t>
      </w:r>
    </w:p>
    <w:p>
      <w:pPr>
        <w:pStyle w:val="ListBullet"/>
        <w:spacing w:after="40"/>
      </w:pPr>
      <w:r>
        <w:rPr>
          <w:b/>
          <w:i w:val="0"/>
          <w:sz w:val="20"/>
        </w:rPr>
        <w:t>Shared end result of LDL-lowering drugs.</w:t>
      </w:r>
      <w:r>
        <w:rPr>
          <w:b w:val="0"/>
          <w:i w:val="0"/>
          <w:sz w:val="20"/>
        </w:rPr>
        <w:t xml:space="preserve"> Statins, ezetimibe, bile acid sequestrants and PCSK9 inhibitors lower LDL (low-density lipoprotein) through more active hepatic LDL receptors: statins and resins upregulate them, ezetimibe raises their expression by cutting cholesterol supply, and PCSK9 inhibitors keep them active longer.</w:t>
      </w:r>
    </w:p>
    <w:p>
      <w:pPr>
        <w:pStyle w:val="ListBullet"/>
        <w:spacing w:after="40"/>
      </w:pPr>
      <w:r>
        <w:rPr>
          <w:b/>
          <w:i w:val="0"/>
          <w:sz w:val="20"/>
        </w:rPr>
        <w:t>Statin muscle toxicity.</w:t>
      </w:r>
      <w:r>
        <w:rPr>
          <w:b w:val="0"/>
          <w:i w:val="0"/>
          <w:sz w:val="20"/>
        </w:rPr>
        <w:t xml:space="preserve"> Rhabdomyolysis is the most severe muscle toxicity of statins; it is rare, whereas myalgia and myopathy (0.2 to 0.4%) are more common. Muscle toxicity requires stopping the statin.</w:t>
      </w:r>
    </w:p>
    <w:p>
      <w:pPr>
        <w:pStyle w:val="ListBullet"/>
        <w:spacing w:after="40"/>
      </w:pPr>
      <w:r>
        <w:rPr>
          <w:b/>
          <w:i w:val="0"/>
          <w:sz w:val="20"/>
        </w:rPr>
        <w:t>Rosuvastatin metabolism.</w:t>
      </w:r>
      <w:r>
        <w:rPr>
          <w:b w:val="0"/>
          <w:i w:val="0"/>
          <w:sz w:val="20"/>
        </w:rPr>
        <w:t xml:space="preserve"> Rosuvastatin's major metabolic route is minimal CYP, so CYP3A4 inhibitors affect it least, unlike the CYP3A4 statins.</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shd w:val="clear" w:color="auto" w:fill="6B3524"/>
          </w:tcPr>
          <w:p>
            <w:pPr>
              <w:spacing w:after="40"/>
            </w:pPr>
            <w:r>
              <w:rPr>
                <w:b/>
                <w:color w:val="FFFFFF"/>
                <w:sz w:val="18"/>
              </w:rPr>
            </w:r>
            <w:r>
              <w:rPr>
                <w:b/>
                <w:i w:val="0"/>
                <w:color w:val="FFFFFF"/>
                <w:sz w:val="18"/>
              </w:rPr>
              <w:t>Interactions</w:t>
            </w:r>
          </w:p>
        </w:tc>
      </w:tr>
      <w:tr>
        <w:tc>
          <w:tcPr>
            <w:tcW w:type="dxa" w:w="727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727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val="0"/>
          <w:i w:val="0"/>
        </w:rPr>
        <w:t>Also tested</w:t>
      </w:r>
    </w:p>
    <w:p>
      <w:pPr>
        <w:pStyle w:val="ListBullet"/>
        <w:spacing w:after="40"/>
      </w:pPr>
      <w:r>
        <w:rPr>
          <w:b/>
          <w:i w:val="0"/>
          <w:sz w:val="20"/>
        </w:rPr>
        <w:t>Ezetimibe use.</w:t>
      </w:r>
      <w:r>
        <w:rPr>
          <w:b w:val="0"/>
          <w:i w:val="0"/>
          <w:sz w:val="20"/>
        </w:rPr>
        <w:t xml:space="preserve"> Ezetimibe is typically added to a statin for dual inhibition: the statin blocks synthesis and ezetimibe blocks absorption, giving additional LDL (low-density lipoprotein) lowering.</w:t>
      </w:r>
    </w:p>
    <w:p>
      <w:pPr>
        <w:pStyle w:val="ListBullet"/>
        <w:spacing w:after="40"/>
      </w:pPr>
      <w:r>
        <w:rPr>
          <w:b/>
          <w:i w:val="0"/>
          <w:sz w:val="20"/>
        </w:rPr>
        <w:t>Ezetimibe systemic exposure.</w:t>
      </w:r>
      <w:r>
        <w:rPr>
          <w:b w:val="0"/>
          <w:i w:val="0"/>
          <w:sz w:val="20"/>
        </w:rPr>
        <w:t xml:space="preserve"> Enterohepatic recirculation limits systemic exposure: ezetimibe and its active glucuronide metabolite circulate enterohepatically, returning the drug to its site of action.</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val="0"/>
          <w:i w:val="0"/>
        </w:rPr>
        <w:t>Also tested</w:t>
      </w:r>
    </w:p>
    <w:p>
      <w:pPr>
        <w:pStyle w:val="ListBullet"/>
        <w:spacing w:after="40"/>
      </w:pPr>
      <w:r>
        <w:rPr>
          <w:b/>
          <w:i w:val="0"/>
          <w:sz w:val="20"/>
        </w:rPr>
        <w:t>Bile acid sequestrants and triglycerides.</w:t>
      </w:r>
      <w:r>
        <w:rPr>
          <w:b w:val="0"/>
          <w:i w:val="0"/>
          <w:sz w:val="20"/>
        </w:rPr>
        <w:t xml:space="preserve"> Resins may increase VLDL (very low-density lipoprotein) production and raise triglycerides, so they are avoided when triglycerides are high. On the lipid comparison they show no change or a rise in triglycerides.</w:t>
      </w:r>
    </w:p>
    <w:p>
      <w:pPr>
        <w:pStyle w:val="ListBullet"/>
        <w:spacing w:after="40"/>
      </w:pPr>
      <w:r>
        <w:rPr>
          <w:b/>
          <w:i w:val="0"/>
          <w:sz w:val="20"/>
        </w:rPr>
        <w:t>Resin effect on bile acids.</w:t>
      </w:r>
      <w:r>
        <w:rPr>
          <w:b w:val="0"/>
          <w:i w:val="0"/>
          <w:sz w:val="20"/>
        </w:rPr>
        <w:t xml:space="preserve"> When resins deplete the bile acid pool, cholesterol 7-alpha hydroxylase activity increases and converts more cholesterol to bile acids. The liver also adds LDL receptors, increasing VLDL and LDL removal.</w:t>
      </w:r>
    </w:p>
    <w:p>
      <w:pPr>
        <w:pStyle w:val="ListBullet"/>
        <w:spacing w:after="40"/>
      </w:pPr>
      <w:r>
        <w:rPr>
          <w:b/>
          <w:i w:val="0"/>
          <w:sz w:val="20"/>
        </w:rPr>
        <w:t>Long-term resin risk.</w:t>
      </w:r>
      <w:r>
        <w:rPr>
          <w:b w:val="0"/>
          <w:i w:val="0"/>
          <w:sz w:val="20"/>
        </w:rPr>
        <w:t xml:space="preserve"> Resins such as cholestyramine cause malabsorption of the fat-soluble vitamins A, D, E and K and of folic acid.</w:t>
      </w:r>
    </w:p>
    <w:p>
      <w:pPr>
        <w:pStyle w:val="ListBullet"/>
        <w:spacing w:after="40"/>
      </w:pPr>
      <w:r>
        <w:rPr>
          <w:b/>
          <w:i w:val="0"/>
          <w:sz w:val="20"/>
        </w:rPr>
        <w:t>Cholestyramine powder.</w:t>
      </w:r>
      <w:r>
        <w:rPr>
          <w:b w:val="0"/>
          <w:i w:val="0"/>
          <w:sz w:val="2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Indication</w:t>
            </w:r>
          </w:p>
        </w:tc>
        <w:tc>
          <w:tcPr>
            <w:tcW w:type="dxa" w:w="7272"/>
          </w:tcPr>
          <w:p>
            <w:pPr>
              <w:spacing w:after="40"/>
            </w:pPr>
            <w:r>
              <w:rPr>
                <w:sz w:val="18"/>
              </w:rPr>
            </w:r>
            <w:r>
              <w:rPr>
                <w:b w:val="0"/>
                <w:i w:val="0"/>
                <w:sz w:val="18"/>
                <w:highlight w:val="yellow"/>
              </w:rPr>
              <w:t>Primary indication TG &gt; 1000 mg/dL or low HDL</w:t>
            </w:r>
          </w:p>
        </w:tc>
      </w:tr>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i w:val="0"/>
                <w:sz w:val="18"/>
              </w:rPr>
              <w:t>Pregnancy; severe hepatic or renal dysfunction; existing gallbladder disease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val="0"/>
          <w:i w:val="0"/>
        </w:rPr>
        <w:t>Also tested</w:t>
      </w:r>
    </w:p>
    <w:p>
      <w:pPr>
        <w:pStyle w:val="ListBullet"/>
        <w:spacing w:after="40"/>
      </w:pPr>
      <w:r>
        <w:rPr>
          <w:b/>
          <w:i w:val="0"/>
          <w:sz w:val="20"/>
        </w:rPr>
        <w:t>Fibrate interactions.</w:t>
      </w:r>
      <w:r>
        <w:rPr>
          <w:b w:val="0"/>
          <w:i w:val="0"/>
          <w:sz w:val="20"/>
        </w:rPr>
        <w:t xml:space="preserve"> Fibrates such as gemfibrozil increase the anticoagulant effect of warfarin. They also interact with statins, ezetimibe and bile acid sequestrants.</w:t>
      </w:r>
    </w:p>
    <w:p>
      <w:pPr>
        <w:pStyle w:val="ListBullet"/>
        <w:spacing w:after="40"/>
      </w:pPr>
      <w:r>
        <w:rPr>
          <w:b/>
          <w:i w:val="0"/>
          <w:sz w:val="20"/>
        </w:rPr>
        <w:t>Fibrate indication.</w:t>
      </w:r>
      <w:r>
        <w:rPr>
          <w:b w:val="0"/>
          <w:i w:val="0"/>
          <w:sz w:val="2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val="0"/>
          <w:i w:val="0"/>
        </w:rPr>
        <w:t>Also tested</w:t>
      </w:r>
    </w:p>
    <w:p>
      <w:pPr>
        <w:pStyle w:val="ListBullet"/>
        <w:spacing w:after="40"/>
      </w:pPr>
      <w:r>
        <w:rPr>
          <w:b/>
          <w:i w:val="0"/>
          <w:sz w:val="20"/>
        </w:rPr>
        <w:t>Niacin flushing.</w:t>
      </w:r>
      <w:r>
        <w:rPr>
          <w:b w:val="0"/>
          <w:i w:val="0"/>
          <w:sz w:val="20"/>
        </w:rPr>
        <w:t xml:space="preserve"> Flushing is prostaglandin mediated and is minimized by premedication with aspirin, so patients should take aspirin beforehand.</w:t>
      </w:r>
    </w:p>
    <w:p>
      <w:pPr>
        <w:pStyle w:val="ListBullet"/>
        <w:spacing w:after="40"/>
      </w:pPr>
      <w:r>
        <w:rPr>
          <w:b/>
          <w:i w:val="0"/>
          <w:sz w:val="20"/>
        </w:rPr>
        <w:t>Niacin and gout.</w:t>
      </w:r>
      <w:r>
        <w:rPr>
          <w:b w:val="0"/>
          <w:i w:val="0"/>
          <w:sz w:val="20"/>
        </w:rPr>
        <w:t xml:space="preserve"> Symptomatic gout is a relative contraindication because niacin raises uric acid; at larger doses it also raises liver enzymes and glucose.</w:t>
      </w:r>
    </w:p>
    <w:p>
      <w:pPr>
        <w:pStyle w:val="ListBullet"/>
        <w:spacing w:after="40"/>
      </w:pPr>
      <w:r>
        <w:rPr>
          <w:b/>
          <w:i w:val="0"/>
          <w:sz w:val="20"/>
        </w:rPr>
        <w:t>Niacin and glucose.</w:t>
      </w:r>
      <w:r>
        <w:rPr>
          <w:b w:val="0"/>
          <w:i w:val="0"/>
          <w:sz w:val="20"/>
        </w:rPr>
        <w:t xml:space="preserve"> Larger doses raise glucose and decrease glucose tolerance, making diabetes a relative contraindication.</w:t>
      </w:r>
    </w:p>
    <w:p>
      <w:pPr>
        <w:pStyle w:val="ListBullet"/>
        <w:spacing w:after="40"/>
      </w:pPr>
      <w:r>
        <w:rPr>
          <w:b/>
          <w:i w:val="0"/>
          <w:sz w:val="20"/>
        </w:rPr>
        <w:t>Niacin and hepatic VLDL production.</w:t>
      </w:r>
      <w:r>
        <w:rPr>
          <w:b w:val="0"/>
          <w:i w:val="0"/>
          <w:sz w:val="20"/>
        </w:rPr>
        <w:t xml:space="preserve"> Niacin decreases mobilization of free fatty acids from fat (adipose tissue), so less fatty acid is mobilized and the liver makes less triglyceride, VLDL (very low-density lipoprotein) and apo B; LDL falls and HDL rises.</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LDL cholesterol</w:t>
                  </w:r>
                </w:p>
              </w:tc>
              <w:tc>
                <w:tcPr>
                  <w:tcW w:type="dxa" w:w="3636"/>
                  <w:shd w:val="clear" w:color="auto" w:fill="6B3524"/>
                </w:tcPr>
                <w:p>
                  <w:pPr>
                    <w:spacing w:after="40"/>
                  </w:pPr>
                  <w:r>
                    <w:rPr>
                      <w:b/>
                      <w:color w:val="FFFFFF"/>
                      <w:sz w:val="18"/>
                    </w:rPr>
                  </w:r>
                  <w:r>
                    <w:rPr>
                      <w:b/>
                      <w:i w:val="0"/>
                      <w:color w:val="FFFFFF"/>
                      <w:sz w:val="18"/>
                    </w:rPr>
                    <w:t>HDL cholesterol</w:t>
                  </w:r>
                </w:p>
              </w:tc>
              <w:tc>
                <w:tcPr>
                  <w:tcW w:type="dxa" w:w="3636"/>
                  <w:shd w:val="clear" w:color="auto" w:fill="6B3524"/>
                </w:tcPr>
                <w:p>
                  <w:pPr>
                    <w:spacing w:after="40"/>
                  </w:pPr>
                  <w:r>
                    <w:rPr>
                      <w:b/>
                      <w:color w:val="FFFFFF"/>
                      <w:sz w:val="18"/>
                    </w:rPr>
                  </w:r>
                  <w:r>
                    <w:rPr>
                      <w:b/>
                      <w:i w:val="0"/>
                      <w:color w:val="FFFFFF"/>
                      <w:sz w:val="18"/>
                    </w:rPr>
                    <w:t>Triglycerides</w:t>
                  </w:r>
                </w:p>
              </w:tc>
            </w:tr>
            <w:tr>
              <w:tc>
                <w:tcPr>
                  <w:tcW w:type="dxa" w:w="3636"/>
                </w:tcPr>
                <w:p>
                  <w:pPr>
                    <w:spacing w:after="40"/>
                  </w:pPr>
                  <w:r>
                    <w:rPr>
                      <w:sz w:val="18"/>
                    </w:rPr>
                  </w:r>
                  <w:r>
                    <w:rPr>
                      <w:b w:val="0"/>
                      <w:i w:val="0"/>
                      <w:sz w:val="18"/>
                    </w:rPr>
                    <w:t>Statins</w:t>
                  </w:r>
                </w:p>
              </w:tc>
              <w:tc>
                <w:tcPr>
                  <w:tcW w:type="dxa" w:w="3636"/>
                </w:tcPr>
                <w:p>
                  <w:pPr>
                    <w:spacing w:after="40"/>
                  </w:pPr>
                  <w:r>
                    <w:rPr>
                      <w:sz w:val="18"/>
                    </w:rPr>
                  </w:r>
                  <w:r>
                    <w:rPr>
                      <w:b w:val="0"/>
                      <w:i w:val="0"/>
                      <w:sz w:val="18"/>
                    </w:rPr>
                    <w:t>↓ 18–55%</w:t>
                  </w:r>
                </w:p>
              </w:tc>
              <w:tc>
                <w:tcPr>
                  <w:tcW w:type="dxa" w:w="3636"/>
                </w:tcPr>
                <w:p>
                  <w:pPr>
                    <w:spacing w:after="40"/>
                  </w:pPr>
                  <w:r>
                    <w:rPr>
                      <w:sz w:val="18"/>
                    </w:rPr>
                  </w:r>
                  <w:r>
                    <w:rPr>
                      <w:b w:val="0"/>
                      <w:i w:val="0"/>
                      <w:sz w:val="18"/>
                    </w:rPr>
                    <w:t>↑ 5–15%</w:t>
                  </w:r>
                </w:p>
              </w:tc>
              <w:tc>
                <w:tcPr>
                  <w:tcW w:type="dxa" w:w="3636"/>
                </w:tcPr>
                <w:p>
                  <w:pPr>
                    <w:spacing w:after="40"/>
                  </w:pPr>
                  <w:r>
                    <w:rPr>
                      <w:sz w:val="18"/>
                    </w:rPr>
                  </w:r>
                  <w:r>
                    <w:rPr>
                      <w:b w:val="0"/>
                      <w:i w:val="0"/>
                      <w:sz w:val="18"/>
                    </w:rPr>
                    <w:t>↓ 7–30%</w:t>
                  </w:r>
                </w:p>
              </w:tc>
            </w:tr>
            <w:tr>
              <w:tc>
                <w:tcPr>
                  <w:tcW w:type="dxa" w:w="3636"/>
                </w:tcPr>
                <w:p>
                  <w:pPr>
                    <w:spacing w:after="40"/>
                  </w:pPr>
                  <w:r>
                    <w:rPr>
                      <w:sz w:val="18"/>
                    </w:rPr>
                  </w:r>
                  <w:r>
                    <w:rPr>
                      <w:b w:val="0"/>
                      <w:i w:val="0"/>
                      <w:sz w:val="18"/>
                    </w:rPr>
                    <w:t>Resins</w:t>
                  </w:r>
                </w:p>
              </w:tc>
              <w:tc>
                <w:tcPr>
                  <w:tcW w:type="dxa" w:w="3636"/>
                </w:tcPr>
                <w:p>
                  <w:pPr>
                    <w:spacing w:after="40"/>
                  </w:pPr>
                  <w:r>
                    <w:rPr>
                      <w:sz w:val="18"/>
                    </w:rPr>
                  </w:r>
                  <w:r>
                    <w:rPr>
                      <w:b w:val="0"/>
                      <w:i w:val="0"/>
                      <w:sz w:val="18"/>
                    </w:rPr>
                    <w:t>↓ 15–50%</w:t>
                  </w:r>
                </w:p>
              </w:tc>
              <w:tc>
                <w:tcPr>
                  <w:tcW w:type="dxa" w:w="3636"/>
                </w:tcPr>
                <w:p>
                  <w:pPr>
                    <w:spacing w:after="40"/>
                  </w:pPr>
                  <w:r>
                    <w:rPr>
                      <w:sz w:val="18"/>
                    </w:rPr>
                  </w:r>
                  <w:r>
                    <w:rPr>
                      <w:b w:val="0"/>
                      <w:i w:val="0"/>
                      <w:sz w:val="18"/>
                    </w:rPr>
                    <w:t>↑ 3–5%</w:t>
                  </w:r>
                </w:p>
              </w:tc>
              <w:tc>
                <w:tcPr>
                  <w:tcW w:type="dxa" w:w="3636"/>
                </w:tcPr>
                <w:p>
                  <w:pPr>
                    <w:spacing w:after="40"/>
                  </w:pPr>
                  <w:r>
                    <w:rPr>
                      <w:sz w:val="18"/>
                    </w:rPr>
                  </w:r>
                  <w:r>
                    <w:rPr>
                      <w:b w:val="0"/>
                      <w:i w:val="0"/>
                      <w:sz w:val="18"/>
                      <w:highlight w:val="yellow"/>
                    </w:rPr>
                    <w:t>No change / ↑</w:t>
                  </w:r>
                </w:p>
              </w:tc>
            </w:tr>
            <w:tr>
              <w:tc>
                <w:tcPr>
                  <w:tcW w:type="dxa" w:w="3636"/>
                </w:tcPr>
                <w:p>
                  <w:pPr>
                    <w:spacing w:after="40"/>
                  </w:pPr>
                  <w:r>
                    <w:rPr>
                      <w:sz w:val="18"/>
                    </w:rPr>
                  </w:r>
                  <w:r>
                    <w:rPr>
                      <w:b w:val="0"/>
                      <w:i w:val="0"/>
                      <w:sz w:val="18"/>
                    </w:rPr>
                    <w:t>Nicotinic acid</w:t>
                  </w:r>
                </w:p>
              </w:tc>
              <w:tc>
                <w:tcPr>
                  <w:tcW w:type="dxa" w:w="3636"/>
                </w:tcPr>
                <w:p>
                  <w:pPr>
                    <w:spacing w:after="40"/>
                  </w:pPr>
                  <w:r>
                    <w:rPr>
                      <w:sz w:val="18"/>
                    </w:rPr>
                  </w:r>
                  <w:r>
                    <w:rPr>
                      <w:b w:val="0"/>
                      <w:i w:val="0"/>
                      <w:sz w:val="18"/>
                    </w:rPr>
                    <w:t>↓ 5–25%</w:t>
                  </w:r>
                </w:p>
              </w:tc>
              <w:tc>
                <w:tcPr>
                  <w:tcW w:type="dxa" w:w="3636"/>
                </w:tcPr>
                <w:p>
                  <w:pPr>
                    <w:spacing w:after="40"/>
                  </w:pPr>
                  <w:r>
                    <w:rPr>
                      <w:sz w:val="18"/>
                    </w:rPr>
                  </w:r>
                  <w:r>
                    <w:rPr>
                      <w:b w:val="0"/>
                      <w:i w:val="0"/>
                      <w:sz w:val="18"/>
                      <w:highlight w:val="yellow"/>
                    </w:rPr>
                    <w:t>↑ 15–35%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Fibrates</w:t>
                  </w:r>
                </w:p>
              </w:tc>
              <w:tc>
                <w:tcPr>
                  <w:tcW w:type="dxa" w:w="3636"/>
                </w:tcPr>
                <w:p>
                  <w:pPr>
                    <w:spacing w:after="40"/>
                  </w:pPr>
                  <w:r>
                    <w:rPr>
                      <w:sz w:val="18"/>
                    </w:rPr>
                  </w:r>
                  <w:r>
                    <w:rPr>
                      <w:b w:val="0"/>
                      <w:i w:val="0"/>
                      <w:sz w:val="18"/>
                    </w:rPr>
                    <w:t>↓ 5–20%</w:t>
                  </w:r>
                </w:p>
              </w:tc>
              <w:tc>
                <w:tcPr>
                  <w:tcW w:type="dxa" w:w="3636"/>
                </w:tcPr>
                <w:p>
                  <w:pPr>
                    <w:spacing w:after="40"/>
                  </w:pPr>
                  <w:r>
                    <w:rPr>
                      <w:sz w:val="18"/>
                    </w:rPr>
                  </w:r>
                  <w:r>
                    <w:rPr>
                      <w:b w:val="0"/>
                      <w:i w:val="0"/>
                      <w:sz w:val="18"/>
                      <w:highlight w:val="yellow"/>
                    </w:rPr>
                    <w:t>↑ 10–35%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Ezetimibe</w:t>
                  </w:r>
                </w:p>
              </w:tc>
              <w:tc>
                <w:tcPr>
                  <w:tcW w:type="dxa" w:w="3636"/>
                </w:tcPr>
                <w:p>
                  <w:pPr>
                    <w:spacing w:after="40"/>
                  </w:pPr>
                  <w:r>
                    <w:rPr>
                      <w:sz w:val="18"/>
                    </w:rPr>
                  </w:r>
                  <w:r>
                    <w:rPr>
                      <w:b w:val="0"/>
                      <w:i w:val="0"/>
                      <w:sz w:val="18"/>
                    </w:rPr>
                    <w:t>↓ 18%</w:t>
                  </w:r>
                </w:p>
              </w:tc>
              <w:tc>
                <w:tcPr>
                  <w:tcW w:type="dxa" w:w="3636"/>
                </w:tcPr>
                <w:p>
                  <w:pPr>
                    <w:spacing w:after="40"/>
                  </w:pPr>
                  <w:r>
                    <w:rPr>
                      <w:sz w:val="18"/>
                    </w:rPr>
                  </w:r>
                  <w:r>
                    <w:rPr>
                      <w:b w:val="0"/>
                      <w:i w:val="0"/>
                      <w:sz w:val="18"/>
                    </w:rPr>
                    <w:t>Insignificant</w:t>
                  </w:r>
                </w:p>
              </w:tc>
              <w:tc>
                <w:tcPr>
                  <w:tcW w:type="dxa" w:w="363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spacing w:after="120"/>
      </w:pPr>
      <w:r>
        <w:rPr>
          <w:b w:val="0"/>
          <w:i w:val="0"/>
        </w:rPr>
        <w:t>Also tested</w:t>
      </w:r>
    </w:p>
    <w:p>
      <w:pPr>
        <w:pStyle w:val="ListBullet"/>
        <w:spacing w:after="40"/>
      </w:pPr>
      <w:r>
        <w:rPr>
          <w:b/>
          <w:i w:val="0"/>
          <w:sz w:val="20"/>
        </w:rPr>
        <w:t>Largest HDL rise.</w:t>
      </w:r>
      <w:r>
        <w:rPr>
          <w:b w:val="0"/>
          <w:i w:val="0"/>
          <w:sz w:val="20"/>
        </w:rPr>
        <w:t xml:space="preserve"> Nicotinic acid (niacin) raises HDL (high-density lipoprotein) cholesterol by 15 to 35%, the largest rise of any class; fibrates follow at 10 to 35%.</w:t>
      </w:r>
    </w:p>
    <w:p>
      <w:pPr>
        <w:pStyle w:val="ListBullet"/>
        <w:spacing w:after="40"/>
      </w:pPr>
      <w:r>
        <w:rPr>
          <w:b/>
          <w:i w:val="0"/>
          <w:sz w:val="20"/>
        </w:rPr>
        <w:t>Largest LDL lowering.</w:t>
      </w:r>
      <w:r>
        <w:rPr>
          <w:b w:val="0"/>
          <w:i w:val="0"/>
          <w:sz w:val="20"/>
        </w:rPr>
        <w:t xml:space="preserve"> Statins lower LDL (low-density lipoprotein) cholesterol by 18 to 55%, the most of any class; they are the most efficacious and first line.</w:t>
      </w: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Statins</w:t>
            </w:r>
          </w:p>
        </w:tc>
        <w:tc>
          <w:tcPr>
            <w:tcW w:type="dxa" w:w="727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7272"/>
          </w:tcPr>
          <w:p>
            <w:pPr>
              <w:spacing w:after="40"/>
            </w:pPr>
            <w:r>
              <w:rPr>
                <w:sz w:val="18"/>
              </w:rPr>
            </w:r>
            <w:r>
              <w:rPr>
                <w:b w:val="0"/>
                <w:i w:val="0"/>
                <w:sz w:val="18"/>
              </w:rPr>
              <w:t>Ezetimibe</w:t>
            </w:r>
          </w:p>
        </w:tc>
        <w:tc>
          <w:tcPr>
            <w:tcW w:type="dxa" w:w="7272"/>
          </w:tcPr>
          <w:p>
            <w:pPr>
              <w:spacing w:after="40"/>
            </w:pPr>
            <w:r>
              <w:rPr>
                <w:sz w:val="18"/>
              </w:rPr>
            </w:r>
            <w:r>
              <w:rPr>
                <w:b w:val="0"/>
                <w:i w:val="0"/>
                <w:sz w:val="18"/>
              </w:rPr>
              <w:t>With or without meals</w:t>
            </w:r>
          </w:p>
        </w:tc>
      </w:tr>
      <w:tr>
        <w:tc>
          <w:tcPr>
            <w:tcW w:type="dxa" w:w="7272"/>
          </w:tcPr>
          <w:p>
            <w:pPr>
              <w:spacing w:after="40"/>
            </w:pPr>
            <w:r>
              <w:rPr>
                <w:sz w:val="18"/>
              </w:rPr>
            </w:r>
            <w:r>
              <w:rPr>
                <w:b/>
                <w:i w:val="0"/>
                <w:sz w:val="18"/>
              </w:rPr>
              <w:t>Bile acid sequestrants</w:t>
            </w:r>
          </w:p>
        </w:tc>
        <w:tc>
          <w:tcPr>
            <w:tcW w:type="dxa" w:w="727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7272"/>
          </w:tcPr>
          <w:p>
            <w:pPr>
              <w:spacing w:after="40"/>
            </w:pPr>
            <w:r>
              <w:rPr>
                <w:sz w:val="18"/>
              </w:rPr>
            </w:r>
            <w:r>
              <w:rPr>
                <w:b w:val="0"/>
                <w:i w:val="0"/>
                <w:sz w:val="18"/>
              </w:rPr>
              <w:t>Niacin</w:t>
            </w:r>
          </w:p>
        </w:tc>
        <w:tc>
          <w:tcPr>
            <w:tcW w:type="dxa" w:w="7272"/>
          </w:tcPr>
          <w:p>
            <w:pPr>
              <w:spacing w:after="40"/>
            </w:pPr>
            <w:r>
              <w:rPr>
                <w:sz w:val="18"/>
              </w:rPr>
            </w:r>
            <w:r>
              <w:rPr>
                <w:b w:val="0"/>
                <w:i w:val="0"/>
                <w:sz w:val="18"/>
              </w:rPr>
              <w:t>Flushing is expected — take aspirin beforehand to reduce it; alcohol interacts</w:t>
            </w:r>
          </w:p>
        </w:tc>
      </w:tr>
      <w:tr>
        <w:tc>
          <w:tcPr>
            <w:tcW w:type="dxa" w:w="7272"/>
          </w:tcPr>
          <w:p>
            <w:pPr>
              <w:spacing w:after="40"/>
            </w:pPr>
            <w:r>
              <w:rPr>
                <w:sz w:val="18"/>
              </w:rPr>
            </w:r>
            <w:r>
              <w:rPr>
                <w:b w:val="0"/>
                <w:i w:val="0"/>
                <w:sz w:val="18"/>
              </w:rPr>
              <w:t>PCSK9 inhibitors</w:t>
            </w:r>
          </w:p>
        </w:tc>
        <w:tc>
          <w:tcPr>
            <w:tcW w:type="dxa" w:w="7272"/>
          </w:tcPr>
          <w:p>
            <w:pPr>
              <w:spacing w:after="40"/>
            </w:pPr>
            <w:r>
              <w:rPr>
                <w:sz w:val="18"/>
              </w:rPr>
            </w:r>
            <w:r>
              <w:rPr>
                <w:b w:val="0"/>
                <w:i w:val="0"/>
                <w:sz w:val="18"/>
              </w:rPr>
              <w:t>An injection; watch for hypersensitivity</w:t>
            </w:r>
          </w:p>
        </w:tc>
      </w:tr>
    </w:tbl>
    <w:p>
      <w:pPr>
        <w:spacing w:after="80"/>
      </w:pPr>
    </w:p>
    <w:p>
      <w:pPr>
        <w:spacing w:after="120"/>
      </w:pPr>
      <w:r>
        <w:rPr>
          <w:b w:val="0"/>
          <w:i w:val="0"/>
        </w:rPr>
        <w:t>Also tested</w:t>
      </w:r>
    </w:p>
    <w:p>
      <w:pPr>
        <w:pStyle w:val="ListBullet"/>
        <w:spacing w:after="40"/>
      </w:pPr>
      <w:r>
        <w:rPr>
          <w:b/>
          <w:i w:val="0"/>
          <w:sz w:val="20"/>
        </w:rPr>
        <w:t>Four statin benefit groups.</w:t>
      </w:r>
      <w:r>
        <w:rPr>
          <w:b w:val="0"/>
          <w:i w:val="0"/>
          <w:sz w:val="20"/>
        </w:rPr>
        <w:t xml:space="preserve"> Clinical atherosclerotic cardiovascular disease, such as after a myocardial infarction, is the first. The others are LDL above 190 mg/dL, diabetes at ages 40 to 75 with LDL 70 to 189, and high estimated risk.</w:t>
      </w:r>
    </w:p>
    <w:p>
      <w:pPr>
        <w:pStyle w:val="ListBullet"/>
        <w:spacing w:after="40"/>
      </w:pPr>
      <w:r>
        <w:rPr>
          <w:b/>
          <w:i w:val="0"/>
          <w:sz w:val="20"/>
        </w:rPr>
        <w:t>Statin group for diabetes.</w:t>
      </w:r>
      <w:r>
        <w:rPr>
          <w:b w:val="0"/>
          <w:i w:val="0"/>
          <w:sz w:val="20"/>
        </w:rPr>
        <w:t xml:space="preserve"> Patients with diabetes aged 40 to 75 with LDL (low-density lipoprotein) 70 to 189 mg/dL and no clinical atherosclerotic cardiovascular disease meet a statin benefit group.</w:t>
      </w:r>
    </w:p>
    <w:p>
      <w:pPr>
        <w:pStyle w:val="ListBullet"/>
        <w:spacing w:after="40"/>
      </w:pPr>
      <w:r>
        <w:rPr>
          <w:b/>
          <w:i w:val="0"/>
          <w:sz w:val="20"/>
        </w:rPr>
        <w:t>ACC/AHA versus ATP III.</w:t>
      </w:r>
      <w:r>
        <w:rPr>
          <w:b w:val="0"/>
          <w:i w:val="0"/>
          <w:sz w:val="2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p>
      <w:pPr>
        <w:pStyle w:val="ListBullet"/>
        <w:spacing w:after="40"/>
      </w:pPr>
      <w:r>
        <w:rPr>
          <w:b/>
          <w:i w:val="0"/>
          <w:sz w:val="20"/>
        </w:rPr>
        <w:t>LDL above 190 mg/dL.</w:t>
      </w:r>
      <w:r>
        <w:rPr>
          <w:b w:val="0"/>
          <w:i w:val="0"/>
          <w:sz w:val="20"/>
        </w:rPr>
        <w:t xml:space="preserve"> Individuals with LDL (low-density lipoprotein) above 190 mg/dL form one of the four statin benefit groups on that finding alone, whatever their other risk factors.</w:t>
      </w:r>
    </w:p>
    <w:p>
      <w:pPr>
        <w:pStyle w:val="Heading1"/>
        <w:spacing w:before="280" w:after="100"/>
      </w:pPr>
      <w:r>
        <w:rPr>
          <w:rFonts w:ascii="Georgia" w:hAnsi="Georgia"/>
          <w:color w:val="6B3524"/>
        </w:rPr>
        <w:t>5 · Myocardial Ischemia Drug Therapy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used to treat myocardial ischemia.</w:t>
            </w:r>
          </w:p>
          <w:p>
            <w:pPr>
              <w:pStyle w:val="ListNumber"/>
              <w:spacing w:after="40"/>
            </w:pPr>
            <w:r>
              <w:rPr>
                <w:b w:val="0"/>
                <w:i w:val="0"/>
                <w:sz w:val="20"/>
              </w:rPr>
              <w:t>Describe the molecular mechanism of action of drugs used to treat myocardial ischemia.</w:t>
            </w:r>
          </w:p>
          <w:p>
            <w:pPr>
              <w:pStyle w:val="ListNumber"/>
              <w:spacing w:after="40"/>
            </w:pPr>
            <w:r>
              <w:rPr>
                <w:b w:val="0"/>
                <w:i w:val="0"/>
                <w:sz w:val="20"/>
              </w:rPr>
              <w:t>Identify indications for drugs used to treat myocardial ischemia.</w:t>
            </w:r>
          </w:p>
          <w:p>
            <w:pPr>
              <w:pStyle w:val="ListNumber"/>
              <w:spacing w:after="40"/>
            </w:pPr>
            <w:r>
              <w:rPr>
                <w:b w:val="0"/>
                <w:i w:val="0"/>
                <w:sz w:val="20"/>
              </w:rPr>
              <w:t>Describe absorption, distribution, metabolism, and excretion of drugs used to treat myocardial ischemia.</w:t>
            </w:r>
          </w:p>
          <w:p>
            <w:pPr>
              <w:pStyle w:val="ListNumber"/>
              <w:spacing w:after="40"/>
            </w:pPr>
            <w:r>
              <w:rPr>
                <w:b w:val="0"/>
                <w:i w:val="0"/>
                <w:sz w:val="20"/>
              </w:rPr>
              <w:t>Summarize side effects and toxic manifestations of drugs used to treat myocardial ischemia.</w:t>
            </w:r>
          </w:p>
          <w:p>
            <w:pPr>
              <w:pStyle w:val="ListNumber"/>
              <w:spacing w:after="40"/>
            </w:pPr>
            <w:r>
              <w:rPr>
                <w:b w:val="0"/>
                <w:i w:val="0"/>
                <w:sz w:val="20"/>
              </w:rPr>
              <w:t>Describe adverse effects of drugs used to treat myocardial ischemia.</w:t>
            </w:r>
          </w:p>
          <w:p>
            <w:pPr>
              <w:pStyle w:val="ListNumber"/>
              <w:spacing w:after="40"/>
            </w:pPr>
            <w:r>
              <w:rPr>
                <w:b w:val="0"/>
                <w:i w:val="0"/>
                <w:sz w:val="20"/>
              </w:rPr>
              <w:t>Identify contraindications for drugs used to treat myocardial ischemia.</w:t>
            </w:r>
          </w:p>
          <w:p>
            <w:pPr>
              <w:pStyle w:val="ListNumber"/>
              <w:spacing w:after="40"/>
            </w:pPr>
            <w:r>
              <w:rPr>
                <w:b w:val="0"/>
                <w:i w:val="0"/>
                <w:sz w:val="20"/>
              </w:rPr>
              <w:t>Discuss potential drug-drug, drug-food, and drug-herb interactions with drugs used to treat myocardial ischemia.</w:t>
            </w:r>
          </w:p>
          <w:p>
            <w:pPr>
              <w:pStyle w:val="ListNumber"/>
              <w:spacing w:after="40"/>
            </w:pPr>
            <w:r>
              <w:rPr>
                <w:b w:val="0"/>
                <w:i w:val="0"/>
                <w:sz w:val="20"/>
              </w:rPr>
              <w:t>List commonly used protocols and patient monitoring for myocardial ischemia drug therapy.</w:t>
            </w:r>
          </w:p>
          <w:p>
            <w:pPr>
              <w:pStyle w:val="ListNumber"/>
              <w:spacing w:after="40"/>
            </w:pPr>
            <w:r>
              <w:rPr>
                <w:b w:val="0"/>
                <w:i w:val="0"/>
                <w:sz w:val="20"/>
              </w:rPr>
              <w:t>Outline appropriate patient education for drugs used to treat myocardial ischemia.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Where the exam ends.</w:t>
            </w:r>
            <w:r>
              <w:rPr>
                <w:b w:val="0"/>
                <w:i w:val="0"/>
                <w:sz w:val="20"/>
              </w:rPr>
              <w:t xml:space="preserve"> “The end of the testable material for the exam for Monday ends with this PowerPoint, and then we’ll get started on the first PowerPoint for the third exam right after.” (at 0:24). Myocardial ischemia is the last testable lecture of Exam 2; the diuretics and heart failure deck that follows in the same recording belongs to the next exam.</w:t>
            </w:r>
          </w:p>
          <w:p>
            <w:pPr>
              <w:pStyle w:val="ListBullet"/>
              <w:spacing w:after="40"/>
            </w:pPr>
            <w:r>
              <w:rPr>
                <w:b/>
                <w:i w:val="0"/>
                <w:sz w:val="20"/>
              </w:rPr>
              <w:t>Which cell line makes which fibrinolytic</w:t>
            </w:r>
            <w:r>
              <w:rPr>
                <w:b w:val="0"/>
                <w:i w:val="0"/>
                <w:sz w:val="20"/>
              </w:rPr>
              <w:t xml:space="preserve"> — “I don’t care that you know the difference between which one’s made with E. coli versus hamster cells.” (at 1:02:02). The hamster ovary cells against </w:t>
            </w:r>
            <w:r>
              <w:rPr>
                <w:b w:val="0"/>
                <w:i/>
                <w:sz w:val="20"/>
              </w:rPr>
              <w:t>Escherichia coli</w:t>
            </w:r>
            <w:r>
              <w:rPr>
                <w:b w:val="0"/>
                <w:i w:val="0"/>
                <w:sz w:val="20"/>
              </w:rPr>
              <w:t xml:space="preserve"> detail on slide 64 steps back.</w:t>
            </w:r>
          </w:p>
          <w:p>
            <w:pPr>
              <w:pStyle w:val="ListBullet"/>
              <w:spacing w:after="40"/>
            </w:pPr>
            <w:r>
              <w:rPr>
                <w:b/>
                <w:i w:val="0"/>
                <w:sz w:val="20"/>
              </w:rPr>
              <w:t>Streptokinase the drug</w:t>
            </w:r>
            <w:r>
              <w:rPr>
                <w:b w:val="0"/>
                <w:i w:val="0"/>
                <w:sz w:val="20"/>
              </w:rPr>
              <w:t xml:space="preserve"> — “Streptokinase,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 (at 58:27). What he does want known is the </w:t>
            </w:r>
            <w:r>
              <w:rPr>
                <w:b/>
                <w:i w:val="0"/>
                <w:sz w:val="20"/>
              </w:rPr>
              <w:t>picture</w:t>
            </w:r>
            <w:r>
              <w:rPr>
                <w:b w:val="0"/>
                <w:i w:val="0"/>
                <w:sz w:val="20"/>
              </w:rPr>
              <w:t xml:space="preserve"> on slides 59 and 60: plasminogen is converted to plasmin, by a streptokinase complex or by tissue plasminogen activator.</w:t>
            </w:r>
          </w:p>
          <w:p>
            <w:pPr>
              <w:pStyle w:val="ListBullet"/>
              <w:spacing w:after="40"/>
            </w:pPr>
            <w:r>
              <w:rPr>
                <w:b/>
                <w:i w:val="0"/>
                <w:sz w:val="20"/>
              </w:rPr>
              <w:t>Doses.</w:t>
            </w:r>
            <w:r>
              <w:rPr>
                <w:b w:val="0"/>
                <w:i w:val="0"/>
                <w:sz w:val="20"/>
              </w:rPr>
              <w:t xml:space="preserve"> This site leaves milligram amounts out (doses are not tested in this course, per the earlier lectures); he quoted the aspirin loading amount in this lecture without saying whether it is examined. The left-out box below lists what the deck gives and this guide omits.</w:t>
            </w:r>
          </w:p>
          <w:p>
            <w:pPr>
              <w:spacing w:after="120"/>
            </w:pPr>
            <w:r>
              <w:rPr>
                <w:b w:val="0"/>
                <w:i w:val="0"/>
              </w:rPr>
              <w:t>“some things are for prophylaxis and some things for acute treatment”</w:t>
            </w:r>
          </w:p>
          <w:p>
            <w:pPr>
              <w:spacing w:after="120"/>
            </w:pPr>
            <w:r>
              <w:rPr>
                <w:b w:val="0"/>
                <w:i w:val="0"/>
              </w:rPr>
              <w:t>“a cornucopia of test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aspirin milligram amount on slide 52 and the nitroglycerin ointment amount per inch on slide 31 are not reproduced. Timings, durations, routes and schedules are kept, for example the 12 hours on and 12 hours off nitrate schedule.</w:t>
            </w:r>
          </w:p>
          <w:p>
            <w:pPr>
              <w:pStyle w:val="ListBullet"/>
              <w:spacing w:after="40"/>
            </w:pPr>
            <w:r>
              <w:rPr>
                <w:b/>
                <w:i w:val="0"/>
                <w:sz w:val="20"/>
              </w:rPr>
              <w:t>Trial and registry percentages.</w:t>
            </w:r>
            <w:r>
              <w:rPr>
                <w:b w:val="0"/>
                <w:i w:val="0"/>
                <w:sz w:val="20"/>
              </w:rPr>
              <w:t xml:space="preserve"> Slide 52 says beta blockers cut the risk of myocardial infarction by 13 percent in unstable angina and cut deaths by 40 percent after a myocardial infarction. Slide 37 says aspirin cuts the risk of primary events by about 30 percent. Slide 65 gives bleeding of 0.5 to 7 percent and intracranial hemorrhage of 0.4 to 0.94 percent with fibrinolytics. These are stated here for completeness; learn the direction of each finding, not the number.</w:t>
            </w:r>
          </w:p>
          <w:p>
            <w:pPr>
              <w:pStyle w:val="ListBullet"/>
              <w:spacing w:after="40"/>
            </w:pPr>
            <w:r>
              <w:rPr>
                <w:b/>
                <w:i w:val="0"/>
                <w:sz w:val="20"/>
              </w:rPr>
              <w:t>Older cut-offs.</w:t>
            </w:r>
            <w:r>
              <w:rPr>
                <w:b w:val="0"/>
                <w:i w:val="0"/>
                <w:sz w:val="20"/>
              </w:rPr>
              <w:t xml:space="preserve"> The numbers on the fibrinolytic contraindication slide (10 days, 3 months, a diastolic pressure above 110) and on the fibrinolytic indication slide (under 75 years, within 12 hours) come from an older source; learn the categories they stand for.</w:t>
            </w:r>
          </w:p>
          <w:p>
            <w:pPr>
              <w:pStyle w:val="ListBullet"/>
              <w:spacing w:after="40"/>
            </w:pPr>
            <w:r>
              <w:rPr>
                <w:b/>
                <w:i w:val="0"/>
                <w:sz w:val="20"/>
              </w:rPr>
              <w:t>Where the deck is wrong or out of date,</w:t>
            </w:r>
            <w:r>
              <w:rPr>
                <w:b w:val="0"/>
                <w:i w:val="0"/>
                <w:sz w:val="20"/>
              </w:rPr>
              <w:t xml:space="preserve"> the guide says so in a box headed “Deck versus truth” and follows the truth. Those points are not to be memorized as the slide words them.</w:t>
            </w:r>
          </w:p>
          <w:p>
            <w:pPr>
              <w:pStyle w:val="ListBullet"/>
              <w:spacing w:after="40"/>
            </w:pPr>
            <w:r>
              <w:rPr>
                <w:b/>
                <w:i w:val="0"/>
                <w:sz w:val="20"/>
              </w:rPr>
              <w:t>Three things he taught that current practice has moved past are the exception.</w:t>
            </w:r>
            <w:r>
              <w:rPr>
                <w:b w:val="0"/>
                <w:i w:val="0"/>
                <w:sz w:val="20"/>
              </w:rPr>
              <w:t xml:space="preserve"> The exam follows the course, so they are keyed as he taught them, each in a box headed “Course rule versus current practice”: the prior-infarction and diabetes cells of the comorbidity table (5.5), replacing nitroglycerin tablets every 3 to 6 months (5.4), and intravenous then oral beta blockers with an early mortality benefit in acute coronary syndrome (5.7). Learn the course rule for the exam; the box says where current labeling or guidelines differ.</w:t>
            </w:r>
          </w:p>
        </w:tc>
      </w:tr>
    </w:tbl>
    <w:p>
      <w:pPr>
        <w:spacing w:after="80"/>
      </w:pPr>
    </w:p>
    <w:p>
      <w:pPr>
        <w:pStyle w:val="Heading2"/>
        <w:spacing w:before="200" w:after="100"/>
      </w:pPr>
      <w:r>
        <w:rPr>
          <w:rFonts w:ascii="Georgia" w:hAnsi="Georgia"/>
          <w:color w:val="6B3524"/>
        </w:rPr>
        <w:t>5.1 · Objectives 1–3 — Angina, and the oxygen supply-and-demand frame</w:t>
      </w:r>
    </w:p>
    <w:p>
      <w:pPr>
        <w:spacing w:after="120"/>
      </w:pPr>
      <w:r>
        <w:rPr>
          <w:b/>
          <w:i w:val="0"/>
        </w:rPr>
        <w:t>Ischemic heart disease</w:t>
      </w:r>
      <w:r>
        <w:rPr>
          <w:b w:val="0"/>
          <w:i w:val="0"/>
        </w:rPr>
        <w:t xml:space="preserve"> is an imbalance between the oxygen supply and the oxygen demand of the heart muscle [slide 4]. Less blood flow to the tissue means a lack of oxygen supply [slide 4]. </w:t>
      </w:r>
      <w:r>
        <w:rPr>
          <w:b/>
          <w:i w:val="0"/>
        </w:rPr>
        <w:t>Coronary heart disease</w:t>
      </w:r>
      <w:r>
        <w:rPr>
          <w:b w:val="0"/>
          <w:i w:val="0"/>
        </w:rPr>
        <w:t xml:space="preserve"> is atherosclerotic narrowing of one or more coronary arteries [slide 4]. </w:t>
      </w:r>
      <w:r>
        <w:rPr>
          <w:b/>
          <w:i w:val="0"/>
        </w:rPr>
        <w:t>Angina pectoris</w:t>
      </w:r>
      <w:r>
        <w:rPr>
          <w:b w:val="0"/>
          <w:i w:val="0"/>
        </w:rPr>
        <w:t xml:space="preserve"> is the clinical manifestation of myocardial ischemia: chest pain [slide 4]. </w:t>
      </w:r>
      <w:r>
        <w:rPr>
          <w:b/>
          <w:i w:val="0"/>
        </w:rPr>
        <w:t>Chronic stable angina</w:t>
      </w:r>
      <w:r>
        <w:rPr>
          <w:b w:val="0"/>
          <w:i w:val="0"/>
        </w:rPr>
        <w:t xml:space="preserve"> is listed as the chronic counterpart of acute coronary syndrome [slide 4]. </w:t>
      </w:r>
      <w:r>
        <w:rPr>
          <w:b/>
          <w:i w:val="0"/>
        </w:rPr>
        <w:t>Acute coronary syndrome</w:t>
      </w:r>
      <w:r>
        <w:rPr>
          <w:b w:val="0"/>
          <w:i w:val="0"/>
        </w:rPr>
        <w:t xml:space="preserve"> groups unstable angina, acute myocardial infarction and sudden cardiac death [slide 4].</w:t>
      </w:r>
    </w:p>
    <w:p>
      <w:pPr>
        <w:spacing w:after="120"/>
      </w:pPr>
      <w:r>
        <w:rPr>
          <w:b w:val="0"/>
          <w:i w:val="0"/>
        </w:rPr>
        <w:t xml:space="preserve">Angina is a late, symptomatic manifestation of ischemia that may occur with any degree of stenosis [slide 7]. (Slide 7 calls it “latent”; angina is the symptomatic phase, not a hidden one.) A narrowing of </w:t>
      </w:r>
      <w:r>
        <w:rPr>
          <w:b/>
          <w:i w:val="0"/>
        </w:rPr>
        <w:t>50 percent of the left main coronary artery, or 75 percent of another major coronary artery,</w:t>
      </w:r>
      <w:r>
        <w:rPr>
          <w:b w:val="0"/>
          <w:i w:val="0"/>
        </w:rPr>
        <w:t xml:space="preserve"> is considered clinically significant [slide 7]. A stenosis above 90 percent severely limits flow (the slide says “virtually no flow”), so ischemia can occur even at low demand [slide 7].</w:t>
      </w:r>
    </w:p>
    <w:p>
      <w:pPr>
        <w:pStyle w:val="Heading3"/>
        <w:spacing w:before="200" w:after="100"/>
      </w:pPr>
      <w:r>
        <w:rPr>
          <w:rFonts w:ascii="Georgia" w:hAnsi="Georgia"/>
          <w:color w:val="6B3524"/>
        </w:rPr>
        <w:t>The two sides of the balance [slides 5 and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Side</w:t>
            </w:r>
          </w:p>
        </w:tc>
        <w:tc>
          <w:tcPr>
            <w:tcW w:type="dxa" w:w="7272"/>
            <w:shd w:val="clear" w:color="auto" w:fill="6B3524"/>
          </w:tcPr>
          <w:p>
            <w:pPr>
              <w:spacing w:after="40"/>
            </w:pPr>
            <w:r>
              <w:rPr>
                <w:b/>
                <w:color w:val="FFFFFF"/>
                <w:sz w:val="18"/>
              </w:rPr>
            </w:r>
            <w:r>
              <w:rPr>
                <w:b/>
                <w:i w:val="0"/>
                <w:color w:val="FFFFFF"/>
                <w:sz w:val="18"/>
              </w:rPr>
              <w:t>What sets it</w:t>
            </w:r>
          </w:p>
        </w:tc>
      </w:tr>
      <w:tr>
        <w:tc>
          <w:tcPr>
            <w:tcW w:type="dxa" w:w="7272"/>
          </w:tcPr>
          <w:p>
            <w:pPr>
              <w:spacing w:after="40"/>
            </w:pPr>
            <w:r>
              <w:rPr>
                <w:sz w:val="18"/>
              </w:rPr>
            </w:r>
            <w:r>
              <w:rPr>
                <w:b/>
                <w:i w:val="0"/>
                <w:sz w:val="18"/>
              </w:rPr>
              <w:t>Oxygen supply (availability)</w:t>
            </w:r>
          </w:p>
        </w:tc>
        <w:tc>
          <w:tcPr>
            <w:tcW w:type="dxa" w:w="7272"/>
          </w:tcPr>
          <w:p>
            <w:pPr>
              <w:spacing w:after="40"/>
            </w:pPr>
            <w:r>
              <w:rPr>
                <w:sz w:val="18"/>
              </w:rPr>
            </w:r>
            <w:r>
              <w:rPr>
                <w:b w:val="0"/>
                <w:i w:val="0"/>
                <w:sz w:val="18"/>
              </w:rPr>
              <w:t>Arterial partial pressure of oxygen and hemoglobin concentration; coronary flow and its distribution; oxygen extraction and the coronary microcirculation [slide 5]</w:t>
            </w:r>
          </w:p>
        </w:tc>
      </w:tr>
      <w:tr>
        <w:tc>
          <w:tcPr>
            <w:tcW w:type="dxa" w:w="7272"/>
          </w:tcPr>
          <w:p>
            <w:pPr>
              <w:spacing w:after="40"/>
            </w:pPr>
            <w:r>
              <w:rPr>
                <w:sz w:val="18"/>
              </w:rPr>
            </w:r>
            <w:r>
              <w:rPr>
                <w:b/>
                <w:i w:val="0"/>
                <w:sz w:val="18"/>
              </w:rPr>
              <w:t>Oxygen demand (requirement)</w:t>
            </w:r>
          </w:p>
        </w:tc>
        <w:tc>
          <w:tcPr>
            <w:tcW w:type="dxa" w:w="7272"/>
          </w:tcPr>
          <w:p>
            <w:pPr>
              <w:spacing w:after="40"/>
            </w:pPr>
            <w:r>
              <w:rPr>
                <w:sz w:val="18"/>
              </w:rPr>
            </w:r>
            <w:r>
              <w:rPr>
                <w:b w:val="0"/>
                <w:i w:val="0"/>
                <w:sz w:val="18"/>
              </w:rPr>
              <w:t xml:space="preserve">Heart rate; contractility; and </w:t>
            </w:r>
            <w:r>
              <w:rPr>
                <w:b/>
                <w:i w:val="0"/>
                <w:sz w:val="18"/>
              </w:rPr>
              <w:t>systolic (intramyocardial) wall tension</w:t>
            </w:r>
            <w:r>
              <w:rPr>
                <w:b w:val="0"/>
                <w:i w:val="0"/>
                <w:sz w:val="18"/>
              </w:rPr>
              <w:t xml:space="preserve"> [slides 5 and 6]</w:t>
            </w:r>
          </w:p>
        </w:tc>
      </w:tr>
    </w:tbl>
    <w:p>
      <w:pPr>
        <w:spacing w:after="80"/>
      </w:pPr>
    </w:p>
    <w:p>
      <w:pPr>
        <w:spacing w:after="120"/>
      </w:pPr>
      <w:r>
        <w:rPr>
          <w:b/>
          <w:i w:val="0"/>
        </w:rPr>
        <w:t>Wall tension</w:t>
      </w:r>
      <w:r>
        <w:rPr>
          <w:b w:val="0"/>
          <w:i w:val="0"/>
        </w:rPr>
        <w:t xml:space="preserve"> is the tension in the heart wall [slide 6]. It is affected by ventricular volume and pressure and is a function of preload and afterload [slide 6]. </w:t>
      </w:r>
      <w:r>
        <w:rPr>
          <w:b/>
          <w:i w:val="0"/>
        </w:rPr>
        <w:t>Preload</w:t>
      </w:r>
      <w:r>
        <w:rPr>
          <w:b w:val="0"/>
          <w:i w:val="0"/>
        </w:rPr>
        <w:t xml:space="preserve"> is the initial stretching of the cardiac muscle cells before contraction; it tracks ventricular and diastolic volume [slide 6]. </w:t>
      </w:r>
      <w:r>
        <w:rPr>
          <w:b/>
          <w:i w:val="0"/>
        </w:rPr>
        <w:t>Afterload</w:t>
      </w:r>
      <w:r>
        <w:rPr>
          <w:b w:val="0"/>
          <w:i w:val="0"/>
        </w:rPr>
        <w:t xml:space="preserve"> is the pressure the heart must eject blood against; it tracks systemic vascular resistance [slide 6].</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heart’s oxygen budget.</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Supply is the income</w:t>
            </w:r>
            <w:r>
              <w:rPr>
                <w:b w:val="0"/>
                <w:i w:val="0"/>
                <w:sz w:val="20"/>
              </w:rPr>
              <w:t>: the oxygen that the coronary arteries deliver. A coronary stenosis caps the income, and a stenosis above 90 percent severely limits it [slide 7].</w:t>
            </w:r>
          </w:p>
          <w:p>
            <w:pPr>
              <w:pStyle w:val="ListBullet"/>
              <w:spacing w:after="40"/>
            </w:pPr>
            <w:r>
              <w:rPr>
                <w:b/>
                <w:i w:val="0"/>
                <w:sz w:val="20"/>
              </w:rPr>
              <w:t>Demand is the spending</w:t>
            </w:r>
            <w:r>
              <w:rPr>
                <w:b w:val="0"/>
                <w:i w:val="0"/>
                <w:sz w:val="20"/>
              </w:rPr>
              <w:t>: heart rate, contractility and wall tension [slide 6]. Exercise raises the spending; angina is the overdraft warning, chest pain when spending outruns income.</w:t>
            </w:r>
          </w:p>
          <w:p>
            <w:pPr>
              <w:pStyle w:val="ListBullet"/>
              <w:spacing w:after="40"/>
            </w:pPr>
            <w:r>
              <w:rPr>
                <w:b/>
                <w:i w:val="0"/>
                <w:sz w:val="20"/>
              </w:rPr>
              <w:t>Beta blockers cut spending only</w:t>
            </w:r>
            <w:r>
              <w:rPr>
                <w:b w:val="0"/>
                <w:i w:val="0"/>
                <w:sz w:val="20"/>
              </w:rPr>
              <w:t>: they slow the rate and soften the contraction and have no effect on supply [slide 16].</w:t>
            </w:r>
          </w:p>
          <w:p>
            <w:pPr>
              <w:pStyle w:val="ListBullet"/>
              <w:spacing w:after="40"/>
            </w:pPr>
            <w:r>
              <w:rPr>
                <w:b/>
                <w:i w:val="0"/>
                <w:sz w:val="20"/>
              </w:rPr>
              <w:t>Calcium channel blockers cut spending and raise income a little</w:t>
            </w:r>
            <w:r>
              <w:rPr>
                <w:b w:val="0"/>
                <w:i w:val="0"/>
                <w:sz w:val="20"/>
              </w:rPr>
              <w:t>: mild dilation where the stenosis is fixed and relief of spasm [slide 20].</w:t>
            </w:r>
          </w:p>
          <w:p>
            <w:pPr>
              <w:pStyle w:val="ListBullet"/>
              <w:spacing w:after="40"/>
            </w:pPr>
            <w:r>
              <w:rPr>
                <w:b/>
                <w:i w:val="0"/>
                <w:sz w:val="20"/>
              </w:rPr>
              <w:t>Nitrates cut spending and raise income</w:t>
            </w:r>
            <w:r>
              <w:rPr>
                <w:b w:val="0"/>
                <w:i w:val="0"/>
                <w:sz w:val="20"/>
              </w:rPr>
              <w:t>: they lower wall tension, dilate the coronary arteries and relieve spasm [slide 25].</w:t>
            </w:r>
          </w:p>
          <w:p>
            <w:pPr>
              <w:pStyle w:val="ListBullet"/>
              <w:spacing w:after="40"/>
            </w:pPr>
            <w:r>
              <w:rPr>
                <w:b/>
                <w:i w:val="0"/>
                <w:sz w:val="20"/>
              </w:rPr>
              <w:t>Aspirin, clopidogrel and statins protect the income source</w:t>
            </w:r>
            <w:r>
              <w:rPr>
                <w:b w:val="0"/>
                <w:i w:val="0"/>
                <w:sz w:val="20"/>
              </w:rPr>
              <w:t xml:space="preserve"> from being blocked by a clot or a ruptured plaque [slides 11, 12 and 37].</w:t>
            </w:r>
          </w:p>
          <w:p>
            <w:pPr>
              <w:spacing w:after="120"/>
            </w:pPr>
            <w:r>
              <w:rPr>
                <w:b w:val="0"/>
                <w:i w:val="0"/>
              </w:rPr>
              <w:t>Where it breaks:</w:t>
            </w:r>
          </w:p>
        </w:tc>
      </w:tr>
    </w:tbl>
    <w:p>
      <w:pPr>
        <w:spacing w:after="80"/>
      </w:pPr>
    </w:p>
    <w:p>
      <w:pPr>
        <w:pStyle w:val="Heading3"/>
        <w:spacing w:before="200" w:after="100"/>
      </w:pPr>
      <w:r>
        <w:rPr>
          <w:rFonts w:ascii="Georgia" w:hAnsi="Georgia"/>
          <w:color w:val="6B3524"/>
        </w:rPr>
        <w:t>Risk factors, goals and strategy [slides 9 to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lists</w:t>
            </w:r>
          </w:p>
        </w:tc>
      </w:tr>
      <w:tr>
        <w:tc>
          <w:tcPr>
            <w:tcW w:type="dxa" w:w="7272"/>
          </w:tcPr>
          <w:p>
            <w:pPr>
              <w:spacing w:after="40"/>
            </w:pPr>
            <w:r>
              <w:rPr>
                <w:sz w:val="18"/>
              </w:rPr>
            </w:r>
            <w:r>
              <w:rPr>
                <w:b w:val="0"/>
                <w:i w:val="0"/>
                <w:sz w:val="18"/>
              </w:rPr>
              <w:t>Non-modifiable risk factors</w:t>
            </w:r>
          </w:p>
        </w:tc>
        <w:tc>
          <w:tcPr>
            <w:tcW w:type="dxa" w:w="7272"/>
          </w:tcPr>
          <w:p>
            <w:pPr>
              <w:spacing w:after="40"/>
            </w:pPr>
            <w:r>
              <w:rPr>
                <w:sz w:val="18"/>
              </w:rPr>
            </w:r>
            <w:r>
              <w:rPr>
                <w:b w:val="0"/>
                <w:i w:val="0"/>
                <w:sz w:val="18"/>
              </w:rPr>
              <w:t>Family history of a premature cardiovascular event; age above 45 years in males and above 55 years in females [slide 9]</w:t>
            </w:r>
          </w:p>
        </w:tc>
      </w:tr>
      <w:tr>
        <w:tc>
          <w:tcPr>
            <w:tcW w:type="dxa" w:w="7272"/>
          </w:tcPr>
          <w:p>
            <w:pPr>
              <w:spacing w:after="40"/>
            </w:pPr>
            <w:r>
              <w:rPr>
                <w:sz w:val="18"/>
              </w:rPr>
            </w:r>
            <w:r>
              <w:rPr>
                <w:b w:val="0"/>
                <w:i w:val="0"/>
                <w:sz w:val="18"/>
              </w:rPr>
              <w:t>Modifiable risk factors</w:t>
            </w:r>
          </w:p>
        </w:tc>
        <w:tc>
          <w:tcPr>
            <w:tcW w:type="dxa" w:w="7272"/>
          </w:tcPr>
          <w:p>
            <w:pPr>
              <w:spacing w:after="40"/>
            </w:pPr>
            <w:r>
              <w:rPr>
                <w:sz w:val="18"/>
              </w:rPr>
            </w:r>
            <w:r>
              <w:rPr>
                <w:b w:val="0"/>
                <w:i w:val="0"/>
                <w:sz w:val="18"/>
              </w:rPr>
              <w:t>Sedentary lifestyle, diabetes, tobacco use, being overweight, hypertension and dyslipidemia [slide 9]</w:t>
            </w:r>
          </w:p>
        </w:tc>
      </w:tr>
      <w:tr>
        <w:tc>
          <w:tcPr>
            <w:tcW w:type="dxa" w:w="7272"/>
          </w:tcPr>
          <w:p>
            <w:pPr>
              <w:spacing w:after="40"/>
            </w:pPr>
            <w:r>
              <w:rPr>
                <w:sz w:val="18"/>
              </w:rPr>
            </w:r>
            <w:r>
              <w:rPr>
                <w:b w:val="0"/>
                <w:i w:val="0"/>
                <w:sz w:val="18"/>
              </w:rPr>
              <w:t>Treatment goals</w:t>
            </w:r>
          </w:p>
        </w:tc>
        <w:tc>
          <w:tcPr>
            <w:tcW w:type="dxa" w:w="7272"/>
          </w:tcPr>
          <w:p>
            <w:pPr>
              <w:spacing w:after="40"/>
            </w:pPr>
            <w:r>
              <w:rPr>
                <w:sz w:val="18"/>
              </w:rPr>
            </w:r>
            <w:r>
              <w:rPr>
                <w:b w:val="0"/>
                <w:i w:val="0"/>
                <w:sz w:val="18"/>
              </w:rPr>
              <w:t>Increase quantity of life by preventing acute coronary syndromes; increase quality of life by relieving and preventing symptoms [slide 10]</w:t>
            </w:r>
          </w:p>
        </w:tc>
      </w:tr>
      <w:tr>
        <w:tc>
          <w:tcPr>
            <w:tcW w:type="dxa" w:w="7272"/>
          </w:tcPr>
          <w:p>
            <w:pPr>
              <w:spacing w:after="40"/>
            </w:pPr>
            <w:r>
              <w:rPr>
                <w:sz w:val="18"/>
              </w:rPr>
            </w:r>
            <w:r>
              <w:rPr>
                <w:b w:val="0"/>
                <w:i w:val="0"/>
                <w:sz w:val="18"/>
              </w:rPr>
              <w:t>Lower oxygen demand</w:t>
            </w:r>
          </w:p>
        </w:tc>
        <w:tc>
          <w:tcPr>
            <w:tcW w:type="dxa" w:w="7272"/>
          </w:tcPr>
          <w:p>
            <w:pPr>
              <w:spacing w:after="40"/>
            </w:pPr>
            <w:r>
              <w:rPr>
                <w:sz w:val="18"/>
              </w:rPr>
            </w:r>
            <w:r>
              <w:rPr>
                <w:b w:val="0"/>
                <w:i w:val="0"/>
                <w:sz w:val="18"/>
              </w:rPr>
              <w:t>Decrease heart rate; decrease contractility; decrease intramyocardial wall tension by decreasing preload and afterload [slide 11]</w:t>
            </w:r>
          </w:p>
        </w:tc>
      </w:tr>
      <w:tr>
        <w:tc>
          <w:tcPr>
            <w:tcW w:type="dxa" w:w="7272"/>
          </w:tcPr>
          <w:p>
            <w:pPr>
              <w:spacing w:after="40"/>
            </w:pPr>
            <w:r>
              <w:rPr>
                <w:sz w:val="18"/>
              </w:rPr>
            </w:r>
            <w:r>
              <w:rPr>
                <w:b w:val="0"/>
                <w:i w:val="0"/>
                <w:sz w:val="18"/>
              </w:rPr>
              <w:t>Raise oxygen supply</w:t>
            </w:r>
          </w:p>
        </w:tc>
        <w:tc>
          <w:tcPr>
            <w:tcW w:type="dxa" w:w="7272"/>
          </w:tcPr>
          <w:p>
            <w:pPr>
              <w:spacing w:after="40"/>
            </w:pPr>
            <w:r>
              <w:rPr>
                <w:sz w:val="18"/>
              </w:rPr>
            </w:r>
            <w:r>
              <w:rPr>
                <w:b w:val="0"/>
                <w:i w:val="0"/>
                <w:sz w:val="18"/>
              </w:rPr>
              <w:t>Improve coronary blood flow [slide 11]</w:t>
            </w:r>
          </w:p>
        </w:tc>
      </w:tr>
      <w:tr>
        <w:tc>
          <w:tcPr>
            <w:tcW w:type="dxa" w:w="7272"/>
          </w:tcPr>
          <w:p>
            <w:pPr>
              <w:spacing w:after="40"/>
            </w:pPr>
            <w:r>
              <w:rPr>
                <w:sz w:val="18"/>
              </w:rPr>
            </w:r>
            <w:r>
              <w:rPr>
                <w:b w:val="0"/>
                <w:i w:val="0"/>
                <w:sz w:val="18"/>
              </w:rPr>
              <w:t>Other strategy</w:t>
            </w:r>
          </w:p>
        </w:tc>
        <w:tc>
          <w:tcPr>
            <w:tcW w:type="dxa" w:w="7272"/>
          </w:tcPr>
          <w:p>
            <w:pPr>
              <w:spacing w:after="40"/>
            </w:pPr>
            <w:r>
              <w:rPr>
                <w:sz w:val="18"/>
              </w:rPr>
            </w:r>
            <w:r>
              <w:rPr>
                <w:b w:val="0"/>
                <w:i w:val="0"/>
                <w:sz w:val="18"/>
              </w:rPr>
              <w:t>Stabilize atherosclerotic plaques to prevent acute coronary syndrome; modify reversible risk factors [slide 11]</w:t>
            </w:r>
          </w:p>
        </w:tc>
      </w:tr>
    </w:tbl>
    <w:p>
      <w:pPr>
        <w:spacing w:after="80"/>
      </w:pPr>
    </w:p>
    <w:p>
      <w:pPr>
        <w:pStyle w:val="Heading3"/>
        <w:spacing w:before="200" w:after="100"/>
      </w:pPr>
      <w:r>
        <w:rPr>
          <w:rFonts w:ascii="Georgia" w:hAnsi="Georgia"/>
          <w:color w:val="6B3524"/>
        </w:rPr>
        <w:t>The three treatment arms and the drug classes (Objective 1) [slides 12 to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Arm</w:t>
            </w:r>
          </w:p>
        </w:tc>
        <w:tc>
          <w:tcPr>
            <w:tcW w:type="dxa" w:w="7272"/>
            <w:shd w:val="clear" w:color="auto" w:fill="6B3524"/>
          </w:tcPr>
          <w:p>
            <w:pPr>
              <w:spacing w:after="40"/>
            </w:pPr>
            <w:r>
              <w:rPr>
                <w:b/>
                <w:color w:val="FFFFFF"/>
                <w:sz w:val="18"/>
              </w:rPr>
            </w:r>
            <w:r>
              <w:rPr>
                <w:b/>
                <w:i w:val="0"/>
                <w:color w:val="FFFFFF"/>
                <w:sz w:val="18"/>
              </w:rPr>
              <w:t>What it includes</w:t>
            </w:r>
          </w:p>
        </w:tc>
      </w:tr>
      <w:tr>
        <w:tc>
          <w:tcPr>
            <w:tcW w:type="dxa" w:w="7272"/>
          </w:tcPr>
          <w:p>
            <w:pPr>
              <w:spacing w:after="40"/>
            </w:pPr>
            <w:r>
              <w:rPr>
                <w:sz w:val="18"/>
              </w:rPr>
            </w:r>
            <w:r>
              <w:rPr>
                <w:b w:val="0"/>
                <w:i w:val="0"/>
                <w:sz w:val="18"/>
              </w:rPr>
              <w:t>Revascularization</w:t>
            </w:r>
          </w:p>
        </w:tc>
        <w:tc>
          <w:tcPr>
            <w:tcW w:type="dxa" w:w="7272"/>
          </w:tcPr>
          <w:p>
            <w:pPr>
              <w:spacing w:after="40"/>
            </w:pPr>
            <w:r>
              <w:rPr>
                <w:sz w:val="18"/>
              </w:rPr>
            </w:r>
            <w:r>
              <w:rPr>
                <w:b w:val="0"/>
                <w:i w:val="0"/>
                <w:sz w:val="18"/>
              </w:rPr>
              <w:t>Percutaneous coronary intervention; coronary artery bypass grafting [slide 12]</w:t>
            </w:r>
          </w:p>
        </w:tc>
      </w:tr>
      <w:tr>
        <w:tc>
          <w:tcPr>
            <w:tcW w:type="dxa" w:w="7272"/>
          </w:tcPr>
          <w:p>
            <w:pPr>
              <w:spacing w:after="40"/>
            </w:pPr>
            <w:r>
              <w:rPr>
                <w:sz w:val="18"/>
              </w:rPr>
            </w:r>
            <w:r>
              <w:rPr>
                <w:b w:val="0"/>
                <w:i w:val="0"/>
                <w:sz w:val="18"/>
              </w:rPr>
              <w:t>Drug therapy: antianginals</w:t>
            </w:r>
          </w:p>
        </w:tc>
        <w:tc>
          <w:tcPr>
            <w:tcW w:type="dxa" w:w="7272"/>
          </w:tcPr>
          <w:p>
            <w:pPr>
              <w:spacing w:after="40"/>
            </w:pPr>
            <w:r>
              <w:rPr>
                <w:sz w:val="18"/>
              </w:rPr>
            </w:r>
            <w:r>
              <w:rPr>
                <w:b/>
                <w:i w:val="0"/>
                <w:sz w:val="18"/>
              </w:rPr>
              <w:t>Beta blockers, calcium channel blockers and nitrates</w:t>
            </w:r>
            <w:r>
              <w:rPr>
                <w:b w:val="0"/>
                <w:i w:val="0"/>
                <w:sz w:val="18"/>
              </w:rPr>
              <w:t xml:space="preserve"> [slides 12 and 14]</w:t>
            </w:r>
          </w:p>
        </w:tc>
      </w:tr>
      <w:tr>
        <w:tc>
          <w:tcPr>
            <w:tcW w:type="dxa" w:w="7272"/>
          </w:tcPr>
          <w:p>
            <w:pPr>
              <w:spacing w:after="40"/>
            </w:pPr>
            <w:r>
              <w:rPr>
                <w:sz w:val="18"/>
              </w:rPr>
            </w:r>
            <w:r>
              <w:rPr>
                <w:b w:val="0"/>
                <w:i w:val="0"/>
                <w:sz w:val="18"/>
              </w:rPr>
              <w:t>Drug therapy: vasculoprotective</w:t>
            </w:r>
          </w:p>
        </w:tc>
        <w:tc>
          <w:tcPr>
            <w:tcW w:type="dxa" w:w="7272"/>
          </w:tcPr>
          <w:p>
            <w:pPr>
              <w:spacing w:after="40"/>
            </w:pPr>
            <w:r>
              <w:rPr>
                <w:sz w:val="18"/>
              </w:rPr>
            </w:r>
            <w:r>
              <w:rPr>
                <w:b w:val="0"/>
                <w:i w:val="0"/>
                <w:sz w:val="18"/>
              </w:rPr>
              <w:t>Antiplatelet drugs, statins and angiotensin-converting enzyme inhibitors [slide 12]. Aspirin is used in ischemic heart disease to prevent acute coronary syndromes [slide 37]</w:t>
            </w:r>
          </w:p>
        </w:tc>
      </w:tr>
      <w:tr>
        <w:tc>
          <w:tcPr>
            <w:tcW w:type="dxa" w:w="7272"/>
          </w:tcPr>
          <w:p>
            <w:pPr>
              <w:spacing w:after="40"/>
            </w:pPr>
            <w:r>
              <w:rPr>
                <w:sz w:val="18"/>
              </w:rPr>
            </w:r>
            <w:r>
              <w:rPr>
                <w:b w:val="0"/>
                <w:i w:val="0"/>
                <w:sz w:val="18"/>
              </w:rPr>
              <w:t>Lifestyle</w:t>
            </w:r>
          </w:p>
        </w:tc>
        <w:tc>
          <w:tcPr>
            <w:tcW w:type="dxa" w:w="7272"/>
          </w:tcPr>
          <w:p>
            <w:pPr>
              <w:spacing w:after="40"/>
            </w:pPr>
            <w:r>
              <w:rPr>
                <w:sz w:val="18"/>
              </w:rPr>
            </w:r>
            <w:r>
              <w:rPr>
                <w:b w:val="0"/>
                <w:i w:val="0"/>
                <w:sz w:val="18"/>
              </w:rPr>
              <w:t>Change the modifiable risk factors [slide 12]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9:15 of the recording: </w:t>
            </w:r>
            <w:r>
              <w:rPr>
                <w:b w:val="0"/>
                <w:i/>
              </w:rPr>
              <w:t>“I will reiterate and reiterate and reiterate that some things are for prophylaxis and some things for acute treatment… I may say a test question, which one of these is best suited for quick relief of symptoms, which would be one class of medications, and then if I were to say which one of these are good for prevention of symptoms, that’s a totally different set of class events.”</w:t>
            </w:r>
          </w:p>
          <w:p>
            <w:pPr>
              <w:spacing w:after="120"/>
            </w:pPr>
            <w:r>
              <w:rPr>
                <w:b/>
                <w:i w:val="0"/>
              </w:rPr>
              <w:t>Prevention:</w:t>
            </w:r>
            <w:r>
              <w:rPr>
                <w:b w:val="0"/>
                <w:i w:val="0"/>
              </w:rPr>
              <w:t xml:space="preserve"> beta blockers, calcium channel blockers and long-acting nitrates. </w:t>
            </w:r>
            <w:r>
              <w:rPr>
                <w:b/>
                <w:i w:val="0"/>
              </w:rPr>
              <w:t>Quick relief of an attack:</w:t>
            </w:r>
            <w:r>
              <w:rPr>
                <w:b w:val="0"/>
                <w:i w:val="0"/>
              </w:rPr>
              <w:t xml:space="preserve"> short-acting (sublingual) nitroglycerin. Expect a stem that asks for one and offers the other [slides 12, 14, 27 and 29].</w:t>
            </w:r>
          </w:p>
        </w:tc>
      </w:tr>
    </w:tbl>
    <w:p>
      <w:pPr>
        <w:spacing w:after="80"/>
      </w:pPr>
    </w:p>
    <w:p>
      <w:pPr>
        <w:spacing w:after="120"/>
      </w:pPr>
      <w:r>
        <w:rPr>
          <w:b/>
          <w:i w:val="0"/>
        </w:rPr>
        <w:t>Prevention of anginal attacks:</w:t>
      </w:r>
      <w:r>
        <w:rPr>
          <w:b w:val="0"/>
          <w:i w:val="0"/>
        </w:rPr>
        <w:t xml:space="preserve"> metoprolol and other beta blockers, calcium channel blockers and long-acting nitrates are taken to prevent attacks; they are not rescue drugs. </w:t>
      </w:r>
      <w:r>
        <w:rPr>
          <w:b/>
          <w:i w:val="0"/>
        </w:rPr>
        <w:t>Rescue for an attack:</w:t>
      </w:r>
      <w:r>
        <w:rPr>
          <w:b w:val="0"/>
          <w:i w:val="0"/>
        </w:rPr>
        <w:t xml:space="preserve"> sublingual nitroglycerin [slides 12, 14, 27 and 29].</w:t>
      </w:r>
    </w:p>
    <w:p>
      <w:pPr>
        <w:spacing w:after="120"/>
      </w:pPr>
      <w:r>
        <w:rPr>
          <w:b w:val="0"/>
          <w:i w:val="0"/>
        </w:rPr>
        <w:t xml:space="preserve">The </w:t>
      </w:r>
      <w:r>
        <w:rPr>
          <w:b/>
          <w:i w:val="0"/>
        </w:rPr>
        <w:t>antianginal</w:t>
      </w:r>
      <w:r>
        <w:rPr>
          <w:b w:val="0"/>
          <w:i w:val="0"/>
        </w:rPr>
        <w:t xml:space="preserve"> drugs improve exercise capacity, reduce exercise-induced ST-segment changes and decrease the frequency of symptoms [slide 14]. Of the three antianginal classes, </w:t>
      </w:r>
      <w:r>
        <w:rPr>
          <w:b/>
          <w:i w:val="0"/>
        </w:rPr>
        <w:t>nitrates lower oxygen demand mainly by reducing left ventricular volume</w:t>
      </w:r>
      <w:r>
        <w:rPr>
          <w:b w:val="0"/>
          <w:i w:val="0"/>
        </w:rPr>
        <w:t xml:space="preserve">, which lowers wall tension [slides 6 and 25]. The calcium channel blockers come in two subclasses, </w:t>
      </w:r>
      <w:r>
        <w:rPr>
          <w:b/>
          <w:i w:val="0"/>
        </w:rPr>
        <w:t>dihydropyridine</w:t>
      </w:r>
      <w:r>
        <w:rPr>
          <w:b w:val="0"/>
          <w:i w:val="0"/>
        </w:rPr>
        <w:t xml:space="preserve"> and </w:t>
      </w:r>
      <w:r>
        <w:rPr>
          <w:b/>
          <w:i w:val="0"/>
        </w:rPr>
        <w:t>non-dihydropyridine</w:t>
      </w:r>
      <w:r>
        <w:rPr>
          <w:b w:val="0"/>
          <w:i w:val="0"/>
        </w:rPr>
        <w:t xml:space="preserve"> [slide 14]. The slide-13 overview groups the drugs by effect: </w:t>
      </w:r>
      <w:r>
        <w:rPr>
          <w:b/>
          <w:i w:val="0"/>
        </w:rPr>
        <w:t>calcium channel blockers, nitrates and beta blockers</w:t>
      </w:r>
      <w:r>
        <w:rPr>
          <w:b w:val="0"/>
          <w:i w:val="0"/>
        </w:rPr>
        <w:t xml:space="preserve"> decrease heart rate, contractility and systolic wall tension; calcium channel blockers, nitrates, aspirin and clopidogrel are listed under increasing coronary blood flow [slide 13].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antiplatelet drugs and blood flow.</w:t>
            </w:r>
            <w:r>
              <w:rPr>
                <w:b w:val="0"/>
                <w:i w:val="0"/>
              </w:rPr>
              <w:t xml:space="preserve"> Slide 13 lists aspirin and clopidogrel as drugs that increase coronary blood flow. They do not dilate the coronary arteries; they prevent a platelet clot from blocking the flow, so they protect supply rather than raise it. Learn them as vasculoprotective, as slide 12 has them. Slide 13 also lumps nitrates and calcium channel blockers with the drugs that lower heart rate. The hemodynamic table (slides 16, 20 and 25) is the accurate one: nitrates and the dihydropyridines raise the heart rate, and the fall in heart rate belongs to beta blockers and non-dihydropyridines.</w:t>
            </w:r>
          </w:p>
        </w:tc>
      </w:tr>
    </w:tbl>
    <w:p>
      <w:pPr>
        <w:spacing w:after="80"/>
      </w:pPr>
    </w:p>
    <w:p>
      <w:pPr>
        <w:pStyle w:val="Heading3"/>
        <w:spacing w:before="200" w:after="100"/>
      </w:pPr>
      <w:r>
        <w:rPr>
          <w:rFonts w:ascii="Georgia" w:hAnsi="Georgia"/>
          <w:color w:val="6B3524"/>
        </w:rPr>
        <w:t>Grades of angina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Limitation of physical activity</w:t>
            </w:r>
          </w:p>
        </w:tc>
        <w:tc>
          <w:tcPr>
            <w:tcW w:type="dxa" w:w="3636"/>
            <w:shd w:val="clear" w:color="auto" w:fill="6B3524"/>
          </w:tcPr>
          <w:p>
            <w:pPr>
              <w:spacing w:after="40"/>
            </w:pPr>
            <w:r>
              <w:rPr>
                <w:b/>
                <w:color w:val="FFFFFF"/>
                <w:sz w:val="18"/>
              </w:rPr>
            </w:r>
            <w:r>
              <w:rPr>
                <w:b/>
                <w:i w:val="0"/>
                <w:color w:val="FFFFFF"/>
                <w:sz w:val="18"/>
              </w:rPr>
              <w:t>When symptoms occur</w:t>
            </w:r>
          </w:p>
        </w:tc>
        <w:tc>
          <w:tcPr>
            <w:tcW w:type="dxa" w:w="3636"/>
            <w:shd w:val="clear" w:color="auto" w:fill="6B3524"/>
          </w:tcPr>
          <w:p>
            <w:pPr>
              <w:spacing w:after="40"/>
            </w:pPr>
            <w:r>
              <w:rPr>
                <w:b/>
                <w:color w:val="FFFFFF"/>
                <w:sz w:val="18"/>
              </w:rPr>
            </w:r>
            <w:r>
              <w:rPr>
                <w:b/>
                <w:i w:val="0"/>
                <w:color w:val="FFFFFF"/>
                <w:sz w:val="18"/>
              </w:rPr>
              <w:t>At rest</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None with physical activity</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Slight</w:t>
            </w:r>
          </w:p>
        </w:tc>
        <w:tc>
          <w:tcPr>
            <w:tcW w:type="dxa" w:w="3636"/>
          </w:tcPr>
          <w:p>
            <w:pPr>
              <w:spacing w:after="40"/>
            </w:pPr>
            <w:r>
              <w:rPr>
                <w:sz w:val="18"/>
              </w:rPr>
            </w:r>
            <w:r>
              <w:rPr>
                <w:b w:val="0"/>
                <w:i w:val="0"/>
                <w:sz w:val="18"/>
              </w:rPr>
              <w:t>With greater than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Marked</w:t>
            </w:r>
          </w:p>
        </w:tc>
        <w:tc>
          <w:tcPr>
            <w:tcW w:type="dxa" w:w="3636"/>
          </w:tcPr>
          <w:p>
            <w:pPr>
              <w:spacing w:after="40"/>
            </w:pPr>
            <w:r>
              <w:rPr>
                <w:sz w:val="18"/>
              </w:rPr>
            </w:r>
            <w:r>
              <w:rPr>
                <w:b w:val="0"/>
                <w:i w:val="0"/>
                <w:sz w:val="18"/>
              </w:rPr>
              <w:t>With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Any activity increases symptoms</w:t>
            </w:r>
          </w:p>
        </w:tc>
        <w:tc>
          <w:tcPr>
            <w:tcW w:type="dxa" w:w="3636"/>
          </w:tcPr>
          <w:p>
            <w:pPr>
              <w:spacing w:after="40"/>
            </w:pPr>
            <w:r>
              <w:rPr>
                <w:sz w:val="18"/>
              </w:rPr>
            </w:r>
            <w:r>
              <w:rPr>
                <w:b w:val="0"/>
                <w:i w:val="0"/>
                <w:sz w:val="18"/>
              </w:rPr>
              <w:t>At less than ordinary levels of activity</w:t>
            </w:r>
          </w:p>
        </w:tc>
        <w:tc>
          <w:tcPr>
            <w:tcW w:type="dxa" w:w="3636"/>
          </w:tcPr>
          <w:p>
            <w:pPr>
              <w:spacing w:after="40"/>
            </w:pPr>
            <w:r>
              <w:rPr>
                <w:sz w:val="18"/>
              </w:rPr>
            </w:r>
            <w:r>
              <w:rPr>
                <w:b w:val="0"/>
                <w:i w:val="0"/>
                <w:sz w:val="18"/>
              </w:rPr>
              <w:t>May or may not be symptomatic at rest</w:t>
            </w:r>
          </w:p>
        </w:tc>
      </w:tr>
    </w:tbl>
    <w:p>
      <w:pPr>
        <w:spacing w:after="80"/>
      </w:pPr>
    </w:p>
    <w:p>
      <w:pPr>
        <w:spacing w:after="120"/>
      </w:pPr>
      <w:r>
        <w:rPr>
          <w:b w:val="0"/>
          <w:i w:val="0"/>
        </w:rPr>
        <w:t>The higher the class, the less activity it takes to bring on symptoms. Only class IV may cause symptoms at rest [slide 15]. (The usual grading describes class I as angina only with strenuous exertion; the slide’s “none” means none with ordinary activity.)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14:48 of the recording: </w:t>
            </w:r>
            <w:r>
              <w:rPr>
                <w:b w:val="0"/>
                <w:i/>
              </w:rPr>
              <w:t>“How you grade angina is basically off of the degree of physical activity limitation… can you do more stuff before you start to have chest pain, that’s how we’re really going to determine how well our therapy is working.”</w:t>
            </w:r>
          </w:p>
          <w:p>
            <w:pPr>
              <w:spacing w:after="120"/>
            </w:pPr>
            <w:r>
              <w:rPr>
                <w:b w:val="0"/>
                <w:i w:val="0"/>
              </w:rPr>
              <w:t xml:space="preserve">Angina is graded by </w:t>
            </w:r>
            <w:r>
              <w:rPr>
                <w:b w:val="0"/>
                <w:i w:val="0"/>
                <w:highlight w:val="yellow"/>
              </w:rPr>
              <w:t>how much activity the patient can do</w:t>
            </w:r>
            <w:r>
              <w:rPr>
                <w:b w:val="0"/>
                <w:i w:val="0"/>
              </w:rPr>
              <w:t xml:space="preserve"> before symptoms [slide 15], and the same measure, exercise capacity, shows whether an antianginal is working [slide 14].</w:t>
            </w:r>
          </w:p>
        </w:tc>
      </w:tr>
    </w:tbl>
    <w:p>
      <w:pPr>
        <w:spacing w:after="80"/>
      </w:pPr>
    </w:p>
    <w:p>
      <w:pPr>
        <w:spacing w:after="120"/>
      </w:pPr>
      <w:r>
        <w:rPr>
          <w:b/>
          <w:i w:val="0"/>
        </w:rPr>
        <w:t>Chronic stable angina</w:t>
      </w:r>
      <w:r>
        <w:rPr>
          <w:b w:val="0"/>
          <w:i w:val="0"/>
        </w:rPr>
        <w:t xml:space="preserve"> is the chronic form of angina, and it is graded I to IV by how much activity brings on the symptoms; in classes I to III the patient is comfortable at rest [slides 4 and 15]. Read together with slide 41, unstable angina belongs to acute coronary syndrome, and a biochemical marker is what separates unstable angina from myocardial infarction, so a long-standing, unchanged exertional pattern with normal biomarkers is chronic stable angina rather than acute coronary syndrome.</w:t>
      </w:r>
    </w:p>
    <w:p>
      <w:pPr>
        <w:spacing w:after="120"/>
      </w:pPr>
      <w:r>
        <w:rPr>
          <w:b/>
          <w:i w:val="0"/>
        </w:rPr>
        <w:t>Variant angina, stated once here and treated in 5.5.</w:t>
      </w:r>
      <w:r>
        <w:rPr>
          <w:b w:val="0"/>
          <w:i w:val="0"/>
        </w:rPr>
        <w:t xml:space="preserve"> Vasospastic or variant (Prinzmetal) angina can occur at the site of a partly occluded lesion and causes a transient, abrupt reduction in vessel diameter [slide 8]. It may be due to autonomic control [slide 8]. It occurs in </w:t>
      </w:r>
      <w:r>
        <w:rPr>
          <w:b/>
          <w:i w:val="0"/>
        </w:rPr>
        <w:t>younger patients and those with fewer risk factors</w:t>
      </w:r>
      <w:r>
        <w:rPr>
          <w:b w:val="0"/>
          <w:i w:val="0"/>
        </w:rPr>
        <w:t xml:space="preserve"> [slide 8]. The electrocardiogram may or may not show ST-segment elevation [slide 8]. It often occurs </w:t>
      </w:r>
      <w:r>
        <w:rPr>
          <w:b/>
          <w:i w:val="0"/>
        </w:rPr>
        <w:t>during the night or early morning hours</w:t>
      </w:r>
      <w:r>
        <w:rPr>
          <w:b w:val="0"/>
          <w:i w:val="0"/>
        </w:rPr>
        <w:t xml:space="preserve"> [slide 8].</w:t>
      </w:r>
    </w:p>
    <w:p>
      <w:pPr>
        <w:pStyle w:val="Heading2"/>
        <w:spacing w:before="200" w:after="100"/>
      </w:pPr>
      <w:r>
        <w:rPr>
          <w:rFonts w:ascii="Georgia" w:hAnsi="Georgia"/>
          <w:color w:val="6B3524"/>
        </w:rPr>
        <w:t>5.2 · Objectives 1–7 — Beta blockers</w:t>
      </w:r>
    </w:p>
    <w:p>
      <w:pPr>
        <w:spacing w:after="120"/>
      </w:pPr>
      <w:r>
        <w:rPr>
          <w:b/>
          <w:i w:val="0"/>
        </w:rPr>
        <w:t>Beta blockers are first line therapy for angina in the absence of contraindications</w:t>
      </w:r>
      <w:r>
        <w:rPr>
          <w:b w:val="0"/>
          <w:i w:val="0"/>
        </w:rPr>
        <w:t xml:space="preserve"> [slide 17]. They are useful in patients with limited exercise capacity due to angina, and in patients who also have hypertension, anxiety, supraventricular arrhythmias, heart failure (stable, compensated; see below), or a prior myocardial infarction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Agents the slide names</w:t>
            </w:r>
          </w:p>
        </w:tc>
      </w:tr>
      <w:tr>
        <w:tc>
          <w:tcPr>
            <w:tcW w:type="dxa" w:w="7272"/>
          </w:tcPr>
          <w:p>
            <w:pPr>
              <w:spacing w:after="40"/>
            </w:pPr>
            <w:r>
              <w:rPr>
                <w:sz w:val="18"/>
              </w:rPr>
            </w:r>
            <w:r>
              <w:rPr>
                <w:b w:val="0"/>
                <w:i w:val="0"/>
                <w:sz w:val="18"/>
              </w:rPr>
              <w:t>Beta-1 selective</w:t>
            </w:r>
          </w:p>
        </w:tc>
        <w:tc>
          <w:tcPr>
            <w:tcW w:type="dxa" w:w="7272"/>
          </w:tcPr>
          <w:p>
            <w:pPr>
              <w:spacing w:after="40"/>
            </w:pPr>
            <w:r>
              <w:rPr>
                <w:sz w:val="18"/>
              </w:rPr>
            </w:r>
            <w:r>
              <w:rPr>
                <w:b/>
                <w:i w:val="0"/>
                <w:sz w:val="18"/>
              </w:rPr>
              <w:t>Metoprolol, atenolol</w:t>
            </w:r>
            <w:r>
              <w:rPr>
                <w:b w:val="0"/>
                <w:i w:val="0"/>
                <w:sz w:val="18"/>
              </w:rPr>
              <w:t xml:space="preserve"> [slide 17]</w:t>
            </w:r>
          </w:p>
        </w:tc>
      </w:tr>
      <w:tr>
        <w:tc>
          <w:tcPr>
            <w:tcW w:type="dxa" w:w="7272"/>
          </w:tcPr>
          <w:p>
            <w:pPr>
              <w:spacing w:after="40"/>
            </w:pPr>
            <w:r>
              <w:rPr>
                <w:sz w:val="18"/>
              </w:rPr>
            </w:r>
            <w:r>
              <w:rPr>
                <w:b w:val="0"/>
                <w:i w:val="0"/>
                <w:sz w:val="18"/>
              </w:rPr>
              <w:t>Non-selective</w:t>
            </w:r>
          </w:p>
        </w:tc>
        <w:tc>
          <w:tcPr>
            <w:tcW w:type="dxa" w:w="7272"/>
          </w:tcPr>
          <w:p>
            <w:pPr>
              <w:spacing w:after="40"/>
            </w:pPr>
            <w:r>
              <w:rPr>
                <w:sz w:val="18"/>
              </w:rPr>
            </w:r>
            <w:r>
              <w:rPr>
                <w:b/>
                <w:i w:val="0"/>
                <w:sz w:val="18"/>
              </w:rPr>
              <w:t>Propranolol, nadolol</w:t>
            </w:r>
            <w:r>
              <w:rPr>
                <w:b w:val="0"/>
                <w:i w:val="0"/>
                <w:sz w:val="18"/>
              </w:rPr>
              <w:t xml:space="preserve"> [slide 17]</w:t>
            </w:r>
          </w:p>
        </w:tc>
      </w:tr>
      <w:tr>
        <w:tc>
          <w:tcPr>
            <w:tcW w:type="dxa" w:w="7272"/>
          </w:tcPr>
          <w:p>
            <w:pPr>
              <w:spacing w:after="40"/>
            </w:pPr>
            <w:r>
              <w:rPr>
                <w:sz w:val="18"/>
              </w:rPr>
            </w:r>
            <w:r>
              <w:rPr>
                <w:b w:val="0"/>
                <w:i w:val="0"/>
                <w:sz w:val="18"/>
              </w:rPr>
              <w:t>Third generation</w:t>
            </w:r>
          </w:p>
        </w:tc>
        <w:tc>
          <w:tcPr>
            <w:tcW w:type="dxa" w:w="7272"/>
          </w:tcPr>
          <w:p>
            <w:pPr>
              <w:spacing w:after="40"/>
            </w:pPr>
            <w:r>
              <w:rPr>
                <w:sz w:val="18"/>
              </w:rPr>
            </w:r>
            <w:r>
              <w:rPr>
                <w:b/>
                <w:i w:val="0"/>
                <w:sz w:val="18"/>
              </w:rPr>
              <w:t>Carvedilol, labetalol</w:t>
            </w:r>
            <w:r>
              <w:rPr>
                <w:b w:val="0"/>
                <w:i w:val="0"/>
                <w:sz w:val="18"/>
              </w:rPr>
              <w:t xml:space="preserve"> [slide 17]</w:t>
            </w:r>
          </w:p>
        </w:tc>
      </w:tr>
    </w:tbl>
    <w:p>
      <w:pPr>
        <w:spacing w:after="80"/>
      </w:pPr>
    </w:p>
    <w:p>
      <w:pPr>
        <w:spacing w:after="120"/>
      </w:pPr>
      <w:r>
        <w:rPr>
          <w:b w:val="0"/>
          <w:i w:val="0"/>
        </w:rPr>
        <w:t xml:space="preserve">Either beta-1 selective or non-selective agents may be used [slide 17]. </w:t>
      </w:r>
      <w:r>
        <w:rPr>
          <w:b/>
          <w:i w:val="0"/>
        </w:rPr>
        <w:t>Metoprolol and atenolol are the beta-1 selective beta blockers</w:t>
      </w:r>
      <w:r>
        <w:rPr>
          <w:b w:val="0"/>
          <w:i w:val="0"/>
        </w:rPr>
        <w:t xml:space="preserve"> [slide 17]. Propranolol and nadolol are non-selective beta blockers [slide 17], and </w:t>
      </w:r>
      <w:r>
        <w:rPr>
          <w:b/>
          <w:i w:val="0"/>
        </w:rPr>
        <w:t>non-selective (non-cardioselective) beta blockers are avoided in asthma</w:t>
      </w:r>
      <w:r>
        <w:rPr>
          <w:b w:val="0"/>
          <w:i w:val="0"/>
        </w:rPr>
        <w:t>; cardioselective beta blockers and non-dihydropyridine calcium channel blockers remain options there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17:44 of the recording: </w:t>
            </w:r>
            <w:r>
              <w:rPr>
                <w:b w:val="0"/>
                <w:i/>
              </w:rPr>
              <w:t>“Remember the rule we used was A through M … beta-1 selective. N through Z typically are considered the non-selective agents, and then we’ll just need to know our exception with the third gen, that’s carvedilol and labetalol.”</w:t>
            </w:r>
          </w:p>
          <w:p>
            <w:pPr>
              <w:spacing w:after="120"/>
            </w:pPr>
            <w:r>
              <w:rPr>
                <w:b w:val="0"/>
                <w:i w:val="0"/>
              </w:rPr>
              <w:t xml:space="preserve">Selective: </w:t>
            </w:r>
            <w:r>
              <w:rPr>
                <w:b w:val="0"/>
                <w:i w:val="0"/>
                <w:highlight w:val="yellow"/>
              </w:rPr>
              <w:t>metoprolol, atenolol</w:t>
            </w:r>
            <w:r>
              <w:rPr>
                <w:b w:val="0"/>
                <w:i w:val="0"/>
              </w:rPr>
              <w:t xml:space="preserve"> (A through M). Non-selective: </w:t>
            </w:r>
            <w:r>
              <w:rPr>
                <w:b w:val="0"/>
                <w:i w:val="0"/>
                <w:highlight w:val="yellow"/>
              </w:rPr>
              <w:t>propranolol, nadolol</w:t>
            </w:r>
            <w:r>
              <w:rPr>
                <w:b w:val="0"/>
                <w:i w:val="0"/>
              </w:rPr>
              <w:t xml:space="preserve"> (N through Z). Third generation, the exception to the alphabet rule: </w:t>
            </w:r>
            <w:r>
              <w:rPr>
                <w:b w:val="0"/>
                <w:i w:val="0"/>
                <w:highlight w:val="yellow"/>
              </w:rPr>
              <w:t>carvedilol, labetalol</w:t>
            </w:r>
            <w:r>
              <w:rPr>
                <w:b w:val="0"/>
                <w:i w:val="0"/>
              </w:rPr>
              <w:t xml:space="preserve"> [slide 17].</w:t>
            </w:r>
          </w:p>
        </w:tc>
      </w:tr>
    </w:tbl>
    <w:p>
      <w:pPr>
        <w:spacing w:after="80"/>
      </w:pPr>
    </w:p>
    <w:p>
      <w:pPr>
        <w:spacing w:after="120"/>
      </w:pPr>
      <w:r>
        <w:rPr>
          <w:b/>
          <w:i w:val="0"/>
        </w:rPr>
        <w:t>Mechanism (Objective 2).</w:t>
      </w:r>
      <w:r>
        <w:rPr>
          <w:b w:val="0"/>
          <w:i w:val="0"/>
        </w:rPr>
        <w:t xml:space="preserve"> Beta blockers act on the </w:t>
      </w:r>
      <w:r>
        <w:rPr>
          <w:b/>
          <w:i w:val="0"/>
        </w:rPr>
        <w:t>demand</w:t>
      </w:r>
      <w:r>
        <w:rPr>
          <w:b w:val="0"/>
          <w:i w:val="0"/>
        </w:rPr>
        <w:t xml:space="preserve"> side only. They decrease heart rate and contractility and lower systolic blood pressure, and they have </w:t>
      </w:r>
      <w:r>
        <w:rPr>
          <w:b/>
          <w:i w:val="0"/>
        </w:rPr>
        <w:t>no effect on oxygen supply</w:t>
      </w:r>
      <w:r>
        <w:rPr>
          <w:b w:val="0"/>
          <w:i w:val="0"/>
        </w:rPr>
        <w:t xml:space="preserve"> [slide 16]. Their effect on left ventricular volume is an </w:t>
      </w:r>
      <w:r>
        <w:rPr>
          <w:b w:val="0"/>
          <w:i/>
        </w:rPr>
        <w:t>increase</w:t>
      </w:r>
      <w:r>
        <w:rPr>
          <w:b w:val="0"/>
          <w:i w:val="0"/>
        </w:rPr>
        <w:t xml:space="preserve"> [slide 16]. The receptor-level mechanism is taught with the antihypertensives (section 3.5); here only the hemodynamic result is on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class</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Systolic blood pressure</w:t>
            </w:r>
          </w:p>
        </w:tc>
        <w:tc>
          <w:tcPr>
            <w:tcW w:type="dxa" w:w="2909"/>
            <w:shd w:val="clear" w:color="auto" w:fill="6B3524"/>
          </w:tcPr>
          <w:p>
            <w:pPr>
              <w:spacing w:after="40"/>
            </w:pPr>
            <w:r>
              <w:rPr>
                <w:b/>
                <w:color w:val="FFFFFF"/>
                <w:sz w:val="18"/>
              </w:rPr>
            </w:r>
            <w:r>
              <w:rPr>
                <w:b/>
                <w:i w:val="0"/>
                <w:color w:val="FFFFFF"/>
                <w:sz w:val="18"/>
              </w:rPr>
              <w:t>Left ventricular volume</w:t>
            </w:r>
          </w:p>
        </w:tc>
      </w:tr>
      <w:tr>
        <w:tc>
          <w:tcPr>
            <w:tcW w:type="dxa" w:w="2909"/>
          </w:tcPr>
          <w:p>
            <w:pPr>
              <w:spacing w:after="40"/>
            </w:pPr>
            <w:r>
              <w:rPr>
                <w:sz w:val="18"/>
              </w:rPr>
            </w:r>
            <w:r>
              <w:rPr>
                <w:b/>
                <w:i w:val="0"/>
                <w:sz w:val="18"/>
              </w:rPr>
              <w:t>Beta blockers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i w:val="0"/>
                <w:sz w:val="18"/>
              </w:rPr>
              <w:t>Dihydropyridine calcium channel blockers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Non-dihydropyridine calcium channel blockers</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Nitrates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 effect listed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bl>
    <w:p>
      <w:pPr>
        <w:spacing w:after="80"/>
      </w:pPr>
    </w:p>
    <w:p>
      <w:pPr>
        <w:spacing w:after="120"/>
      </w:pPr>
      <w:r>
        <w:rPr>
          <w:b w:val="0"/>
          <w:i w:val="0"/>
        </w:rPr>
        <w:t>This table is the deck’s hemodynamic summary of all three antianginal classes [slides 16, 20 and 25]. Read it across: beta blockers and non-dihydropyridines slow the heart, while the dihydropyridines as a class and nitrates raise the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beta blockers</w:t>
            </w:r>
          </w:p>
        </w:tc>
      </w:tr>
      <w:tr>
        <w:tc>
          <w:tcPr>
            <w:tcW w:type="dxa" w:w="7272"/>
          </w:tcPr>
          <w:p>
            <w:pPr>
              <w:spacing w:after="40"/>
            </w:pPr>
            <w:r>
              <w:rPr>
                <w:sz w:val="18"/>
              </w:rPr>
            </w:r>
            <w:r>
              <w:rPr>
                <w:b/>
                <w:i w:val="0"/>
                <w:sz w:val="18"/>
              </w:rPr>
              <w:t>3 · Indications</w:t>
            </w:r>
          </w:p>
        </w:tc>
        <w:tc>
          <w:tcPr>
            <w:tcW w:type="dxa" w:w="7272"/>
          </w:tcPr>
          <w:p>
            <w:pPr>
              <w:spacing w:after="40"/>
            </w:pPr>
            <w:r>
              <w:rPr>
                <w:sz w:val="18"/>
              </w:rPr>
            </w:r>
            <w:r>
              <w:rPr>
                <w:b w:val="0"/>
                <w:i w:val="0"/>
                <w:sz w:val="18"/>
              </w:rPr>
              <w:t>First line for angina; helpful when hypertension, anxiety, supraventricular arrhythmias, heart failure (stable, compensated; see below) or a prior myocardial infarction is also present [slide 17]. Give a beta blocker after a prior myocardial infarction unless contraindicated [slide 38]</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Heart rate below 60 beats per minute; systolic blood pressure below 100 mmHg; atrioventricular block; acute decompensated heart failure</w:t>
            </w:r>
            <w:r>
              <w:rPr>
                <w:b w:val="0"/>
                <w:i w:val="0"/>
                <w:sz w:val="18"/>
              </w:rPr>
              <w:t xml:space="preserve"> [slide 18]</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i w:val="0"/>
                <w:sz w:val="18"/>
              </w:rPr>
              <w:t>Reactive airway disease; systolic heart failure; diabetes; peripheral vascular disease</w:t>
            </w:r>
            <w:r>
              <w:rPr>
                <w:b w:val="0"/>
                <w:i w:val="0"/>
                <w:sz w:val="18"/>
              </w:rPr>
              <w:t xml:space="preserve"> [slide 18]</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Hypotension, bradycardia, hyperglycemia and dyslipidemia; fatigue, sexual dysfunction, nightmares and worsened claudication [slide 19]</w:t>
            </w:r>
          </w:p>
        </w:tc>
      </w:tr>
      <w:tr>
        <w:tc>
          <w:tcPr>
            <w:tcW w:type="dxa" w:w="7272"/>
          </w:tcPr>
          <w:p>
            <w:pPr>
              <w:spacing w:after="40"/>
            </w:pPr>
            <w:r>
              <w:rPr>
                <w:sz w:val="18"/>
              </w:rPr>
            </w:r>
            <w:r>
              <w:rPr>
                <w:b/>
                <w:i w:val="0"/>
                <w:sz w:val="18"/>
              </w:rPr>
              <w:t>4 · Absorption, distribution, metabolism, excretion</w:t>
            </w:r>
          </w:p>
        </w:tc>
        <w:tc>
          <w:tcPr>
            <w:tcW w:type="dxa" w:w="7272"/>
          </w:tcPr>
          <w:p>
            <w:pPr>
              <w:spacing w:after="40"/>
            </w:pPr>
            <w:r>
              <w:rPr>
                <w:sz w:val="18"/>
              </w:rPr>
            </w:r>
            <w:r>
              <w:rPr>
                <w:b w:val="0"/>
                <w:i w:val="0"/>
                <w:sz w:val="18"/>
              </w:rPr>
              <w:t>The slides give none for beta blockers in this lecture</w:t>
            </w:r>
          </w:p>
        </w:tc>
      </w:tr>
    </w:tbl>
    <w:p>
      <w:pPr>
        <w:spacing w:after="80"/>
      </w:pPr>
    </w:p>
    <w:p>
      <w:pPr>
        <w:spacing w:after="120"/>
      </w:pPr>
      <w:r>
        <w:rPr>
          <w:b/>
          <w:i w:val="0"/>
        </w:rPr>
        <w:t>Beta blockers may worsen claudication</w:t>
      </w:r>
      <w:r>
        <w:rPr>
          <w:b w:val="0"/>
          <w:i w:val="0"/>
        </w:rPr>
        <w:t xml:space="preserve"> (leg pain with walking); worsened claudication is a listed beta blocker adverse reaction, and peripheral vascular disease is a listed precaution [slides 18 and 19]; read together, they suggest that claudication is the reason for the precaution. Beta blockers as a class, including non-selective agents such as nadolol and propranolol, can cause fatigue, sexual dysfunction, nightmares and worsened claudication [slides 17 and 19].</w:t>
      </w:r>
    </w:p>
    <w:p>
      <w:pPr>
        <w:spacing w:after="120"/>
      </w:pPr>
      <w:r>
        <w:rPr>
          <w:b/>
          <w:i w:val="0"/>
        </w:rPr>
        <w:t>Hypotension is listed for all three antianginal classes</w:t>
      </w:r>
      <w:r>
        <w:rPr>
          <w:b w:val="0"/>
          <w:i w:val="0"/>
        </w:rPr>
        <w:t>: beta blockers [slide 19], calcium channel blockers [slide 24] and nitrates, as postural hypotension [slide 31]. All three lower systolic blood pressure [slides 16, 20 and 25].</w:t>
      </w:r>
    </w:p>
    <w:p>
      <w:pPr>
        <w:spacing w:after="120"/>
      </w:pPr>
      <w:r>
        <w:rPr>
          <w:b w:val="0"/>
          <w:i w:val="0"/>
        </w:rPr>
        <w:t xml:space="preserve">Two entries that look alike are the ones to keep apart: </w:t>
      </w:r>
      <w:r>
        <w:rPr>
          <w:b/>
          <w:i w:val="0"/>
        </w:rPr>
        <w:t>systolic heart failure is a precaution, acute decompensated heart failure is a contraindication</w:t>
      </w:r>
      <w:r>
        <w:rPr>
          <w:b w:val="0"/>
          <w:i w:val="0"/>
        </w:rPr>
        <w:t xml:space="preserve"> [slide 18]. Slide 17 lists heart failure among the conditions a beta blocker helps. Read together, slides 17 and 18 imply that the line is between stable and acutely decompensated failure.</w:t>
      </w:r>
    </w:p>
    <w:p>
      <w:pPr>
        <w:spacing w:after="120"/>
      </w:pPr>
      <w:r>
        <w:rPr>
          <w:b/>
          <w:i w:val="0"/>
        </w:rPr>
        <w:t>Monitoring</w:t>
      </w:r>
      <w:r>
        <w:rPr>
          <w:b w:val="0"/>
          <w:i w:val="0"/>
        </w:rPr>
        <w:t xml:space="preserve"> is of heart rate, blood sugar and lipids [slide 19]. </w:t>
      </w:r>
      <w:r>
        <w:rPr>
          <w:b/>
          <w:i w:val="0"/>
        </w:rPr>
        <w:t>Education:</w:t>
      </w:r>
      <w:r>
        <w:rPr>
          <w:b w:val="0"/>
          <w:i w:val="0"/>
        </w:rPr>
        <w:t xml:space="preserve"> avoid rapid discontinuation; expect dizziness and fatigue [slide 19]. The reason to avoid stopping suddenly is given with the antihypertensive beta blockers (section 3.5): abrupt withdrawal can cause angina, myocardial infarction and high blood pressure. That reason is not on this lecture’s slides.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19:55 of the recording: </w:t>
            </w:r>
            <w:r>
              <w:rPr>
                <w:b w:val="0"/>
                <w:i/>
              </w:rPr>
              <w:t>“We recommend against immediate discontinuation, so don’t quit cold turkey… even MIs have been induced because of the rapid discontinuation of beta blockers.”</w:t>
            </w:r>
          </w:p>
          <w:p>
            <w:pPr>
              <w:spacing w:after="120"/>
            </w:pPr>
            <w:r>
              <w:rPr>
                <w:b w:val="0"/>
                <w:i w:val="0"/>
              </w:rPr>
              <w:t xml:space="preserve">Beta blocker education: </w:t>
            </w:r>
            <w:r>
              <w:rPr>
                <w:b w:val="0"/>
                <w:i w:val="0"/>
                <w:highlight w:val="yellow"/>
              </w:rPr>
              <w:t>avoid rapid discontinuation</w:t>
            </w:r>
            <w:r>
              <w:rPr>
                <w:b w:val="0"/>
                <w:i w:val="0"/>
              </w:rPr>
              <w:t xml:space="preserve"> [slide 19]. He tied it to rebound angina and even myocardial infarction.</w:t>
            </w:r>
          </w:p>
        </w:tc>
      </w:tr>
    </w:tbl>
    <w:p>
      <w:pPr>
        <w:spacing w:after="80"/>
      </w:pPr>
    </w:p>
    <w:p>
      <w:pPr>
        <w:spacing w:after="120"/>
      </w:pPr>
      <w:r>
        <w:rPr>
          <w:b w:val="0"/>
          <w:i w:val="0"/>
        </w:rPr>
        <w:t>Also tested</w:t>
      </w:r>
    </w:p>
    <w:p>
      <w:pPr>
        <w:pStyle w:val="ListBullet"/>
        <w:spacing w:after="40"/>
      </w:pPr>
      <w:r>
        <w:rPr>
          <w:b/>
          <w:i w:val="0"/>
          <w:sz w:val="20"/>
        </w:rPr>
        <w:t>Propranolol is a non-cardioselective beta blocker.</w:t>
      </w:r>
      <w:r>
        <w:rPr>
          <w:b w:val="0"/>
          <w:i w:val="0"/>
          <w:sz w:val="20"/>
        </w:rPr>
        <w:t xml:space="preserve"> Non-cardioselective beta blockers such as propranolol are to be avoided in asthma.</w:t>
      </w:r>
    </w:p>
    <w:p>
      <w:pPr>
        <w:pStyle w:val="Heading2"/>
        <w:spacing w:before="200" w:after="100"/>
      </w:pPr>
      <w:r>
        <w:rPr>
          <w:rFonts w:ascii="Georgia" w:hAnsi="Georgia"/>
          <w:color w:val="6B3524"/>
        </w:rPr>
        <w:t>5.3 · Objectives 1–7 — Calcium channel blockers</w:t>
      </w:r>
    </w:p>
    <w:p>
      <w:pPr>
        <w:spacing w:after="120"/>
      </w:pPr>
      <w:r>
        <w:rPr>
          <w:b/>
          <w:i w:val="0"/>
        </w:rPr>
        <w:t>Mechanism (Objective 2).</w:t>
      </w:r>
      <w:r>
        <w:rPr>
          <w:b w:val="0"/>
          <w:i w:val="0"/>
        </w:rPr>
        <w:t xml:space="preserve"> Calcium channel blockers lower oxygen demand and raise supply [slide 20]. On the </w:t>
      </w:r>
      <w:r>
        <w:rPr>
          <w:b/>
          <w:i w:val="0"/>
        </w:rPr>
        <w:t>supply</w:t>
      </w:r>
      <w:r>
        <w:rPr>
          <w:b w:val="0"/>
          <w:i w:val="0"/>
        </w:rPr>
        <w:t xml:space="preserve"> side they give </w:t>
      </w:r>
      <w:r>
        <w:rPr>
          <w:b/>
          <w:i w:val="0"/>
        </w:rPr>
        <w:t>mild dilation in areas of fixed stenosis and relief of vasospasm</w:t>
      </w:r>
      <w:r>
        <w:rPr>
          <w:b w:val="0"/>
          <w:i w:val="0"/>
        </w:rPr>
        <w:t xml:space="preserve"> [slide 20]. On the demand side the two subclasses differ, as the hemodynamic table in 5.2 shows: non-dihydropyridines slow the heart rate and weaken contraction; dihydropyridines lower systolic blood pressure strongly and raise the heart rate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Subclass and agent</w:t>
            </w:r>
          </w:p>
        </w:tc>
        <w:tc>
          <w:tcPr>
            <w:tcW w:type="dxa" w:w="2909"/>
            <w:shd w:val="clear" w:color="auto" w:fill="6B3524"/>
          </w:tcPr>
          <w:p>
            <w:pPr>
              <w:spacing w:after="40"/>
            </w:pPr>
            <w:r>
              <w:rPr>
                <w:b/>
                <w:color w:val="FFFFFF"/>
                <w:sz w:val="18"/>
              </w:rPr>
            </w:r>
            <w:r>
              <w:rPr>
                <w:b/>
                <w:i w:val="0"/>
                <w:color w:val="FFFFFF"/>
                <w:sz w:val="18"/>
              </w:rPr>
              <w:t>Vasodilation</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Atrioventricular conduction</w:t>
            </w:r>
          </w:p>
        </w:tc>
      </w:tr>
      <w:tr>
        <w:tc>
          <w:tcPr>
            <w:tcW w:type="dxa" w:w="2909"/>
          </w:tcPr>
          <w:p>
            <w:pPr>
              <w:spacing w:after="40"/>
            </w:pPr>
            <w:r>
              <w:rPr>
                <w:sz w:val="18"/>
              </w:rPr>
            </w:r>
            <w:r>
              <w:rPr>
                <w:b/>
                <w:i w:val="0"/>
                <w:sz w:val="18"/>
              </w:rPr>
              <w:t>Non-dihydropyridine: diltiazem</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r>
      <w:tr>
        <w:tc>
          <w:tcPr>
            <w:tcW w:type="dxa" w:w="2909"/>
          </w:tcPr>
          <w:p>
            <w:pPr>
              <w:spacing w:after="40"/>
            </w:pPr>
            <w:r>
              <w:rPr>
                <w:sz w:val="18"/>
              </w:rPr>
            </w:r>
            <w:r>
              <w:rPr>
                <w:b/>
                <w:i w:val="0"/>
                <w:sz w:val="18"/>
              </w:rPr>
              <w:t>Non-dihydropyridine: verapamil</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r>
        <w:tc>
          <w:tcPr>
            <w:tcW w:type="dxa" w:w="2909"/>
          </w:tcPr>
          <w:p>
            <w:pPr>
              <w:spacing w:after="40"/>
            </w:pPr>
            <w:r>
              <w:rPr>
                <w:sz w:val="18"/>
              </w:rPr>
            </w:r>
            <w:r>
              <w:rPr>
                <w:b/>
                <w:i w:val="0"/>
                <w:sz w:val="18"/>
              </w:rPr>
              <w:t>Dihydropyridine: nifedipine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amlodipine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Unchanged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felodipine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bl>
    <w:p>
      <w:pPr>
        <w:spacing w:after="80"/>
      </w:pPr>
    </w:p>
    <w:p>
      <w:pPr>
        <w:spacing w:after="120"/>
      </w:pPr>
      <w:r>
        <w:rPr>
          <w:b w:val="0"/>
          <w:i w:val="0"/>
        </w:rPr>
        <w:t xml:space="preserve">This is the deck’s calcium channel blocker table [slide 21]. The simple split: the </w:t>
      </w:r>
      <w:r>
        <w:rPr>
          <w:b/>
          <w:i w:val="0"/>
        </w:rPr>
        <w:t>non-dihydropyridines (diltiazem, verapamil) act on the heart</w:t>
      </w:r>
      <w:r>
        <w:rPr>
          <w:b w:val="0"/>
          <w:i w:val="0"/>
        </w:rPr>
        <w:t xml:space="preserve"> — rate, contractility and atrioventricular conduction — while the </w:t>
      </w:r>
      <w:r>
        <w:rPr>
          <w:b/>
          <w:i w:val="0"/>
        </w:rPr>
        <w:t>dihydropyridines (nifedipine, amlodipine, felodipine) act on the vessels</w:t>
      </w:r>
      <w:r>
        <w:rPr>
          <w:b w:val="0"/>
          <w:i w:val="0"/>
        </w:rPr>
        <w:t>, with the most vasodilation and no change in atrioventricular conduction. On slide 21 diltiazem and verapamil both decrease contractility strongly; verapamil has the larger effect on atrioventricular conduction. Among the dihydropyridines, nifedipine and felodipine raise the heart rate while amlodipine leaves it unchanged [slide 21].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21:02 of the recording: </w:t>
            </w:r>
            <w:r>
              <w:rPr>
                <w:b w:val="0"/>
                <w:i/>
              </w:rPr>
              <w:t>“Here I want you to notice the major difference between the dihydropyridines and the non-dihydropyridine calcium channel blockers… if a patient could not get a beta blocker for one reason or another, you can basically sub that out for a non-DHP.”</w:t>
            </w:r>
          </w:p>
          <w:p>
            <w:pPr>
              <w:spacing w:after="120"/>
            </w:pPr>
            <w:r>
              <w:rPr>
                <w:b w:val="0"/>
                <w:i w:val="0"/>
              </w:rPr>
              <w:t xml:space="preserve">The </w:t>
            </w:r>
            <w:r>
              <w:rPr>
                <w:b w:val="0"/>
                <w:i w:val="0"/>
                <w:highlight w:val="yellow"/>
              </w:rPr>
              <w:t>non-dihydropyridines (verapamil, diltiazem)</w:t>
            </w:r>
            <w:r>
              <w:rPr>
                <w:b w:val="0"/>
                <w:i w:val="0"/>
              </w:rPr>
              <w:t xml:space="preserve"> act like a beta blocker on heart rate and contractility, so they are the substitute when a beta blocker cannot be used; the dihydropyridines (the -dipines) act on the vessels [slides 21 and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25:16 of the recording: </w:t>
            </w:r>
            <w:r>
              <w:rPr>
                <w:b w:val="0"/>
                <w:i/>
              </w:rPr>
              <w:t>“If I told you a patient was coming in, they were started on a beta blocker for anginal symptoms and they are complaining they just can’t tolerate it, they complain about having horrible nightmares, what would you want to switch to? That could be a situation which you can switch out for a non-DHP calcium channel blocker.”</w:t>
            </w:r>
          </w:p>
          <w:p>
            <w:pPr>
              <w:spacing w:after="120"/>
            </w:pPr>
            <w:r>
              <w:rPr>
                <w:b w:val="0"/>
                <w:i w:val="0"/>
              </w:rPr>
              <w:t xml:space="preserve">A patient started on a beta blocker for angina who cannot tolerate it because of nightmares (one of the listed adverse reactions [slide 19]) is switched to a </w:t>
            </w:r>
            <w:r>
              <w:rPr>
                <w:b w:val="0"/>
                <w:i w:val="0"/>
                <w:highlight w:val="yellow"/>
              </w:rPr>
              <w:t>non-dihydropyridine calcium channel blocker</w:t>
            </w:r>
            <w:r>
              <w:rPr>
                <w:b w:val="0"/>
                <w:i w:val="0"/>
              </w:rPr>
              <w:t xml:space="preserve"> [slide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22:35 of the recording: </w:t>
            </w:r>
            <w:r>
              <w:rPr>
                <w:b w:val="0"/>
                <w:i/>
              </w:rPr>
              <w:t>“For your typical anginal cases you would not want to use a DHP med by itself because of that increase in heart rate, you’re kind of fighting yourself… you wouldn’t really want to do a beta blocker plus a non-DHP because they’re just doing the same thing… bradycardia, heart block, it’s just more likely to occur.”</w:t>
            </w:r>
          </w:p>
          <w:p>
            <w:pPr>
              <w:spacing w:after="120"/>
            </w:pPr>
            <w:r>
              <w:rPr>
                <w:b w:val="0"/>
                <w:i w:val="0"/>
                <w:highlight w:val="yellow"/>
              </w:rPr>
              <w:t>Nifedipine and felodipine alone raise the heart rate</w:t>
            </w:r>
            <w:r>
              <w:rPr>
                <w:b w:val="0"/>
                <w:i w:val="0"/>
              </w:rPr>
              <w:t xml:space="preserve"> (amlodipine leaves it unchanged, slide 21), so a dihydropyridine is added to a beta blocker, which blunts that rise [slide 22]. </w:t>
            </w:r>
            <w:r>
              <w:rPr>
                <w:b w:val="0"/>
                <w:i w:val="0"/>
                <w:highlight w:val="yellow"/>
              </w:rPr>
              <w:t>A beta blocker plus verapamil or diltiazem is avoided</w:t>
            </w:r>
            <w:r>
              <w:rPr>
                <w:b w:val="0"/>
                <w:i w:val="0"/>
              </w:rPr>
              <w:t xml:space="preserve"> in most cases because of added bradycardia and heart block [slide 23].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27:01 of the recording: </w:t>
            </w:r>
            <w:r>
              <w:rPr>
                <w:b w:val="0"/>
                <w:i/>
              </w:rPr>
              <w:t>“Keep in mind the LV dysfunction is going to be suppressed or is worsened with the use of a non-DHP calcium channel blocker, so the way I highlight here is DHPs only for that.”</w:t>
            </w:r>
          </w:p>
          <w:p>
            <w:pPr>
              <w:spacing w:after="120"/>
            </w:pPr>
            <w:r>
              <w:rPr>
                <w:b w:val="0"/>
                <w:i w:val="0"/>
              </w:rPr>
              <w:t xml:space="preserve">Reduced left ventricular function is a contraindication for the non-dihydropyridines; </w:t>
            </w:r>
            <w:r>
              <w:rPr>
                <w:b w:val="0"/>
                <w:i w:val="0"/>
                <w:highlight w:val="yellow"/>
              </w:rPr>
              <w:t>dihydropyridines only</w:t>
            </w:r>
            <w:r>
              <w:rPr>
                <w:b w:val="0"/>
                <w:i w:val="0"/>
              </w:rPr>
              <w:t xml:space="preserve"> [slides 22 and 23], and amlodipine is the one named [slide 34].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27:19 of the recording: </w:t>
            </w:r>
            <w:r>
              <w:rPr>
                <w:b w:val="0"/>
                <w:i/>
              </w:rPr>
              <w:t>“Typically we avoid short-acting agents, agents like nifedipine, so if you can stick with something long-acting like amlodipine… you’re not going to get that yo-yo type of effect.”</w:t>
            </w:r>
          </w:p>
          <w:p>
            <w:pPr>
              <w:spacing w:after="120"/>
            </w:pPr>
            <w:r>
              <w:rPr>
                <w:b w:val="0"/>
                <w:i w:val="0"/>
                <w:highlight w:val="yellow"/>
              </w:rPr>
              <w:t>Avoid short-acting agents such as nifedipine</w:t>
            </w:r>
            <w:r>
              <w:rPr>
                <w:b w:val="0"/>
                <w:i w:val="0"/>
              </w:rPr>
              <w:t xml:space="preserve"> [slide 22]; a long-acting dihydropyridine such as amlodipine is the pattern to know.</w:t>
            </w:r>
          </w:p>
        </w:tc>
      </w:tr>
    </w:tbl>
    <w:p>
      <w:pPr>
        <w:spacing w:after="80"/>
      </w:pPr>
    </w:p>
    <w:p>
      <w:pPr>
        <w:pStyle w:val="Heading3"/>
        <w:spacing w:before="200" w:after="100"/>
      </w:pPr>
      <w:r>
        <w:rPr>
          <w:rFonts w:ascii="Georgia" w:hAnsi="Georgia"/>
          <w:color w:val="6B3524"/>
        </w:rPr>
        <w:t>Place in therapy and drug choice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Question</w:t>
            </w:r>
          </w:p>
        </w:tc>
        <w:tc>
          <w:tcPr>
            <w:tcW w:type="dxa" w:w="7272"/>
            <w:shd w:val="clear" w:color="auto" w:fill="6B3524"/>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First choice when beta blockers are contraindicated or not tolerated</w:t>
            </w:r>
          </w:p>
        </w:tc>
        <w:tc>
          <w:tcPr>
            <w:tcW w:type="dxa" w:w="7272"/>
          </w:tcPr>
          <w:p>
            <w:pPr>
              <w:spacing w:after="40"/>
            </w:pPr>
            <w:r>
              <w:rPr>
                <w:sz w:val="18"/>
              </w:rPr>
            </w:r>
            <w:r>
              <w:rPr>
                <w:b w:val="0"/>
                <w:i w:val="0"/>
                <w:sz w:val="18"/>
              </w:rPr>
              <w:t xml:space="preserve">A </w:t>
            </w:r>
            <w:r>
              <w:rPr>
                <w:b/>
                <w:i w:val="0"/>
                <w:sz w:val="18"/>
              </w:rPr>
              <w:t>non-dihydropyridine</w:t>
            </w:r>
            <w:r>
              <w:rPr>
                <w:b w:val="0"/>
                <w:i w:val="0"/>
                <w:sz w:val="18"/>
              </w:rPr>
              <w:t>, as initial therapy to reduce symptoms</w:t>
            </w:r>
          </w:p>
        </w:tc>
      </w:tr>
      <w:tr>
        <w:tc>
          <w:tcPr>
            <w:tcW w:type="dxa" w:w="7272"/>
          </w:tcPr>
          <w:p>
            <w:pPr>
              <w:spacing w:after="40"/>
            </w:pPr>
            <w:r>
              <w:rPr>
                <w:sz w:val="18"/>
              </w:rPr>
            </w:r>
            <w:r>
              <w:rPr>
                <w:b w:val="0"/>
                <w:i w:val="0"/>
                <w:sz w:val="18"/>
              </w:rPr>
              <w:t>Added to a beta blocker when the beta blocker alone fails</w:t>
            </w:r>
          </w:p>
        </w:tc>
        <w:tc>
          <w:tcPr>
            <w:tcW w:type="dxa" w:w="7272"/>
          </w:tcPr>
          <w:p>
            <w:pPr>
              <w:spacing w:after="40"/>
            </w:pPr>
            <w:r>
              <w:rPr>
                <w:sz w:val="18"/>
              </w:rPr>
            </w:r>
            <w:r>
              <w:rPr>
                <w:b w:val="0"/>
                <w:i w:val="0"/>
                <w:sz w:val="18"/>
              </w:rPr>
              <w:t xml:space="preserve">A </w:t>
            </w:r>
            <w:r>
              <w:rPr>
                <w:b/>
                <w:i w:val="0"/>
                <w:sz w:val="18"/>
              </w:rPr>
              <w:t>dihydropyridine</w:t>
            </w:r>
          </w:p>
        </w:tc>
      </w:tr>
      <w:tr>
        <w:tc>
          <w:tcPr>
            <w:tcW w:type="dxa" w:w="7272"/>
          </w:tcPr>
          <w:p>
            <w:pPr>
              <w:spacing w:after="40"/>
            </w:pPr>
            <w:r>
              <w:rPr>
                <w:sz w:val="18"/>
              </w:rPr>
            </w:r>
            <w:r>
              <w:rPr>
                <w:b w:val="0"/>
                <w:i w:val="0"/>
                <w:sz w:val="18"/>
              </w:rPr>
              <w:t>Other pairing</w:t>
            </w:r>
          </w:p>
        </w:tc>
        <w:tc>
          <w:tcPr>
            <w:tcW w:type="dxa" w:w="7272"/>
          </w:tcPr>
          <w:p>
            <w:pPr>
              <w:spacing w:after="40"/>
            </w:pPr>
            <w:r>
              <w:rPr>
                <w:sz w:val="18"/>
              </w:rPr>
            </w:r>
            <w:r>
              <w:rPr>
                <w:b w:val="0"/>
                <w:i w:val="0"/>
                <w:sz w:val="18"/>
              </w:rPr>
              <w:t>In combination with long-acting nitrates</w:t>
            </w:r>
          </w:p>
        </w:tc>
      </w:tr>
      <w:tr>
        <w:tc>
          <w:tcPr>
            <w:tcW w:type="dxa" w:w="7272"/>
          </w:tcPr>
          <w:p>
            <w:pPr>
              <w:spacing w:after="40"/>
            </w:pPr>
            <w:r>
              <w:rPr>
                <w:sz w:val="18"/>
              </w:rPr>
            </w:r>
            <w:r>
              <w:rPr>
                <w:b w:val="0"/>
                <w:i w:val="0"/>
                <w:sz w:val="18"/>
              </w:rPr>
              <w:t>Populations where a calcium channel blocker suits</w:t>
            </w:r>
          </w:p>
        </w:tc>
        <w:tc>
          <w:tcPr>
            <w:tcW w:type="dxa" w:w="7272"/>
          </w:tcPr>
          <w:p>
            <w:pPr>
              <w:spacing w:after="40"/>
            </w:pPr>
            <w:r>
              <w:rPr>
                <w:sz w:val="18"/>
              </w:rPr>
            </w:r>
            <w:r>
              <w:rPr>
                <w:b w:val="0"/>
                <w:i w:val="0"/>
                <w:sz w:val="18"/>
              </w:rPr>
              <w:t>Contraindication or intolerance to beta blockers; vasospastic angina; severe peripheral vascular disease; asthma; uncontrolled diabetes; left ventricular dysfunction (dihydropyridines only)</w:t>
            </w:r>
          </w:p>
        </w:tc>
      </w:tr>
      <w:tr>
        <w:tc>
          <w:tcPr>
            <w:tcW w:type="dxa" w:w="7272"/>
          </w:tcPr>
          <w:p>
            <w:pPr>
              <w:spacing w:after="40"/>
            </w:pPr>
            <w:r>
              <w:rPr>
                <w:sz w:val="18"/>
              </w:rPr>
            </w:r>
            <w:r>
              <w:rPr>
                <w:b w:val="0"/>
                <w:i w:val="0"/>
                <w:sz w:val="18"/>
              </w:rPr>
              <w:t>Agents to avoid</w:t>
            </w:r>
          </w:p>
        </w:tc>
        <w:tc>
          <w:tcPr>
            <w:tcW w:type="dxa" w:w="7272"/>
          </w:tcPr>
          <w:p>
            <w:pPr>
              <w:spacing w:after="40"/>
            </w:pPr>
            <w:r>
              <w:rPr>
                <w:sz w:val="18"/>
              </w:rPr>
            </w:r>
            <w:r>
              <w:rPr>
                <w:b/>
                <w:i w:val="0"/>
                <w:sz w:val="18"/>
              </w:rPr>
              <w:t>Short-acting agents, for example short-acting nifedipine</w:t>
            </w:r>
          </w:p>
        </w:tc>
      </w:tr>
    </w:tbl>
    <w:p>
      <w:pPr>
        <w:spacing w:after="80"/>
      </w:pPr>
    </w:p>
    <w:p>
      <w:pPr>
        <w:spacing w:after="120"/>
      </w:pPr>
      <w:r>
        <w:rPr>
          <w:b/>
          <w:i w:val="0"/>
        </w:rPr>
        <w:t>The switch when a beta blocker is not tolerated:</w:t>
      </w:r>
      <w:r>
        <w:rPr>
          <w:b w:val="0"/>
          <w:i w:val="0"/>
        </w:rPr>
        <w:t xml:space="preserve"> a patient who cannot tolerate a beta blocker (for example because of nightmares and fatigue) and has no contraindication is switched to a non-dihydropyridine calcium channel blocker such as diltiazem or verapamil, the initial substitute [slides 19 and 22].</w:t>
      </w:r>
    </w:p>
    <w:p>
      <w:pPr>
        <w:spacing w:after="120"/>
      </w:pPr>
      <w:r>
        <w:rPr>
          <w:b w:val="0"/>
          <w:i w:val="0"/>
        </w:rPr>
        <w:t>The slide gives no reason for avoiding short-acting nifedipine, only the instruction to avoid short-acting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calcium channel blockers</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Systolic blood pressure below 100 mmHg; heart rate below 60 beats per minute (non-dihydropyridines); acute heart failure (non-dihydropyridines); ejection fraction below 40 percent (non-dihydropyridines); atrioventricular block</w:t>
            </w:r>
            <w:r>
              <w:rPr>
                <w:b w:val="0"/>
                <w:i w:val="0"/>
                <w:sz w:val="18"/>
              </w:rPr>
              <w:t xml:space="preserve"> [slide 23]</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val="0"/>
                <w:i w:val="0"/>
                <w:sz w:val="18"/>
              </w:rPr>
              <w:t>Concurrent beta blocker use (non-dihydropyridines); CYP3A4 (cytochrome P450 3A4) interactions [slide 23]</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 xml:space="preserve">Hypotension; with dihydropyridines, </w:t>
            </w:r>
            <w:r>
              <w:rPr>
                <w:b/>
                <w:i w:val="0"/>
                <w:sz w:val="18"/>
              </w:rPr>
              <w:t>headache, flushing and peripheral edema</w:t>
            </w:r>
            <w:r>
              <w:rPr>
                <w:b w:val="0"/>
                <w:i w:val="0"/>
                <w:sz w:val="18"/>
              </w:rPr>
              <w:t xml:space="preserve"> [slide 24]</w:t>
            </w:r>
          </w:p>
        </w:tc>
      </w:tr>
      <w:tr>
        <w:tc>
          <w:tcPr>
            <w:tcW w:type="dxa" w:w="7272"/>
          </w:tcPr>
          <w:p>
            <w:pPr>
              <w:spacing w:after="40"/>
            </w:pPr>
            <w:r>
              <w:rPr>
                <w:sz w:val="18"/>
              </w:rPr>
            </w:r>
            <w:r>
              <w:rPr>
                <w:b/>
                <w:i w:val="0"/>
                <w:sz w:val="18"/>
              </w:rPr>
              <w:t>4 · Metabolism</w:t>
            </w:r>
          </w:p>
        </w:tc>
        <w:tc>
          <w:tcPr>
            <w:tcW w:type="dxa" w:w="7272"/>
          </w:tcPr>
          <w:p>
            <w:pPr>
              <w:spacing w:after="40"/>
            </w:pPr>
            <w:r>
              <w:rPr>
                <w:sz w:val="18"/>
              </w:rPr>
            </w:r>
            <w:r>
              <w:rPr>
                <w:b w:val="0"/>
                <w:i w:val="0"/>
                <w:sz w:val="18"/>
              </w:rPr>
              <w:t>The slide names CYP3A4 interactions as a precaution, no other pharmacokinetics are given [slide 23]</w:t>
            </w:r>
          </w:p>
        </w:tc>
      </w:tr>
    </w:tbl>
    <w:p>
      <w:pPr>
        <w:spacing w:after="80"/>
      </w:pPr>
    </w:p>
    <w:p>
      <w:pPr>
        <w:spacing w:after="120"/>
      </w:pPr>
      <w:r>
        <w:rPr>
          <w:b w:val="0"/>
          <w:i w:val="0"/>
        </w:rPr>
        <w:t xml:space="preserve">Calcium channel blockers </w:t>
      </w:r>
      <w:r>
        <w:rPr>
          <w:b/>
          <w:i w:val="0"/>
        </w:rPr>
        <w:t>improve myocardial oxygen supply</w:t>
      </w:r>
      <w:r>
        <w:rPr>
          <w:b w:val="0"/>
          <w:i w:val="0"/>
        </w:rPr>
        <w:t xml:space="preserve"> by </w:t>
      </w:r>
      <w:r>
        <w:rPr>
          <w:b/>
          <w:i w:val="0"/>
        </w:rPr>
        <w:t>relief of coronary vasospasm</w:t>
      </w:r>
      <w:r>
        <w:rPr>
          <w:b w:val="0"/>
          <w:i w:val="0"/>
        </w:rPr>
        <w:t xml:space="preserve"> and by mild dilation in areas of fixed stenosis, and they also lower demand [slide 20]. </w:t>
      </w:r>
      <w:r>
        <w:rPr>
          <w:b/>
          <w:i w:val="0"/>
        </w:rPr>
        <w:t>Headache, flushing and peripheral edema (ankle swelling) are the typical effects of a dihydropyridine</w:t>
      </w:r>
      <w:r>
        <w:rPr>
          <w:b w:val="0"/>
          <w:i w:val="0"/>
        </w:rPr>
        <w:t xml:space="preserve"> [slide 24]; </w:t>
      </w:r>
      <w:r>
        <w:rPr>
          <w:b/>
          <w:i w:val="0"/>
        </w:rPr>
        <w:t>nitrates share headache and flushing</w:t>
      </w:r>
      <w:r>
        <w:rPr>
          <w:b w:val="0"/>
          <w:i w:val="0"/>
        </w:rPr>
        <w:t xml:space="preserve"> with the dihydropyridines [slide 31].</w:t>
      </w:r>
    </w:p>
    <w:p>
      <w:pPr>
        <w:spacing w:after="120"/>
      </w:pPr>
      <w:r>
        <w:rPr>
          <w:b/>
          <w:i w:val="0"/>
        </w:rPr>
        <w:t>Verapamil and diltiazem lower heart rate and slow atrioventricular conduction</w:t>
      </w:r>
      <w:r>
        <w:rPr>
          <w:b w:val="0"/>
          <w:i w:val="0"/>
        </w:rPr>
        <w:t xml:space="preserve"> [slide 21]; beta blockers also lower heart rate [slide 16]. Read together with slide 23, which lists concurrent beta blocker use as a precaution for non-dihydropyridines, combining verapamil or diltiazem with a beta blocker calls for caution because the effects are additive: </w:t>
      </w:r>
      <w:r>
        <w:rPr>
          <w:b/>
          <w:i w:val="0"/>
        </w:rPr>
        <w:t>additive bradycardia and conduction delay</w:t>
      </w:r>
      <w:r>
        <w:rPr>
          <w:b w:val="0"/>
          <w:i w:val="0"/>
        </w:rPr>
        <w:t>.</w:t>
      </w:r>
    </w:p>
    <w:p>
      <w:pPr>
        <w:spacing w:after="120"/>
      </w:pPr>
      <w:r>
        <w:rPr>
          <w:b/>
          <w:i w:val="0"/>
        </w:rPr>
        <w:t>CYP3A4 (cytochrome P450 3A4).</w:t>
      </w:r>
      <w:r>
        <w:rPr>
          <w:b w:val="0"/>
          <w:i w:val="0"/>
        </w:rPr>
        <w:t xml:space="preserve"> Verapamil and diltiazem, the non-dihydropyridines, </w:t>
      </w:r>
      <w:r>
        <w:rPr>
          <w:b/>
          <w:i w:val="0"/>
        </w:rPr>
        <w:t>inhibit CYP3A4 and are also substrates of it</w:t>
      </w:r>
      <w:r>
        <w:rPr>
          <w:b w:val="0"/>
          <w:i w:val="0"/>
        </w:rPr>
        <w:t>; the dihydropyridines such as amlodipine are only substrates (section 3.4). Slide 23 lists CYP3A4 interactions as a precaution. The worked example crosses to the lipid section: simvastatin is a CYP3A4 substrate (section 4.2), so a patient on verapamil who is then given simvastatin has higher simvastatin levels. In plain terms: adding simvastatin to a patient taking verapamil raises simvastatin levels because verapamil inhibits cytochrome P450 3A4, which clears simvastatin, so the main risk is statin muscle and liver toxicity (the statin adverse effects are in section 4.2).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28:02 of the recording: </w:t>
            </w:r>
            <w:r>
              <w:rPr>
                <w:b w:val="0"/>
                <w:i/>
              </w:rPr>
              <w:t>“If you don’t know any other CYP enzyme, know CYP3A4, please, that’s my only ask… the non-DHPs are both inhibitors of CYP3A4 and substrates… the DHPs like amlodipine are just substrates… a patient on verapamil and then you put them on simvastatin… now all of a sudden you’re jacking your simvastatin levels up.”</w:t>
            </w:r>
          </w:p>
          <w:p>
            <w:pPr>
              <w:spacing w:after="120"/>
            </w:pPr>
            <w:r>
              <w:rPr>
                <w:b w:val="0"/>
                <w:i w:val="0"/>
                <w:highlight w:val="yellow"/>
              </w:rPr>
              <w:t>CYP3A4 is the one enzyme to know</w:t>
            </w:r>
            <w:r>
              <w:rPr>
                <w:b w:val="0"/>
                <w:i w:val="0"/>
              </w:rPr>
              <w:t>: non-dihydropyridines inhibit it and are substrates, dihydropyridines are only substrates, and verapamil with simvastatin raises the simvastatin level [slide 23; Antihypertensives slides 47, 48 and 54; sections 3.4 and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atrioventricular block.</w:t>
            </w:r>
            <w:r>
              <w:rPr>
                <w:b w:val="0"/>
                <w:i w:val="0"/>
              </w:rPr>
              <w:t xml:space="preserve"> Slide 23 lists atrioventricular block as a calcium channel blocker contraindication without saying which subclass. It is the </w:t>
            </w:r>
            <w:r>
              <w:rPr>
                <w:b/>
                <w:i w:val="0"/>
              </w:rPr>
              <w:t>non-dihydropyridines</w:t>
            </w:r>
            <w:r>
              <w:rPr>
                <w:b w:val="0"/>
                <w:i w:val="0"/>
              </w:rPr>
              <w:t xml:space="preserve"> that slow atrioventricular conduction (slide 21 shows no effect for the dihydropyridines), and slide 34 names a dihydropyridine as first line when the patient has bradycardia or atrioventricular block. Read the contraindication as applying to diltiazem and verapamil.</w:t>
            </w:r>
          </w:p>
        </w:tc>
      </w:tr>
    </w:tbl>
    <w:p>
      <w:pPr>
        <w:spacing w:after="80"/>
      </w:pPr>
    </w:p>
    <w:p>
      <w:pPr>
        <w:spacing w:after="120"/>
      </w:pPr>
      <w:r>
        <w:rPr>
          <w:b/>
          <w:i w:val="0"/>
        </w:rPr>
        <w:t>Monitoring:</w:t>
      </w:r>
      <w:r>
        <w:rPr>
          <w:b w:val="0"/>
          <w:i w:val="0"/>
        </w:rPr>
        <w:t xml:space="preserve"> relief of symptoms, and heart rate for the non-dihydropyridines [slide 24]. </w:t>
      </w:r>
      <w:r>
        <w:rPr>
          <w:b/>
          <w:i w:val="0"/>
        </w:rPr>
        <w:t>Education:</w:t>
      </w:r>
      <w:r>
        <w:rPr>
          <w:b w:val="0"/>
          <w:i w:val="0"/>
        </w:rPr>
        <w:t xml:space="preserve"> dizziness and constipation [slide 24]. The pairing caution is the one to remember: concurrent beta blocker use is a precaution for the non-dihydropyridines [slide 23], and the dihydropyridine is the calcium channel blocker named for combining with a beta blocker [slide 22]. The interacting agents of the non-dihydropyridines (statins, digoxin and others) are in section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29:48 of the recording: </w:t>
            </w:r>
            <w:r>
              <w:rPr>
                <w:b w:val="0"/>
                <w:i/>
              </w:rPr>
              <w:t>“Ask your patients about their bowel habits… what happens when they’re sitting there straining on the toilet… let’s put a little strain on the heart too.”</w:t>
            </w:r>
          </w:p>
          <w:p>
            <w:pPr>
              <w:spacing w:after="120"/>
            </w:pPr>
            <w:r>
              <w:rPr>
                <w:b w:val="0"/>
                <w:i w:val="0"/>
              </w:rPr>
              <w:t xml:space="preserve">Education: </w:t>
            </w:r>
            <w:r>
              <w:rPr>
                <w:b w:val="0"/>
                <w:i w:val="0"/>
                <w:highlight w:val="yellow"/>
              </w:rPr>
              <w:t>dizziness and constipation</w:t>
            </w:r>
            <w:r>
              <w:rPr>
                <w:b w:val="0"/>
                <w:i w:val="0"/>
              </w:rPr>
              <w:t xml:space="preserve"> [slide 24]. He added why constipation matters in a cardiac patient: straining puts a strain on the heart.</w:t>
            </w:r>
          </w:p>
        </w:tc>
      </w:tr>
    </w:tbl>
    <w:p>
      <w:pPr>
        <w:spacing w:after="80"/>
      </w:pPr>
    </w:p>
    <w:p>
      <w:pPr>
        <w:pStyle w:val="Heading2"/>
        <w:spacing w:before="200" w:after="100"/>
      </w:pPr>
      <w:r>
        <w:rPr>
          <w:rFonts w:ascii="Georgia" w:hAnsi="Georgia"/>
          <w:color w:val="6B3524"/>
        </w:rPr>
        <w:t>5.4 · Objectives 1–7 — Nitrates</w:t>
      </w:r>
    </w:p>
    <w:p>
      <w:pPr>
        <w:spacing w:after="120"/>
      </w:pPr>
      <w:r>
        <w:rPr>
          <w:b w:val="0"/>
          <w:i w:val="0"/>
        </w:rPr>
        <w:t>Also tested</w:t>
      </w:r>
    </w:p>
    <w:p>
      <w:pPr>
        <w:pStyle w:val="ListBullet"/>
        <w:spacing w:after="40"/>
      </w:pPr>
      <w:r>
        <w:rPr>
          <w:b/>
          <w:i w:val="0"/>
          <w:sz w:val="20"/>
        </w:rPr>
        <w:t>Warn patients starting a nitrate about dizziness when standing up.</w:t>
      </w:r>
      <w:r>
        <w:rPr>
          <w:b w:val="0"/>
          <w:i w:val="0"/>
          <w:sz w:val="20"/>
        </w:rPr>
        <w:t xml:space="preserve"> Nitrates cause orthostatic hypotension, so patients are warned about light-headedness on standing.</w:t>
      </w:r>
    </w:p>
    <w:p>
      <w:pPr>
        <w:pStyle w:val="ListBullet"/>
        <w:spacing w:after="40"/>
      </w:pPr>
      <w:r>
        <w:rPr>
          <w:b/>
          <w:i w:val="0"/>
          <w:sz w:val="20"/>
        </w:rPr>
        <w:t>Replace opened nitroglycerin tablets.</w:t>
      </w:r>
      <w:r>
        <w:rPr>
          <w:b w:val="0"/>
          <w:i w:val="0"/>
          <w:sz w:val="20"/>
        </w:rPr>
        <w:t xml:space="preserve"> The traditional counseling is to replace opened tablets about every 3 to 6 months so that a potent tablet is ready in an emergency. Current labeling ties expiry to the printed date when the tablets stay in the tightly closed original glass bottle.</w:t>
      </w:r>
    </w:p>
    <w:p>
      <w:pPr>
        <w:pStyle w:val="ListBullet"/>
        <w:spacing w:after="40"/>
      </w:pPr>
      <w:r>
        <w:rPr>
          <w:b/>
          <w:i w:val="0"/>
          <w:sz w:val="20"/>
        </w:rPr>
        <w:t>Opened nitroglycerin tablets are replaced on a schedule because the drug degrades.</w:t>
      </w:r>
      <w:r>
        <w:rPr>
          <w:b w:val="0"/>
          <w:i w:val="0"/>
          <w:sz w:val="20"/>
        </w:rPr>
        <w:t xml:space="preserve"> Nitroglycerin is unstable, and exposure to light or moisture breaks it down so it may not work when needed; that is the reason for the traditional 3 to 6 month replacement and for keeping the tablets in the original container.</w:t>
      </w:r>
    </w:p>
    <w:p>
      <w:pPr>
        <w:pStyle w:val="Heading3"/>
        <w:spacing w:before="200" w:after="100"/>
      </w:pPr>
      <w:r>
        <w:rPr>
          <w:rFonts w:ascii="Georgia" w:hAnsi="Georgia"/>
          <w:color w:val="6B3524"/>
        </w:rPr>
        <w:t>Mechanism (Objective 2) [slide 26]</w:t>
      </w:r>
    </w:p>
    <w:p>
      <w:pPr>
        <w:pStyle w:val="ListNumber"/>
        <w:spacing w:after="40"/>
      </w:pPr>
      <w:r>
        <w:rPr>
          <w:b w:val="0"/>
          <w:i w:val="0"/>
          <w:sz w:val="20"/>
        </w:rPr>
        <w:t xml:space="preserve">Nitrates supply </w:t>
      </w:r>
      <w:r>
        <w:rPr>
          <w:b/>
          <w:i w:val="0"/>
          <w:sz w:val="20"/>
        </w:rPr>
        <w:t>nitric oxide</w:t>
      </w:r>
      <w:r>
        <w:rPr>
          <w:b w:val="0"/>
          <w:i w:val="0"/>
          <w:sz w:val="20"/>
        </w:rPr>
        <w:t>.</w:t>
      </w:r>
    </w:p>
    <w:p>
      <w:pPr>
        <w:pStyle w:val="ListNumber"/>
        <w:spacing w:after="40"/>
      </w:pPr>
      <w:r>
        <w:rPr>
          <w:b w:val="0"/>
          <w:i w:val="0"/>
          <w:sz w:val="20"/>
        </w:rPr>
        <w:t xml:space="preserve">Nitric oxide stimulates the conversion of guanosine triphosphate to </w:t>
      </w:r>
      <w:r>
        <w:rPr>
          <w:b/>
          <w:i w:val="0"/>
          <w:sz w:val="20"/>
        </w:rPr>
        <w:t>cyclic guanosine monophosphate</w:t>
      </w:r>
      <w:r>
        <w:rPr>
          <w:b w:val="0"/>
          <w:i w:val="0"/>
          <w:sz w:val="20"/>
        </w:rPr>
        <w:t>.</w:t>
      </w:r>
    </w:p>
    <w:p>
      <w:pPr>
        <w:pStyle w:val="ListNumber"/>
        <w:spacing w:after="40"/>
      </w:pPr>
      <w:r>
        <w:rPr>
          <w:b w:val="0"/>
          <w:i w:val="0"/>
          <w:sz w:val="20"/>
        </w:rPr>
        <w:t xml:space="preserve">Cyclic guanosine monophosphate activates protein kinase G, which </w:t>
      </w:r>
      <w:r>
        <w:rPr>
          <w:b/>
          <w:i w:val="0"/>
          <w:sz w:val="20"/>
        </w:rPr>
        <w:t>lowers cytosolic calcium</w:t>
      </w:r>
      <w:r>
        <w:rPr>
          <w:b w:val="0"/>
          <w:i w:val="0"/>
          <w:sz w:val="20"/>
        </w:rPr>
        <w:t>.</w:t>
      </w:r>
    </w:p>
    <w:p>
      <w:pPr>
        <w:pStyle w:val="ListNumber"/>
        <w:spacing w:after="40"/>
      </w:pPr>
      <w:r>
        <w:rPr>
          <w:b w:val="0"/>
          <w:i w:val="0"/>
          <w:sz w:val="20"/>
        </w:rPr>
        <w:t xml:space="preserve">Lower calcium gives </w:t>
      </w:r>
      <w:r>
        <w:rPr>
          <w:b/>
          <w:i w:val="0"/>
          <w:sz w:val="20"/>
        </w:rPr>
        <w:t>smooth muscle relaxation, vasodilation and lower blood pressure</w:t>
      </w:r>
      <w:r>
        <w:rPr>
          <w:b w:val="0"/>
          <w:i w:val="0"/>
          <w:sz w:val="20"/>
        </w:rPr>
        <w:t>.</w:t>
      </w:r>
    </w:p>
    <w:p>
      <w:pPr>
        <w:pStyle w:val="ListNumber"/>
        <w:spacing w:after="40"/>
      </w:pPr>
      <w:r>
        <w:rPr>
          <w:b/>
          <w:i w:val="0"/>
          <w:sz w:val="20"/>
        </w:rPr>
        <w:t>Phosphodiesterase type 5 breaks cyclic guanosine monophosphate down</w:t>
      </w:r>
      <w:r>
        <w:rPr>
          <w:b w:val="0"/>
          <w:i w:val="0"/>
          <w:sz w:val="20"/>
        </w:rPr>
        <w:t xml:space="preserve"> to inactive guanosine monophosphate.</w:t>
      </w:r>
    </w:p>
    <w:p>
      <w:pPr>
        <w:pStyle w:val="ListNumber"/>
        <w:spacing w:after="40"/>
      </w:pPr>
      <w:r>
        <w:rPr>
          <w:b/>
          <w:i w:val="0"/>
          <w:sz w:val="20"/>
        </w:rPr>
        <w:t>Sildenafil, tadalafil and vardenafil inhibit phosphodiesterase type 5</w:t>
      </w:r>
      <w:r>
        <w:rPr>
          <w:b w:val="0"/>
          <w:i w:val="0"/>
          <w:sz w:val="20"/>
        </w:rPr>
        <w:t>, so cyclic guanosine monophosphate builds up. Together with a nitrate this is the drug interaction the slide shows.</w:t>
      </w:r>
    </w:p>
    <w:p>
      <w:pPr>
        <w:spacing w:after="120"/>
      </w:pPr>
      <w:r>
        <w:rPr>
          <w:b w:val="0"/>
          <w:i w:val="0"/>
        </w:rPr>
        <w:t xml:space="preserve">On the </w:t>
      </w:r>
      <w:r>
        <w:rPr>
          <w:b/>
          <w:i w:val="0"/>
        </w:rPr>
        <w:t>demand</w:t>
      </w:r>
      <w:r>
        <w:rPr>
          <w:b w:val="0"/>
          <w:i w:val="0"/>
        </w:rPr>
        <w:t xml:space="preserve"> side nitrates lower systolic blood pressure and, most strongly, left ventricular volume, while the heart rate rises [slide 25]. On the </w:t>
      </w:r>
      <w:r>
        <w:rPr>
          <w:b/>
          <w:i w:val="0"/>
        </w:rPr>
        <w:t>supply</w:t>
      </w:r>
      <w:r>
        <w:rPr>
          <w:b w:val="0"/>
          <w:i w:val="0"/>
        </w:rPr>
        <w:t xml:space="preserve"> side they dilate the coronary arteries, relieve vasospasm and have antithrombotic and antiplatelet effects [slide 25].</w:t>
      </w:r>
    </w:p>
    <w:p>
      <w:pPr>
        <w:pStyle w:val="Heading3"/>
        <w:spacing w:before="200" w:after="100"/>
      </w:pPr>
      <w:r>
        <w:rPr>
          <w:rFonts w:ascii="Georgia" w:hAnsi="Georgia"/>
          <w:color w:val="6B3524"/>
        </w:rPr>
        <w:t>Short-acting nitrates [slides 27 and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Goals of therapy</w:t>
            </w:r>
          </w:p>
        </w:tc>
        <w:tc>
          <w:tcPr>
            <w:tcW w:type="dxa" w:w="7272"/>
          </w:tcPr>
          <w:p>
            <w:pPr>
              <w:spacing w:after="40"/>
            </w:pPr>
            <w:r>
              <w:rPr>
                <w:sz w:val="18"/>
              </w:rPr>
            </w:r>
            <w:r>
              <w:rPr>
                <w:b/>
                <w:i w:val="0"/>
                <w:sz w:val="18"/>
              </w:rPr>
              <w:t>Relieve acute symptoms of myocardial ischemia and prevent effort-induced angina</w:t>
            </w:r>
            <w:r>
              <w:rPr>
                <w:b w:val="0"/>
                <w:i w:val="0"/>
                <w:sz w:val="18"/>
              </w:rPr>
              <w:t xml:space="preserve"> [slide 27]</w:t>
            </w:r>
          </w:p>
        </w:tc>
      </w:tr>
      <w:tr>
        <w:tc>
          <w:tcPr>
            <w:tcW w:type="dxa" w:w="7272"/>
          </w:tcPr>
          <w:p>
            <w:pPr>
              <w:spacing w:after="40"/>
            </w:pPr>
            <w:r>
              <w:rPr>
                <w:sz w:val="18"/>
              </w:rPr>
            </w:r>
            <w:r>
              <w:rPr>
                <w:b w:val="0"/>
                <w:i w:val="0"/>
                <w:sz w:val="18"/>
              </w:rPr>
              <w:t>Forms pictured</w:t>
            </w:r>
          </w:p>
        </w:tc>
        <w:tc>
          <w:tcPr>
            <w:tcW w:type="dxa" w:w="7272"/>
          </w:tcPr>
          <w:p>
            <w:pPr>
              <w:spacing w:after="40"/>
            </w:pPr>
            <w:r>
              <w:rPr>
                <w:sz w:val="18"/>
              </w:rPr>
            </w:r>
            <w:r>
              <w:rPr>
                <w:b w:val="0"/>
                <w:i w:val="0"/>
                <w:sz w:val="18"/>
              </w:rPr>
              <w:t>Nitroglycerin sublingual tablets (Nitrostat) and a nitroglycerin lingual spray (Nitrolingual Pumpspray) [slide 27]</w:t>
            </w:r>
          </w:p>
        </w:tc>
      </w:tr>
      <w:tr>
        <w:tc>
          <w:tcPr>
            <w:tcW w:type="dxa" w:w="7272"/>
          </w:tcPr>
          <w:p>
            <w:pPr>
              <w:spacing w:after="40"/>
            </w:pPr>
            <w:r>
              <w:rPr>
                <w:sz w:val="18"/>
              </w:rPr>
            </w:r>
            <w:r>
              <w:rPr>
                <w:b w:val="0"/>
                <w:i w:val="0"/>
                <w:sz w:val="18"/>
              </w:rPr>
              <w:t>Drug selection</w:t>
            </w:r>
          </w:p>
        </w:tc>
        <w:tc>
          <w:tcPr>
            <w:tcW w:type="dxa" w:w="7272"/>
          </w:tcPr>
          <w:p>
            <w:pPr>
              <w:spacing w:after="40"/>
            </w:pPr>
            <w:r>
              <w:rPr>
                <w:sz w:val="18"/>
              </w:rPr>
            </w:r>
            <w:r>
              <w:rPr>
                <w:b w:val="0"/>
                <w:i w:val="0"/>
                <w:sz w:val="18"/>
              </w:rPr>
              <w:t xml:space="preserve">Dosed every 5 minutes until relief or emergency medical services arrive (standard practice caps it at three doses in total; his words: keep dosing while waiting); </w:t>
            </w:r>
            <w:r>
              <w:rPr>
                <w:b/>
                <w:i w:val="0"/>
                <w:sz w:val="18"/>
              </w:rPr>
              <w:t>call emergency medical services if there is no relief 5 minutes after the first dose</w:t>
            </w:r>
            <w:r>
              <w:rPr>
                <w:b w:val="0"/>
                <w:i w:val="0"/>
                <w:sz w:val="18"/>
              </w:rPr>
              <w:t xml:space="preserve"> [slide 27]</w:t>
            </w:r>
          </w:p>
        </w:tc>
      </w:tr>
      <w:tr>
        <w:tc>
          <w:tcPr>
            <w:tcW w:type="dxa" w:w="7272"/>
          </w:tcPr>
          <w:p>
            <w:pPr>
              <w:spacing w:after="40"/>
            </w:pPr>
            <w:r>
              <w:rPr>
                <w:sz w:val="18"/>
              </w:rPr>
            </w:r>
            <w:r>
              <w:rPr>
                <w:b w:val="0"/>
                <w:i w:val="0"/>
                <w:sz w:val="18"/>
              </w:rPr>
              <w:t>Patient education</w:t>
            </w:r>
          </w:p>
        </w:tc>
        <w:tc>
          <w:tcPr>
            <w:tcW w:type="dxa" w:w="7272"/>
          </w:tcPr>
          <w:p>
            <w:pPr>
              <w:spacing w:after="40"/>
            </w:pPr>
            <w:r>
              <w:rPr>
                <w:sz w:val="18"/>
              </w:rPr>
            </w:r>
            <w:r>
              <w:rPr>
                <w:b w:val="0"/>
                <w:i w:val="0"/>
                <w:sz w:val="18"/>
              </w:rPr>
              <w:t xml:space="preserve">Warn about </w:t>
            </w:r>
            <w:r>
              <w:rPr>
                <w:b/>
                <w:i w:val="0"/>
                <w:sz w:val="18"/>
              </w:rPr>
              <w:t>orthostatic hypotension</w:t>
            </w:r>
            <w:r>
              <w:rPr>
                <w:b w:val="0"/>
                <w:i w:val="0"/>
                <w:sz w:val="18"/>
              </w:rPr>
              <w:t xml:space="preserve">; store in the original packaging in a cool, dry place; </w:t>
            </w:r>
            <w:r>
              <w:rPr>
                <w:b/>
                <w:i w:val="0"/>
                <w:sz w:val="18"/>
              </w:rPr>
              <w:t>replace the tablets 3 to 6 months after opening</w:t>
            </w:r>
            <w:r>
              <w:rPr>
                <w:b w:val="0"/>
                <w:i w:val="0"/>
                <w:sz w:val="18"/>
              </w:rPr>
              <w:t xml:space="preserve"> (the course rule; current labeling differs, see the note below); apply or spray under the tongue [slide 28]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35:51 of the recording: </w:t>
            </w:r>
            <w:r>
              <w:rPr>
                <w:b w:val="0"/>
                <w:i/>
              </w:rPr>
              <w:t>“If I say a test question, which one of these is best for quick relief of myocardial… a quick relief of anginal symptoms, this is the answer. Okay, keep that in mind, highlight.”</w:t>
            </w:r>
          </w:p>
          <w:p>
            <w:pPr>
              <w:spacing w:after="120"/>
            </w:pPr>
            <w:r>
              <w:rPr>
                <w:b w:val="0"/>
                <w:i w:val="0"/>
                <w:highlight w:val="yellow"/>
              </w:rPr>
              <w:t>Short-acting nitroglycerin</w:t>
            </w:r>
            <w:r>
              <w:rPr>
                <w:b w:val="0"/>
                <w:i w:val="0"/>
              </w:rPr>
              <w:t xml:space="preserve"> (sublingual tablet or spray) is the quick-relief answer [slide 27]; beta blockers and calcium channel blockers prevent attacks.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37:02 of the recording: </w:t>
            </w:r>
            <w:r>
              <w:rPr>
                <w:b w:val="0"/>
                <w:i/>
              </w:rPr>
              <w:t>“That’s why I say after five minutes if you don’t get the relief, call 911, okay, so you get one try and that’s it, but while waiting you can continue taking the doses every five minutes.”</w:t>
            </w:r>
          </w:p>
          <w:p>
            <w:pPr>
              <w:spacing w:after="120"/>
            </w:pPr>
            <w:r>
              <w:rPr>
                <w:b w:val="0"/>
                <w:i w:val="0"/>
              </w:rPr>
              <w:t xml:space="preserve">The patient takes the first dose; </w:t>
            </w:r>
            <w:r>
              <w:rPr>
                <w:b w:val="0"/>
                <w:i w:val="0"/>
                <w:highlight w:val="yellow"/>
              </w:rPr>
              <w:t>no relief after five minutes means call emergency services</w:t>
            </w:r>
            <w:r>
              <w:rPr>
                <w:b w:val="0"/>
                <w:i w:val="0"/>
              </w:rPr>
              <w:t>, and further doses can be taken while waiting [slide 27]. The action is the testable point.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37:12 of the recording: </w:t>
            </w:r>
            <w:r>
              <w:rPr>
                <w:b w:val="0"/>
                <w:i/>
              </w:rPr>
              <w:t>“Orthostatic hypotension makes sense… store them in the original packaging, a cool dry place, don’t put them into your pill minder… and then we’ll say after opening it replace every three to six months or so… I say go ahead, yes, do replace it.”</w:t>
            </w:r>
          </w:p>
          <w:p>
            <w:pPr>
              <w:spacing w:after="120"/>
            </w:pPr>
            <w:r>
              <w:rPr>
                <w:b w:val="0"/>
                <w:i w:val="0"/>
              </w:rPr>
              <w:t xml:space="preserve">Warn about </w:t>
            </w:r>
            <w:r>
              <w:rPr>
                <w:b w:val="0"/>
                <w:i w:val="0"/>
                <w:highlight w:val="yellow"/>
              </w:rPr>
              <w:t>orthostatic hypotension</w:t>
            </w:r>
            <w:r>
              <w:rPr>
                <w:b w:val="0"/>
                <w:i w:val="0"/>
              </w:rPr>
              <w:t>; keep tablets in the original packaging in a cool, dry place; he teaches replacement every three to six months, which is the course rule to know (current labeling ties expiry to the original bottle, see the box below) [slide 28].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five-minute rule is a safety protocol (Objective 9).</w:t>
            </w:r>
            <w:r>
              <w:rPr>
                <w:b w:val="0"/>
                <w:i w:val="0"/>
              </w:rPr>
              <w:t xml:space="preserve"> The action is the point: </w:t>
            </w:r>
            <w:r>
              <w:rPr>
                <w:b/>
                <w:i w:val="0"/>
              </w:rPr>
              <w:t>if chest pain is not relieved five minutes after the first dose, call emergency medical services rather than keep dosing alone</w:t>
            </w:r>
            <w:r>
              <w:rPr>
                <w:b w:val="0"/>
                <w:i w:val="0"/>
              </w:rPr>
              <w:t xml:space="preserve"> [slide 27]. The slide also says to dose every 5 minutes until relief or help arrives; the two lines agree once you read the second as “while help is on the way”. Standard practice caps it at three doses in total; his words: keep dosing while waiting.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Course rule versus current practice — replacing the tablets.</w:t>
            </w:r>
            <w:r>
              <w:rPr>
                <w:b w:val="0"/>
                <w:i w:val="0"/>
              </w:rPr>
              <w:t xml:space="preserve"> Slide 28 and the recording say to </w:t>
            </w:r>
            <w:r>
              <w:rPr>
                <w:b/>
                <w:i w:val="0"/>
              </w:rPr>
              <w:t>replace nitroglycerin tablets 3 to 6 months after opening</w:t>
            </w:r>
            <w:r>
              <w:rPr>
                <w:b w:val="0"/>
                <w:i w:val="0"/>
              </w:rPr>
              <w:t xml:space="preserve"> (“go ahead, yes, do replace it”), because the drug is unstable and breaks down with light and moisture. </w:t>
            </w:r>
            <w:r>
              <w:rPr>
                <w:b/>
                <w:i w:val="0"/>
              </w:rPr>
              <w:t>Learn 3 to 6 months as the exam answer.</w:t>
            </w:r>
            <w:r>
              <w:rPr>
                <w:b w:val="0"/>
                <w:i w:val="0"/>
              </w:rPr>
              <w:t xml:space="preserve"> Current labeling is looser: it ties the expiry to the printed date when the tablets stay in the tightly closed original glass bottle, so a patient should still replace tablets sooner if they no longer work.</w:t>
            </w:r>
          </w:p>
        </w:tc>
      </w:tr>
    </w:tbl>
    <w:p>
      <w:pPr>
        <w:spacing w:after="80"/>
      </w:pPr>
    </w:p>
    <w:p>
      <w:pPr>
        <w:pStyle w:val="Heading3"/>
        <w:spacing w:before="200" w:after="100"/>
      </w:pPr>
      <w:r>
        <w:rPr>
          <w:rFonts w:ascii="Georgia" w:hAnsi="Georgia"/>
          <w:color w:val="6B3524"/>
        </w:rPr>
        <w:t>Long-acting nitrates [slides 29 to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Place in therapy</w:t>
            </w:r>
          </w:p>
        </w:tc>
        <w:tc>
          <w:tcPr>
            <w:tcW w:type="dxa" w:w="7272"/>
          </w:tcPr>
          <w:p>
            <w:pPr>
              <w:spacing w:after="40"/>
            </w:pPr>
            <w:r>
              <w:rPr>
                <w:sz w:val="18"/>
              </w:rPr>
            </w:r>
            <w:r>
              <w:rPr>
                <w:b w:val="0"/>
                <w:i w:val="0"/>
                <w:sz w:val="18"/>
              </w:rPr>
              <w:t xml:space="preserve">Initial therapy to reduce symptoms </w:t>
            </w:r>
            <w:r>
              <w:rPr>
                <w:b/>
                <w:i w:val="0"/>
                <w:sz w:val="18"/>
              </w:rPr>
              <w:t>when beta blockers and calcium channel blockers are contraindicated or not tolerated</w:t>
            </w:r>
            <w:r>
              <w:rPr>
                <w:b w:val="0"/>
                <w:i w:val="0"/>
                <w:sz w:val="18"/>
              </w:rPr>
              <w:t>; or in combination with a beta blocker or calcium channel blocker when those are not successful [slide 29]</w:t>
            </w:r>
          </w:p>
        </w:tc>
      </w:tr>
      <w:tr>
        <w:tc>
          <w:tcPr>
            <w:tcW w:type="dxa" w:w="7272"/>
          </w:tcPr>
          <w:p>
            <w:pPr>
              <w:spacing w:after="40"/>
            </w:pPr>
            <w:r>
              <w:rPr>
                <w:sz w:val="18"/>
              </w:rPr>
            </w:r>
            <w:r>
              <w:rPr>
                <w:b w:val="0"/>
                <w:i w:val="0"/>
                <w:sz w:val="18"/>
              </w:rPr>
              <w:t>Use</w:t>
            </w:r>
          </w:p>
        </w:tc>
        <w:tc>
          <w:tcPr>
            <w:tcW w:type="dxa" w:w="7272"/>
          </w:tcPr>
          <w:p>
            <w:pPr>
              <w:spacing w:after="40"/>
            </w:pPr>
            <w:r>
              <w:rPr>
                <w:sz w:val="18"/>
              </w:rPr>
            </w:r>
            <w:r>
              <w:rPr>
                <w:b/>
                <w:i w:val="0"/>
                <w:sz w:val="18"/>
              </w:rPr>
              <w:t>Usually adjunctive therapy; not recommended as monotherapy</w:t>
            </w:r>
            <w:r>
              <w:rPr>
                <w:b w:val="0"/>
                <w:i w:val="0"/>
                <w:sz w:val="18"/>
              </w:rPr>
              <w:t xml:space="preserve"> [slide 29]. The two lines fit together this way: monotherapy is discouraged when a beta blocker or calcium channel blocker can be used, and a long-acting nitrate alone is accepted only when neither can be</w:t>
            </w:r>
          </w:p>
        </w:tc>
      </w:tr>
      <w:tr>
        <w:tc>
          <w:tcPr>
            <w:tcW w:type="dxa" w:w="7272"/>
          </w:tcPr>
          <w:p>
            <w:pPr>
              <w:spacing w:after="40"/>
            </w:pPr>
            <w:r>
              <w:rPr>
                <w:sz w:val="18"/>
              </w:rPr>
            </w:r>
            <w:r>
              <w:rPr>
                <w:b w:val="0"/>
                <w:i w:val="0"/>
                <w:sz w:val="18"/>
              </w:rPr>
              <w:t>Isosorbide mononitrate (Imdur)</w:t>
            </w:r>
          </w:p>
        </w:tc>
        <w:tc>
          <w:tcPr>
            <w:tcW w:type="dxa" w:w="7272"/>
          </w:tcPr>
          <w:p>
            <w:pPr>
              <w:spacing w:after="40"/>
            </w:pPr>
            <w:r>
              <w:rPr>
                <w:sz w:val="18"/>
              </w:rPr>
            </w:r>
            <w:r>
              <w:rPr>
                <w:b/>
                <w:i w:val="0"/>
                <w:sz w:val="18"/>
              </w:rPr>
              <w:t>Lasts 12 hours and is dosed daily</w:t>
            </w:r>
            <w:r>
              <w:rPr>
                <w:b w:val="0"/>
                <w:i w:val="0"/>
                <w:sz w:val="18"/>
              </w:rPr>
              <w:t xml:space="preserve"> [slide 30]</w:t>
            </w:r>
          </w:p>
        </w:tc>
      </w:tr>
      <w:tr>
        <w:tc>
          <w:tcPr>
            <w:tcW w:type="dxa" w:w="7272"/>
          </w:tcPr>
          <w:p>
            <w:pPr>
              <w:spacing w:after="40"/>
            </w:pPr>
            <w:r>
              <w:rPr>
                <w:sz w:val="18"/>
              </w:rPr>
            </w:r>
            <w:r>
              <w:rPr>
                <w:b w:val="0"/>
                <w:i w:val="0"/>
                <w:sz w:val="18"/>
              </w:rPr>
              <w:t>Isosorbide dinitrate</w:t>
            </w:r>
          </w:p>
        </w:tc>
        <w:tc>
          <w:tcPr>
            <w:tcW w:type="dxa" w:w="7272"/>
          </w:tcPr>
          <w:p>
            <w:pPr>
              <w:spacing w:after="40"/>
            </w:pPr>
            <w:r>
              <w:rPr>
                <w:sz w:val="18"/>
              </w:rPr>
            </w:r>
            <w:r>
              <w:rPr>
                <w:b/>
                <w:i w:val="0"/>
                <w:sz w:val="18"/>
              </w:rPr>
              <w:t>Duration 3 to 6 hours and dosed three times daily</w:t>
            </w:r>
            <w:r>
              <w:rPr>
                <w:b w:val="0"/>
                <w:i w:val="0"/>
                <w:sz w:val="18"/>
              </w:rPr>
              <w:t xml:space="preserve"> [slide 30]</w:t>
            </w:r>
          </w:p>
        </w:tc>
      </w:tr>
      <w:tr>
        <w:tc>
          <w:tcPr>
            <w:tcW w:type="dxa" w:w="7272"/>
          </w:tcPr>
          <w:p>
            <w:pPr>
              <w:spacing w:after="40"/>
            </w:pPr>
            <w:r>
              <w:rPr>
                <w:sz w:val="18"/>
              </w:rPr>
            </w:r>
            <w:r>
              <w:rPr>
                <w:b w:val="0"/>
                <w:i w:val="0"/>
                <w:sz w:val="18"/>
              </w:rPr>
              <w:t>Nitroglycerin ointment (Nitro-Bid)</w:t>
            </w:r>
          </w:p>
        </w:tc>
        <w:tc>
          <w:tcPr>
            <w:tcW w:type="dxa" w:w="7272"/>
          </w:tcPr>
          <w:p>
            <w:pPr>
              <w:spacing w:after="40"/>
            </w:pPr>
            <w:r>
              <w:rPr>
                <w:sz w:val="18"/>
              </w:rPr>
            </w:r>
            <w:r>
              <w:rPr>
                <w:b w:val="0"/>
                <w:i w:val="0"/>
                <w:sz w:val="18"/>
              </w:rPr>
              <w:t xml:space="preserve">Squeeze onto the calibrated applicator paper; spread in a thin 2-inch by 2-inch layer on the chest; keep covered with the applicator paper; </w:t>
            </w:r>
            <w:r>
              <w:rPr>
                <w:b/>
                <w:i w:val="0"/>
                <w:sz w:val="18"/>
              </w:rPr>
              <w:t>wipe off the previous dose before adding a new dose</w:t>
            </w:r>
            <w:r>
              <w:rPr>
                <w:b w:val="0"/>
                <w:i w:val="0"/>
                <w:sz w:val="18"/>
              </w:rPr>
              <w:t>; 12 hours on, 12 hours off [slide 31]</w:t>
            </w:r>
          </w:p>
        </w:tc>
      </w:tr>
      <w:tr>
        <w:tc>
          <w:tcPr>
            <w:tcW w:type="dxa" w:w="7272"/>
          </w:tcPr>
          <w:p>
            <w:pPr>
              <w:spacing w:after="40"/>
            </w:pPr>
            <w:r>
              <w:rPr>
                <w:sz w:val="18"/>
              </w:rPr>
            </w:r>
            <w:r>
              <w:rPr>
                <w:b w:val="0"/>
                <w:i w:val="0"/>
                <w:sz w:val="18"/>
              </w:rPr>
              <w:t>Transdermal patch</w:t>
            </w:r>
          </w:p>
        </w:tc>
        <w:tc>
          <w:tcPr>
            <w:tcW w:type="dxa" w:w="7272"/>
          </w:tcPr>
          <w:p>
            <w:pPr>
              <w:spacing w:after="40"/>
            </w:pPr>
            <w:r>
              <w:rPr>
                <w:sz w:val="18"/>
              </w:rPr>
            </w:r>
            <w:r>
              <w:rPr>
                <w:b/>
                <w:i w:val="0"/>
                <w:sz w:val="18"/>
              </w:rPr>
              <w:t>12 hours on, 12 hours off</w:t>
            </w:r>
            <w:r>
              <w:rPr>
                <w:b w:val="0"/>
                <w:i w:val="0"/>
                <w:sz w:val="18"/>
              </w:rPr>
              <w:t xml:space="preserve"> [slide 31]</w:t>
            </w:r>
          </w:p>
        </w:tc>
      </w:tr>
      <w:tr>
        <w:tc>
          <w:tcPr>
            <w:tcW w:type="dxa" w:w="7272"/>
          </w:tcPr>
          <w:p>
            <w:pPr>
              <w:spacing w:after="40"/>
            </w:pPr>
            <w:r>
              <w:rPr>
                <w:sz w:val="18"/>
              </w:rPr>
            </w:r>
            <w:r>
              <w:rPr>
                <w:b w:val="0"/>
                <w:i w:val="0"/>
                <w:sz w:val="18"/>
              </w:rPr>
              <w:t>Adverse reactions</w:t>
            </w:r>
          </w:p>
        </w:tc>
        <w:tc>
          <w:tcPr>
            <w:tcW w:type="dxa" w:w="7272"/>
          </w:tcPr>
          <w:p>
            <w:pPr>
              <w:spacing w:after="40"/>
            </w:pPr>
            <w:r>
              <w:rPr>
                <w:sz w:val="18"/>
              </w:rPr>
            </w:r>
            <w:r>
              <w:rPr>
                <w:b/>
                <w:i w:val="0"/>
                <w:sz w:val="18"/>
              </w:rPr>
              <w:t>Headache, flushing, postural hypotension and reflex tachycardia</w:t>
            </w:r>
            <w:r>
              <w:rPr>
                <w:b w:val="0"/>
                <w:i w:val="0"/>
                <w:sz w:val="18"/>
              </w:rPr>
              <w:t xml:space="preserve"> (a reflex rise in heart rate, compensating for the fall in pressure)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39:19 of the recording: </w:t>
            </w:r>
            <w:r>
              <w:rPr>
                <w:b w:val="0"/>
                <w:i/>
              </w:rPr>
              <w:t>“This is usually like the third add-on medication in that list… usually adjunctive therapy, very rarely or not recommended as monotherapy.”</w:t>
            </w:r>
          </w:p>
          <w:p>
            <w:pPr>
              <w:spacing w:after="120"/>
            </w:pPr>
            <w:r>
              <w:rPr>
                <w:b w:val="0"/>
                <w:i w:val="0"/>
                <w:highlight w:val="yellow"/>
              </w:rPr>
              <w:t>Long-acting nitrates are usually the third add-on</w:t>
            </w:r>
            <w:r>
              <w:rPr>
                <w:b w:val="0"/>
                <w:i w:val="0"/>
              </w:rPr>
              <w:t>, after a beta blocker and a calcium channel blocker, and rarely or not recommended as monotherapy [slide 29].</w:t>
            </w:r>
          </w:p>
        </w:tc>
      </w:tr>
    </w:tbl>
    <w:p>
      <w:pPr>
        <w:spacing w:after="80"/>
      </w:pPr>
    </w:p>
    <w:p>
      <w:pPr>
        <w:pStyle w:val="Heading3"/>
        <w:spacing w:before="200" w:after="100"/>
      </w:pPr>
      <w:r>
        <w:rPr>
          <w:rFonts w:ascii="Georgia" w:hAnsi="Georgia"/>
          <w:color w:val="6B3524"/>
        </w:rPr>
        <w:t>Tachyphylaxis and the nitrate-free interval [slide 32]</w:t>
      </w:r>
    </w:p>
    <w:p>
      <w:pPr>
        <w:spacing w:after="120"/>
      </w:pPr>
      <w:r>
        <w:rPr>
          <w:b/>
          <w:i w:val="0"/>
        </w:rPr>
        <w:t>Tachyphylaxis</w:t>
      </w:r>
      <w:r>
        <w:rPr>
          <w:b w:val="0"/>
          <w:i w:val="0"/>
        </w:rPr>
        <w:t xml:space="preserve"> is the loss of effect with continued dosing; the slide lists it as a consideration with nitrates. Its mechanism is </w:t>
      </w:r>
      <w:r>
        <w:rPr>
          <w:b/>
          <w:i w:val="0"/>
        </w:rPr>
        <w:t>not fully understood</w:t>
      </w:r>
      <w:r>
        <w:rPr>
          <w:b w:val="0"/>
          <w:i w:val="0"/>
        </w:rPr>
        <w:t xml:space="preserve">. Proposed contributors are depletion of cofactors, stimulation of counter-regulatory responses (the renin-angiotensin system and the sympathetic nervous system), plasma volume expansion, and decreased enzyme activity. The management is a </w:t>
      </w:r>
      <w:r>
        <w:rPr>
          <w:b/>
          <w:i w:val="0"/>
        </w:rPr>
        <w:t>nitrate-free interval, placed when the patient has the lowest symptom frequency</w:t>
      </w:r>
      <w:r>
        <w:rPr>
          <w:b w:val="0"/>
          <w:i w:val="0"/>
        </w:rPr>
        <w:t>. That is why the ointment and the patch are worn 12 hours on and 12 hours 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42:42 of the recording: </w:t>
            </w:r>
            <w:r>
              <w:rPr>
                <w:b w:val="0"/>
                <w:i/>
              </w:rPr>
              <w:t>“Regardless, all you need to know is do the nitrate-free interval for 12 hours when the patient is least likely to have symptom frequency, usually when they’re asleep.”</w:t>
            </w:r>
          </w:p>
          <w:p>
            <w:pPr>
              <w:spacing w:after="120"/>
            </w:pPr>
            <w:r>
              <w:rPr>
                <w:b w:val="0"/>
                <w:i w:val="0"/>
              </w:rPr>
              <w:t xml:space="preserve">Tachyphylaxis is handled by </w:t>
            </w:r>
            <w:r>
              <w:rPr>
                <w:b w:val="0"/>
                <w:i w:val="0"/>
                <w:highlight w:val="yellow"/>
              </w:rPr>
              <w:t>12 hours on and 12 hours off</w:t>
            </w:r>
            <w:r>
              <w:rPr>
                <w:b w:val="0"/>
                <w:i w:val="0"/>
              </w:rPr>
              <w:t>, timed so the off period is when the patient is least likely to have chest pain, usually asleep [slide 32].</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The slides give routes and durations only. Short-acting nitroglycerin is taken under the tongue as a tablet or a spray [slides 27 and 28]. Long-acting nitrates come as isosorbide mononitrate (12 hours) and isosorbide dinitrate (3 to 6 hours), and as nitroglycerin ointment and a transdermal patch worn 12 hours on and 12 hours off [slides 30 and 31]. In acute coronary syndrome the sublingual route is followed by an intravenous infusion in the hospital [slide 54]. No metabolism or excretion is given.</w:t>
      </w:r>
    </w:p>
    <w:p>
      <w:pPr>
        <w:spacing w:after="120"/>
      </w:pPr>
      <w:r>
        <w:rPr>
          <w:b/>
          <w:i w:val="0"/>
        </w:rPr>
        <w:t>Long-acting nitrates are usually used as add-on (adjunctive) therapy</w:t>
      </w:r>
      <w:r>
        <w:rPr>
          <w:b w:val="0"/>
          <w:i w:val="0"/>
        </w:rPr>
        <w:t xml:space="preserve">, added when a beta blocker or calcium channel blocker is not enough [slide 29]. </w:t>
      </w:r>
      <w:r>
        <w:rPr>
          <w:b/>
          <w:i w:val="0"/>
        </w:rPr>
        <w:t>Nitrates lower left ventricular volume the most of the three antianginal classes</w:t>
      </w:r>
      <w:r>
        <w:rPr>
          <w:b w:val="0"/>
          <w:i w:val="0"/>
        </w:rPr>
        <w:t xml:space="preserve">, which lowers wall tension, while the heart rate rises [slides 6 and 25]. </w:t>
      </w:r>
      <w:r>
        <w:rPr>
          <w:b/>
          <w:i w:val="0"/>
        </w:rPr>
        <w:t>Reflex tachycardia</w:t>
      </w:r>
      <w:r>
        <w:rPr>
          <w:b w:val="0"/>
          <w:i w:val="0"/>
        </w:rPr>
        <w:t xml:space="preserve"> is a nitrate adverse reaction, a reflex rise in heart rate that follows the fall in blood pressure; it is listed with headache, flushing and postural hypotension [slide 31]. </w:t>
      </w:r>
      <w:r>
        <w:rPr>
          <w:b/>
          <w:i w:val="0"/>
        </w:rPr>
        <w:t>In acute coronary syndrome, nitroglycerin and the other nitrates relieve chest pain but show no mortality benefit</w:t>
      </w:r>
      <w:r>
        <w:rPr>
          <w:b w:val="0"/>
          <w:i w:val="0"/>
        </w:rPr>
        <w:t>; they start sublingually and move to an intravenous infusion in hospital [slides 52 and 54].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33:39 of the recording: </w:t>
            </w:r>
            <w:r>
              <w:rPr>
                <w:b w:val="0"/>
                <w:i/>
              </w:rPr>
              <w:t>“The problem comes when you do both of these together… that can lead to profound hypotension… if the answer is yes, you cannot give them a nitrate, because it will synergize, it’ll drop their blood pressure, they could die.”</w:t>
            </w:r>
          </w:p>
          <w:p>
            <w:pPr>
              <w:spacing w:after="120"/>
            </w:pPr>
            <w:r>
              <w:rPr>
                <w:b w:val="0"/>
                <w:i w:val="0"/>
              </w:rPr>
              <w:t xml:space="preserve">Sildenafil, tadalafil and vardenafil with any nitrate: </w:t>
            </w:r>
            <w:r>
              <w:rPr>
                <w:b w:val="0"/>
                <w:i w:val="0"/>
                <w:highlight w:val="yellow"/>
              </w:rPr>
              <w:t>contraindicated</w:t>
            </w:r>
            <w:r>
              <w:rPr>
                <w:b w:val="0"/>
                <w:i w:val="0"/>
              </w:rPr>
              <w:t>, with hypotension, myocardial infarction and stroke as the risk [slide 33]. He said the patient should be asked, bluntly if needed.</w:t>
            </w:r>
          </w:p>
        </w:tc>
      </w:tr>
    </w:tbl>
    <w:p>
      <w:pPr>
        <w:spacing w:after="80"/>
      </w:pPr>
    </w:p>
    <w:p>
      <w:pPr>
        <w:pStyle w:val="Heading3"/>
        <w:spacing w:before="200" w:after="100"/>
      </w:pPr>
      <w:r>
        <w:rPr>
          <w:rFonts w:ascii="Georgia" w:hAnsi="Georgia"/>
          <w:color w:val="6B3524"/>
        </w:rPr>
        <w:t>Contraindications (Objective 7) [slide 33]</w:t>
      </w:r>
    </w:p>
    <w:p>
      <w:pPr>
        <w:spacing w:after="120"/>
      </w:pPr>
      <w:r>
        <w:rPr>
          <w:b w:val="0"/>
          <w:i w:val="0"/>
        </w:rPr>
        <w:t xml:space="preserve">A nitrate, including nitroglycerin, is contraindicated in </w:t>
      </w:r>
      <w:r>
        <w:rPr>
          <w:b/>
          <w:i w:val="0"/>
        </w:rPr>
        <w:t>obstructive cardiomyopathy</w:t>
      </w:r>
      <w:r>
        <w:rPr>
          <w:b w:val="0"/>
          <w:i w:val="0"/>
        </w:rPr>
        <w:t xml:space="preserve">, in </w:t>
      </w:r>
      <w:r>
        <w:rPr>
          <w:b/>
          <w:i w:val="0"/>
        </w:rPr>
        <w:t>aortic valve stenosis</w:t>
      </w:r>
      <w:r>
        <w:rPr>
          <w:b w:val="0"/>
          <w:i w:val="0"/>
        </w:rPr>
        <w:t xml:space="preserve">, and with </w:t>
      </w:r>
      <w:r>
        <w:rPr>
          <w:b/>
          <w:i w:val="0"/>
        </w:rPr>
        <w:t>phosphodiesterase type 5 inhibitors</w:t>
      </w:r>
      <w:r>
        <w:rPr>
          <w:b w:val="0"/>
          <w:i w:val="0"/>
        </w:rPr>
        <w:t>.</w:t>
      </w:r>
    </w:p>
    <w:p>
      <w:pPr>
        <w:pStyle w:val="ListBullet"/>
        <w:spacing w:after="40"/>
      </w:pPr>
      <w:r>
        <w:rPr>
          <w:b/>
          <w:i w:val="0"/>
          <w:sz w:val="20"/>
        </w:rPr>
        <w:t>Aortic valve stenosis is a contraindication to nitrates.</w:t>
      </w:r>
    </w:p>
    <w:p>
      <w:pPr>
        <w:pStyle w:val="ListBullet"/>
        <w:spacing w:after="40"/>
      </w:pPr>
      <w:r>
        <w:rPr>
          <w:b/>
          <w:i w:val="0"/>
          <w:sz w:val="20"/>
        </w:rPr>
        <w:t>Obstructive cardiomyopathy is a contraindication to nitrates.</w:t>
      </w:r>
    </w:p>
    <w:p>
      <w:pPr>
        <w:pStyle w:val="ListBullet"/>
        <w:spacing w:after="40"/>
      </w:pPr>
      <w:r>
        <w:rPr>
          <w:b/>
          <w:i w:val="0"/>
          <w:sz w:val="20"/>
        </w:rPr>
        <w:t>Concurrent use of phosphodiesterase inhibitors: sildenafil (Viagra), tadalafil (Cialis) and vardenafil (Levitra).</w:t>
      </w:r>
      <w:r>
        <w:rPr>
          <w:b w:val="0"/>
          <w:i w:val="0"/>
          <w:sz w:val="20"/>
        </w:rPr>
        <w:t xml:space="preserve"> Concurrent use may lead to hypotension and myocardial infarction or stroke.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nitrate contraindications.</w:t>
            </w:r>
            <w:r>
              <w:rPr>
                <w:b w:val="0"/>
                <w:i w:val="0"/>
              </w:rPr>
              <w:t xml:space="preserve"> Slide 33 lists aortic valve stenosis and obstructive cardiomyopathy as contraindications. Current labeling treats severe aortic stenosis and obstructive cardiomyopathy as conditions to avoid or use with great caution, because nitrates can drop the blood pressure and worsen the outflow obstruction. The phosphodiesterase type 5 inhibitor combination is the absolute one.</w:t>
            </w:r>
          </w:p>
        </w:tc>
      </w:tr>
    </w:tbl>
    <w:p>
      <w:pPr>
        <w:spacing w:after="80"/>
      </w:pPr>
    </w:p>
    <w:p>
      <w:pPr>
        <w:pStyle w:val="Heading2"/>
        <w:spacing w:before="200" w:after="100"/>
      </w:pPr>
      <w:r>
        <w:rPr>
          <w:rFonts w:ascii="Georgia" w:hAnsi="Georgia"/>
          <w:color w:val="6B3524"/>
        </w:rPr>
        <w:t>5.5 · Objectives 1–3 and 7 — Add-on therapy, comorbid conditions and variant angina</w:t>
      </w:r>
    </w:p>
    <w:p>
      <w:pPr>
        <w:spacing w:after="120"/>
      </w:pPr>
      <w:r>
        <w:rPr>
          <w:b w:val="0"/>
          <w:i w:val="0"/>
        </w:rPr>
        <w:t>Also tested</w:t>
      </w:r>
    </w:p>
    <w:p>
      <w:pPr>
        <w:pStyle w:val="ListBullet"/>
        <w:spacing w:after="40"/>
      </w:pPr>
      <w:r>
        <w:rPr>
          <w:b/>
          <w:i w:val="0"/>
          <w:sz w:val="20"/>
        </w:rPr>
        <w:t>After a myocardial infarction, calcium channel blockers are the class to avoid.</w:t>
      </w:r>
      <w:r>
        <w:rPr>
          <w:b w:val="0"/>
          <w:i w:val="0"/>
          <w:sz w:val="20"/>
        </w:rPr>
        <w:t xml:space="preserve"> The traditional comorbidity table says to avoid calcium channel blockers after an infarction and to prefer a beta blocker. Current practice is less absolute and allows a non-dihydropyridine when a beta blocker cannot be used.</w:t>
      </w:r>
    </w:p>
    <w:p>
      <w:pPr>
        <w:pStyle w:val="Heading3"/>
        <w:spacing w:before="200" w:after="100"/>
      </w:pPr>
      <w:r>
        <w:rPr>
          <w:rFonts w:ascii="Georgia" w:hAnsi="Georgia"/>
          <w:color w:val="6B3524"/>
        </w:rPr>
        <w:t>Combination therapy [slide 36]</w:t>
      </w:r>
    </w:p>
    <w:p>
      <w:pPr>
        <w:spacing w:after="120"/>
      </w:pPr>
      <w:r>
        <w:rPr>
          <w:b w:val="0"/>
          <w:i w:val="0"/>
        </w:rPr>
        <w:t xml:space="preserve">Consider combination therapy </w:t>
      </w:r>
      <w:r>
        <w:rPr>
          <w:b/>
          <w:i w:val="0"/>
        </w:rPr>
        <w:t>if angina persists with monotherapy</w:t>
      </w:r>
      <w:r>
        <w:rPr>
          <w:b w:val="0"/>
          <w:i w:val="0"/>
        </w:rPr>
        <w:t xml:space="preserve"> [slide 36]. A beta blocker and a calcium channel blocker may be combined if the patient can tolerate it, and there is some evidence that this increases exercise duration [slide 36]. If a </w:t>
      </w:r>
      <w:r>
        <w:rPr>
          <w:b/>
          <w:i w:val="0"/>
        </w:rPr>
        <w:t>third agent</w:t>
      </w:r>
      <w:r>
        <w:rPr>
          <w:b w:val="0"/>
          <w:i w:val="0"/>
        </w:rPr>
        <w:t xml:space="preserve"> seems needed, the patient probably needs further workup, such as angiography [slide 36]. (In practice the calcium channel blocker paired with a beta blocker is a dihydropyridine, as slide 22 says.)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14:21 of the recording: </w:t>
            </w:r>
            <w:r>
              <w:rPr>
                <w:b w:val="0"/>
                <w:i/>
              </w:rPr>
              <w:t>“How do we sequence these medications, in what order do you use these… that was really easy for test questions where I can say, okay, well, patient’s already on this and they’re not really at goal, what do you want to do next? Or they’re intolerant to this, what do you want to switch to?”</w:t>
            </w:r>
          </w:p>
          <w:p>
            <w:pPr>
              <w:spacing w:after="120"/>
            </w:pPr>
            <w:r>
              <w:rPr>
                <w:b w:val="0"/>
                <w:i w:val="0"/>
              </w:rPr>
              <w:t xml:space="preserve">Two stem shapes: </w:t>
            </w:r>
            <w:r>
              <w:rPr>
                <w:b w:val="0"/>
                <w:i w:val="0"/>
                <w:highlight w:val="yellow"/>
              </w:rPr>
              <w:t>add-on</w:t>
            </w:r>
            <w:r>
              <w:rPr>
                <w:b w:val="0"/>
                <w:i w:val="0"/>
              </w:rPr>
              <w:t xml:space="preserve"> (beta blocker, then a dihydropyridine calcium channel blocker, then a long-acting nitrate) and </w:t>
            </w:r>
            <w:r>
              <w:rPr>
                <w:b w:val="0"/>
                <w:i w:val="0"/>
                <w:highlight w:val="yellow"/>
              </w:rPr>
              <w:t>switch</w:t>
            </w:r>
            <w:r>
              <w:rPr>
                <w:b w:val="0"/>
                <w:i w:val="0"/>
              </w:rPr>
              <w:t xml:space="preserve"> (beta blocker not tolerated, so a non-dihydropyridine calcium channel blocker) [slides 22, 29 and 36].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46:55 of the recording: </w:t>
            </w:r>
            <w:r>
              <w:rPr>
                <w:b w:val="0"/>
                <w:i/>
              </w:rPr>
              <w:t>“If you see anyone who’s on a beta blocker plus a non-DHP, you’re just kind of begging for trouble with that kind of combination… if you need a third agent you probably need further workup.”</w:t>
            </w:r>
          </w:p>
          <w:p>
            <w:pPr>
              <w:spacing w:after="120"/>
            </w:pPr>
            <w:r>
              <w:rPr>
                <w:b w:val="0"/>
                <w:i w:val="0"/>
              </w:rPr>
              <w:t xml:space="preserve">Dihydropyridine plus a beta blocker is the sensible pair; a beta blocker with a non-dihydropyridine is avoided; </w:t>
            </w:r>
            <w:r>
              <w:rPr>
                <w:b w:val="0"/>
                <w:i w:val="0"/>
                <w:highlight w:val="yellow"/>
              </w:rPr>
              <w:t>a third agent means further workup</w:t>
            </w:r>
            <w:r>
              <w:rPr>
                <w:b w:val="0"/>
                <w:i w:val="0"/>
              </w:rPr>
              <w:t xml:space="preserve"> such as angiography [slide 36].</w:t>
            </w:r>
          </w:p>
        </w:tc>
      </w:tr>
    </w:tbl>
    <w:p>
      <w:pPr>
        <w:spacing w:after="80"/>
      </w:pPr>
    </w:p>
    <w:p>
      <w:pPr>
        <w:pStyle w:val="Heading3"/>
        <w:spacing w:before="200" w:after="100"/>
      </w:pPr>
      <w:r>
        <w:rPr>
          <w:rFonts w:ascii="Georgia" w:hAnsi="Georgia"/>
          <w:color w:val="6B3524"/>
        </w:rPr>
        <w:t>Which drug for which comorbid condition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Comorbid condition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Alternative</w:t>
            </w:r>
          </w:p>
        </w:tc>
        <w:tc>
          <w:tcPr>
            <w:tcW w:type="dxa" w:w="3636"/>
            <w:shd w:val="clear" w:color="auto" w:fill="6B3524"/>
          </w:tcPr>
          <w:p>
            <w:pPr>
              <w:spacing w:after="40"/>
            </w:pPr>
            <w:r>
              <w:rPr>
                <w:b/>
                <w:color w:val="FFFFFF"/>
                <w:sz w:val="18"/>
              </w:rPr>
            </w:r>
            <w:r>
              <w:rPr>
                <w:b/>
                <w:i w:val="0"/>
                <w:color w:val="FFFFFF"/>
                <w:sz w:val="18"/>
              </w:rPr>
              <w:t>Avoid</w:t>
            </w:r>
          </w:p>
        </w:tc>
      </w:tr>
      <w:tr>
        <w:tc>
          <w:tcPr>
            <w:tcW w:type="dxa" w:w="3636"/>
          </w:tcPr>
          <w:p>
            <w:pPr>
              <w:spacing w:after="40"/>
            </w:pPr>
            <w:r>
              <w:rPr>
                <w:sz w:val="18"/>
              </w:rPr>
            </w:r>
            <w:r>
              <w:rPr>
                <w:b/>
                <w:i w:val="0"/>
                <w:sz w:val="18"/>
              </w:rPr>
              <w:t>Hypertension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Non-dihydropyridine calcium channel blocker</w:t>
            </w:r>
          </w:p>
        </w:tc>
        <w:tc>
          <w:tcPr>
            <w:tcW w:type="dxa" w:w="3636"/>
          </w:tcPr>
          <w:p>
            <w:pPr>
              <w:spacing w:after="40"/>
            </w:pPr>
            <w:r>
              <w:rPr>
                <w:sz w:val="18"/>
              </w:rPr>
            </w:r>
            <w:r>
              <w:rPr>
                <w:b w:val="0"/>
                <w:i w:val="0"/>
                <w:sz w:val="18"/>
              </w:rPr>
              <w:t>None listed</w:t>
            </w:r>
          </w:p>
        </w:tc>
      </w:tr>
      <w:tr>
        <w:tc>
          <w:tcPr>
            <w:tcW w:type="dxa" w:w="3636"/>
          </w:tcPr>
          <w:p>
            <w:pPr>
              <w:spacing w:after="40"/>
            </w:pPr>
            <w:r>
              <w:rPr>
                <w:sz w:val="18"/>
              </w:rPr>
            </w:r>
            <w:r>
              <w:rPr>
                <w:b/>
                <w:i w:val="0"/>
                <w:sz w:val="18"/>
              </w:rPr>
              <w:t>Prior myocardial infarction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val="0"/>
                <w:i w:val="0"/>
                <w:sz w:val="18"/>
              </w:rPr>
              <w:t>Calcium channel blockers (the course cell; see the box below)</w:t>
            </w:r>
          </w:p>
        </w:tc>
      </w:tr>
      <w:tr>
        <w:tc>
          <w:tcPr>
            <w:tcW w:type="dxa" w:w="3636"/>
          </w:tcPr>
          <w:p>
            <w:pPr>
              <w:spacing w:after="40"/>
            </w:pPr>
            <w:r>
              <w:rPr>
                <w:sz w:val="18"/>
              </w:rPr>
            </w:r>
            <w:r>
              <w:rPr>
                <w:b/>
                <w:i w:val="0"/>
                <w:sz w:val="18"/>
              </w:rPr>
              <w:t>Decreased left ventricular function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Amlodipine</w:t>
            </w:r>
          </w:p>
        </w:tc>
        <w:tc>
          <w:tcPr>
            <w:tcW w:type="dxa" w:w="3636"/>
          </w:tcPr>
          <w:p>
            <w:pPr>
              <w:spacing w:after="40"/>
            </w:pPr>
            <w:r>
              <w:rPr>
                <w:sz w:val="18"/>
              </w:rPr>
            </w:r>
            <w:r>
              <w:rPr>
                <w:b w:val="0"/>
                <w:i w:val="0"/>
                <w:sz w:val="18"/>
              </w:rPr>
              <w:t>Other calcium channel blockers</w:t>
            </w:r>
          </w:p>
        </w:tc>
      </w:tr>
      <w:tr>
        <w:tc>
          <w:tcPr>
            <w:tcW w:type="dxa" w:w="3636"/>
          </w:tcPr>
          <w:p>
            <w:pPr>
              <w:spacing w:after="40"/>
            </w:pPr>
            <w:r>
              <w:rPr>
                <w:sz w:val="18"/>
              </w:rPr>
            </w:r>
            <w:r>
              <w:rPr>
                <w:b/>
                <w:i w:val="0"/>
                <w:sz w:val="18"/>
              </w:rPr>
              <w:t>Bradycardia or atrioventricular block</w:t>
            </w:r>
          </w:p>
        </w:tc>
        <w:tc>
          <w:tcPr>
            <w:tcW w:type="dxa" w:w="3636"/>
          </w:tcPr>
          <w:p>
            <w:pPr>
              <w:spacing w:after="40"/>
            </w:pPr>
            <w:r>
              <w:rPr>
                <w:sz w:val="18"/>
              </w:rPr>
            </w:r>
            <w:r>
              <w:rPr>
                <w:b w:val="0"/>
                <w:i w:val="0"/>
                <w:sz w:val="18"/>
              </w:rPr>
              <w:t>Dihydropyridine calcium channel blocker</w:t>
            </w:r>
          </w:p>
        </w:tc>
        <w:tc>
          <w:tcPr>
            <w:tcW w:type="dxa" w:w="3636"/>
          </w:tcPr>
          <w:p>
            <w:pPr>
              <w:spacing w:after="40"/>
            </w:pPr>
            <w:r>
              <w:rPr>
                <w:sz w:val="18"/>
              </w:rPr>
            </w:r>
            <w:r>
              <w:rPr>
                <w:b w:val="0"/>
                <w:i w:val="0"/>
                <w:sz w:val="18"/>
              </w:rPr>
              <w:t>Long-acting nitrate</w:t>
            </w:r>
          </w:p>
        </w:tc>
        <w:tc>
          <w:tcPr>
            <w:tcW w:type="dxa" w:w="3636"/>
          </w:tcPr>
          <w:p>
            <w:pPr>
              <w:spacing w:after="40"/>
            </w:pPr>
            <w:r>
              <w:rPr>
                <w:sz w:val="18"/>
              </w:rPr>
            </w:r>
            <w:r>
              <w:rPr>
                <w:b w:val="0"/>
                <w:i w:val="0"/>
                <w:sz w:val="18"/>
              </w:rPr>
              <w:t>Non-dihydropyridines and beta blockers</w:t>
            </w:r>
          </w:p>
        </w:tc>
      </w:tr>
      <w:tr>
        <w:tc>
          <w:tcPr>
            <w:tcW w:type="dxa" w:w="3636"/>
          </w:tcPr>
          <w:p>
            <w:pPr>
              <w:spacing w:after="40"/>
            </w:pPr>
            <w:r>
              <w:rPr>
                <w:sz w:val="18"/>
              </w:rPr>
            </w:r>
            <w:r>
              <w:rPr>
                <w:b/>
                <w:i w:val="0"/>
                <w:sz w:val="18"/>
              </w:rPr>
              <w:t>Diabetes</w:t>
            </w:r>
          </w:p>
        </w:tc>
        <w:tc>
          <w:tcPr>
            <w:tcW w:type="dxa" w:w="3636"/>
          </w:tcPr>
          <w:p>
            <w:pPr>
              <w:spacing w:after="40"/>
            </w:pPr>
            <w:r>
              <w:rPr>
                <w:sz w:val="18"/>
              </w:rPr>
            </w:r>
            <w:r>
              <w:rPr>
                <w:b w:val="0"/>
                <w:i w:val="0"/>
                <w:sz w:val="18"/>
              </w:rPr>
              <w:t>Non-dihydropyridine (the course cell; see the box below)</w:t>
            </w:r>
          </w:p>
        </w:tc>
        <w:tc>
          <w:tcPr>
            <w:tcW w:type="dxa" w:w="3636"/>
          </w:tcPr>
          <w:p>
            <w:pPr>
              <w:spacing w:after="40"/>
            </w:pPr>
            <w:r>
              <w:rPr>
                <w:sz w:val="18"/>
              </w:rPr>
            </w:r>
            <w:r>
              <w:rPr>
                <w:b w:val="0"/>
                <w:i w:val="0"/>
                <w:sz w:val="18"/>
              </w:rPr>
              <w:t>Long-acting nitrate; cardioselective beta blocker</w:t>
            </w:r>
          </w:p>
        </w:tc>
        <w:tc>
          <w:tcPr>
            <w:tcW w:type="dxa" w:w="3636"/>
          </w:tcPr>
          <w:p>
            <w:pPr>
              <w:spacing w:after="40"/>
            </w:pPr>
            <w:r>
              <w:rPr>
                <w:sz w:val="18"/>
              </w:rPr>
            </w:r>
            <w:r>
              <w:rPr>
                <w:b w:val="0"/>
                <w:i w:val="0"/>
                <w:sz w:val="18"/>
              </w:rPr>
              <w:t>Non-cardioselective beta blocker</w:t>
            </w:r>
          </w:p>
        </w:tc>
      </w:tr>
      <w:tr>
        <w:tc>
          <w:tcPr>
            <w:tcW w:type="dxa" w:w="3636"/>
          </w:tcPr>
          <w:p>
            <w:pPr>
              <w:spacing w:after="40"/>
            </w:pPr>
            <w:r>
              <w:rPr>
                <w:sz w:val="18"/>
              </w:rPr>
            </w:r>
            <w:r>
              <w:rPr>
                <w:b/>
                <w:i w:val="0"/>
                <w:sz w:val="18"/>
              </w:rPr>
              <w:t>Asthma</w:t>
            </w:r>
          </w:p>
        </w:tc>
        <w:tc>
          <w:tcPr>
            <w:tcW w:type="dxa" w:w="3636"/>
          </w:tcPr>
          <w:p>
            <w:pPr>
              <w:spacing w:after="40"/>
            </w:pPr>
            <w:r>
              <w:rPr>
                <w:sz w:val="18"/>
              </w:rPr>
            </w:r>
            <w:r>
              <w:rPr>
                <w:b w:val="0"/>
                <w:i w:val="0"/>
                <w:sz w:val="18"/>
              </w:rPr>
              <w:t>Non-dihydropyridine and cardioselective 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i w:val="0"/>
                <w:sz w:val="18"/>
              </w:rPr>
              <w:t>Non-cardioselective beta blocker</w:t>
            </w:r>
          </w:p>
        </w:tc>
      </w:tr>
    </w:tbl>
    <w:p>
      <w:pPr>
        <w:spacing w:after="80"/>
      </w:pPr>
    </w:p>
    <w:p>
      <w:pPr>
        <w:spacing w:after="120"/>
      </w:pPr>
      <w:r>
        <w:rPr>
          <w:b w:val="0"/>
          <w:i w:val="0"/>
        </w:rPr>
        <w:t xml:space="preserve">Where the table and current practice agree: a </w:t>
      </w:r>
      <w:r>
        <w:rPr>
          <w:b/>
          <w:i w:val="0"/>
        </w:rPr>
        <w:t>beta blocker is first line after a myocardial infarction, with hypertension, and with reduced left ventricular function</w:t>
      </w:r>
      <w:r>
        <w:rPr>
          <w:b w:val="0"/>
          <w:i w:val="0"/>
        </w:rPr>
        <w:t xml:space="preserve"> (amlodipine is the calcium channel blocker alternative there and the other calcium channel blockers are avoided); a </w:t>
      </w:r>
      <w:r>
        <w:rPr>
          <w:b/>
          <w:i w:val="0"/>
        </w:rPr>
        <w:t>dihydropyridine is first line with bradycardia or atrioventricular block, and non-dihydropyridines and beta blockers are avoided</w:t>
      </w:r>
      <w:r>
        <w:rPr>
          <w:b w:val="0"/>
          <w:i w:val="0"/>
        </w:rPr>
        <w:t xml:space="preserve">; and a </w:t>
      </w:r>
      <w:r>
        <w:rPr>
          <w:b/>
          <w:i w:val="0"/>
        </w:rPr>
        <w:t>non-cardioselective beta blocker is avoided in asthma</w:t>
      </w:r>
      <w:r>
        <w:rPr>
          <w:b w:val="0"/>
          <w:i w:val="0"/>
        </w:rPr>
        <w:t xml:space="preserve"> [slide 34]. Slide 18 lists reactive airway disease as a beta blocker precaution, which agrees. In asthma the cardioselective beta blockers the table lists are used with caution [slides 18 and 34]. In a patient with angina and asthma, </w:t>
      </w:r>
      <w:r>
        <w:rPr>
          <w:b/>
          <w:i w:val="0"/>
        </w:rPr>
        <w:t>non-selective beta blockers such as propranolol are avoided</w:t>
      </w:r>
      <w:r>
        <w:rPr>
          <w:b w:val="0"/>
          <w:i w:val="0"/>
        </w:rPr>
        <w:t>, while cardioselective beta blockers and non-dihydropyridine calcium channel blockers remain options [slide 34].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Course rule versus current practice — two cells of the comorbidity table.</w:t>
            </w:r>
          </w:p>
          <w:p>
            <w:pPr>
              <w:pStyle w:val="ListBullet"/>
              <w:spacing w:after="40"/>
            </w:pPr>
            <w:r>
              <w:rPr>
                <w:b/>
                <w:i w:val="0"/>
                <w:sz w:val="20"/>
              </w:rPr>
              <w:t>Prior myocardial infarction → “avoid calcium channel blockers.”</w:t>
            </w:r>
            <w:r>
              <w:rPr>
                <w:b w:val="0"/>
                <w:i w:val="0"/>
                <w:sz w:val="20"/>
              </w:rPr>
              <w:t xml:space="preserve"> The course teaches this: after an infarction a beta blocker is first line and calcium channel blockers are the class to avoid, because the mortality evidence favors the beta blocker. </w:t>
            </w:r>
            <w:r>
              <w:rPr>
                <w:b/>
                <w:i w:val="0"/>
                <w:sz w:val="20"/>
              </w:rPr>
              <w:t>Learn it as the exam answer.</w:t>
            </w:r>
            <w:r>
              <w:rPr>
                <w:b w:val="0"/>
                <w:i w:val="0"/>
                <w:sz w:val="20"/>
              </w:rPr>
              <w:t xml:space="preserve"> Current practice is less absolute: a non-dihydropyridine is a reasonable substitute when a beta blocker is contraindicated (slide 22) and left ventricular function is normal; what is avoided is short-acting nifedipine and, with reduced function, the non-dihydropyridines.</w:t>
            </w:r>
          </w:p>
          <w:p>
            <w:pPr>
              <w:pStyle w:val="ListBullet"/>
              <w:spacing w:after="40"/>
            </w:pPr>
            <w:r>
              <w:rPr>
                <w:b/>
                <w:i w:val="0"/>
                <w:sz w:val="20"/>
              </w:rPr>
              <w:t>Diabetes → “non-dihydropyridine first line; alternatives long-acting nitrate and cardioselective beta blocker; avoid non-cardioselective beta blocker.”</w:t>
            </w:r>
            <w:r>
              <w:rPr>
                <w:b w:val="0"/>
                <w:i w:val="0"/>
                <w:sz w:val="20"/>
              </w:rPr>
              <w:t xml:space="preserve"> The course teaches this too (he gave the reason: beta blockers can raise blood sugar and mask the signs of hypoglycemia, so be cautious unless there is another reason for one). </w:t>
            </w:r>
            <w:r>
              <w:rPr>
                <w:b/>
                <w:i w:val="0"/>
                <w:sz w:val="20"/>
              </w:rPr>
              <w:t>Learn it as the exam answer.</w:t>
            </w:r>
            <w:r>
              <w:rPr>
                <w:b w:val="0"/>
                <w:i w:val="0"/>
                <w:sz w:val="20"/>
              </w:rPr>
              <w:t xml:space="preserve"> Current practice is more flexible: a cardioselective beta blocker remains a sound first choice in a patient with diabetes and angina, and diabetes alone is not a reason to put a non-dihydropyridine ahead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43:30 of the recording: </w:t>
            </w:r>
            <w:r>
              <w:rPr>
                <w:b w:val="0"/>
                <w:i/>
              </w:rPr>
              <w:t>“This is a really good table for your anti-anginals… come back to this, because this is like a cornucopia of test questions could come from something like this.”</w:t>
            </w:r>
          </w:p>
          <w:p>
            <w:pPr>
              <w:spacing w:after="120"/>
            </w:pPr>
            <w:r>
              <w:rPr>
                <w:b w:val="0"/>
                <w:i w:val="0"/>
              </w:rPr>
              <w:t xml:space="preserve">At 44:16 of the recording: </w:t>
            </w:r>
            <w:r>
              <w:rPr>
                <w:b w:val="0"/>
                <w:i/>
              </w:rPr>
              <w:t>“For things to avoid, for prior MI, calcium channel blockers kind of in general, we really prefer beta blockers just from the evidence that we have in terms of mortality… be very cautious.”</w:t>
            </w:r>
          </w:p>
          <w:p>
            <w:pPr>
              <w:spacing w:after="120"/>
            </w:pPr>
            <w:r>
              <w:rPr>
                <w:b/>
                <w:i w:val="0"/>
              </w:rPr>
              <w:t>He read every row, and the course keys them as he read them.</w:t>
            </w:r>
            <w:r>
              <w:rPr>
                <w:b w:val="0"/>
                <w:i w:val="0"/>
              </w:rPr>
              <w:t xml:space="preserve"> He walked the table row by row and called it a cornucopia of test questions: hypertension, reduced left ventricular function and (after a myocardial infarction) a prior infarction all point to a beta blocker; bradycardia or block points to a dihydropyridine; asthma points to a cardioselective beta blocker or a non-dihydropyridine [slide 34]. He also read the prior-infarction cell (avoid calcium channel blockers) and, essentially as the slide words it, the diabetes cell (non-dihydropyridine first line): learn those two as the course has them; the box above says where current practice differs.</w:t>
            </w:r>
          </w:p>
        </w:tc>
      </w:tr>
    </w:tbl>
    <w:p>
      <w:pPr>
        <w:spacing w:after="80"/>
      </w:pPr>
    </w:p>
    <w:p>
      <w:pPr>
        <w:pStyle w:val="Heading3"/>
        <w:spacing w:before="200" w:after="100"/>
      </w:pPr>
      <w:r>
        <w:rPr>
          <w:rFonts w:ascii="Georgia" w:hAnsi="Georgia"/>
          <w:color w:val="6B3524"/>
        </w:rPr>
        <w:t>Angiotensin-converting enzyme inhibitors [slide 35]</w:t>
      </w:r>
    </w:p>
    <w:p>
      <w:pPr>
        <w:spacing w:after="120"/>
      </w:pPr>
      <w:r>
        <w:rPr>
          <w:b w:val="0"/>
          <w:i w:val="0"/>
        </w:rPr>
        <w:t xml:space="preserve">These are used in patients with coronary artery disease who also have </w:t>
      </w:r>
      <w:r>
        <w:rPr>
          <w:b/>
          <w:i w:val="0"/>
        </w:rPr>
        <w:t>diabetes and/or left ventricular systolic dysfunction</w:t>
      </w:r>
      <w:r>
        <w:rPr>
          <w:b w:val="0"/>
          <w:i w:val="0"/>
        </w:rPr>
        <w:t xml:space="preserve"> [slide 35]. They </w:t>
      </w:r>
      <w:r>
        <w:rPr>
          <w:b/>
          <w:i w:val="0"/>
        </w:rPr>
        <w:t>do not significantly affect myocardial oxygen consumption</w:t>
      </w:r>
      <w:r>
        <w:rPr>
          <w:b w:val="0"/>
          <w:i w:val="0"/>
        </w:rPr>
        <w:t xml:space="preserve"> and </w:t>
      </w:r>
      <w:r>
        <w:rPr>
          <w:b/>
          <w:i w:val="0"/>
        </w:rPr>
        <w:t>do not relieve the symptoms of angina</w:t>
      </w:r>
      <w:r>
        <w:rPr>
          <w:b w:val="0"/>
          <w:i w:val="0"/>
        </w:rPr>
        <w:t xml:space="preserve"> [slide 35]. They </w:t>
      </w:r>
      <w:r>
        <w:rPr>
          <w:b/>
          <w:i w:val="0"/>
        </w:rPr>
        <w:t>may help prevent progression of coronary artery disease</w:t>
      </w:r>
      <w:r>
        <w:rPr>
          <w:b w:val="0"/>
          <w:i w:val="0"/>
        </w:rPr>
        <w:t xml:space="preserve"> [slide 35]. They should be used </w:t>
      </w:r>
      <w:r>
        <w:rPr>
          <w:b/>
          <w:i w:val="0"/>
        </w:rPr>
        <w:t>indefinitely</w:t>
      </w:r>
      <w:r>
        <w:rPr>
          <w:b w:val="0"/>
          <w:i w:val="0"/>
        </w:rPr>
        <w:t xml:space="preserve"> after a myocardial infarction, with left ventricular dysfunction, or with diabetes [slide 35]. They should be considered in </w:t>
      </w:r>
      <w:r>
        <w:rPr>
          <w:b/>
          <w:i w:val="0"/>
        </w:rPr>
        <w:t>all patients with coronary artery disease or other vascular disease</w:t>
      </w:r>
      <w:r>
        <w:rPr>
          <w:b w:val="0"/>
          <w:i w:val="0"/>
        </w:rPr>
        <w:t xml:space="preserve"> [slide 35]. They are vasculoprotective, not antianginal [slide 12].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45:50 of the recording: </w:t>
            </w:r>
            <w:r>
              <w:rPr>
                <w:b w:val="0"/>
                <w:i/>
              </w:rPr>
              <w:t>“They do not relieve symptoms of angina, but they will help to prevent the progression of the coronary artery disease… these should be indefinitely in patients for post-MI, LV dysfunction, diabetes.”</w:t>
            </w:r>
          </w:p>
          <w:p>
            <w:pPr>
              <w:spacing w:after="120"/>
            </w:pPr>
            <w:r>
              <w:rPr>
                <w:b w:val="0"/>
                <w:i w:val="0"/>
                <w:highlight w:val="yellow"/>
              </w:rPr>
              <w:t>ACE inhibitors do not relieve angina</w:t>
            </w:r>
            <w:r>
              <w:rPr>
                <w:b w:val="0"/>
                <w:i w:val="0"/>
              </w:rPr>
              <w:t xml:space="preserve"> [slide 35]; they are vasculoprotective and slow disease progression, and are continued indefinitely after infarction, with left ventricular dysfunction or with diabetes.</w:t>
            </w:r>
          </w:p>
        </w:tc>
      </w:tr>
    </w:tbl>
    <w:p>
      <w:pPr>
        <w:spacing w:after="80"/>
      </w:pPr>
    </w:p>
    <w:p>
      <w:pPr>
        <w:pStyle w:val="Heading3"/>
        <w:spacing w:before="200" w:after="100"/>
      </w:pPr>
      <w:r>
        <w:rPr>
          <w:rFonts w:ascii="Georgia" w:hAnsi="Georgia"/>
          <w:color w:val="6B3524"/>
        </w:rPr>
        <w:t>Antiplatelet therapy [slide 37]</w:t>
      </w:r>
    </w:p>
    <w:p>
      <w:pPr>
        <w:spacing w:after="120"/>
      </w:pPr>
      <w:r>
        <w:rPr>
          <w:b/>
          <w:i w:val="0"/>
        </w:rPr>
        <w:t>Aspirin is given in the absence of contraindications</w:t>
      </w:r>
      <w:r>
        <w:rPr>
          <w:b w:val="0"/>
          <w:i w:val="0"/>
        </w:rPr>
        <w:t xml:space="preserve"> [slide 37]. </w:t>
      </w:r>
      <w:r>
        <w:rPr>
          <w:b/>
          <w:i w:val="0"/>
        </w:rPr>
        <w:t>Aspirin is used in ischemic heart disease for preventing acute coronary syndromes</w:t>
      </w:r>
      <w:r>
        <w:rPr>
          <w:b w:val="0"/>
          <w:i w:val="0"/>
        </w:rPr>
        <w:t xml:space="preserve">: it is given to every patient with ischemic heart disease who has no contraindication, to prevent acute coronary syndrome rather than to relieve symptoms [slide 37]. Its place in therapy is to </w:t>
      </w:r>
      <w:r>
        <w:rPr>
          <w:b/>
          <w:i w:val="0"/>
        </w:rPr>
        <w:t>prevent acute coronary syndrome</w:t>
      </w:r>
      <w:r>
        <w:rPr>
          <w:b w:val="0"/>
          <w:i w:val="0"/>
        </w:rPr>
        <w:t xml:space="preserve">, in </w:t>
      </w:r>
      <w:r>
        <w:rPr>
          <w:b/>
          <w:i w:val="0"/>
        </w:rPr>
        <w:t>all patients with ischemic heart disease</w:t>
      </w:r>
      <w:r>
        <w:rPr>
          <w:b w:val="0"/>
          <w:i w:val="0"/>
        </w:rPr>
        <w:t xml:space="preserve"> who have no contraindication [slide 37]. The slide gives about a 30 percent reduction in the risk of primary events with aspirin. </w:t>
      </w:r>
      <w:r>
        <w:rPr>
          <w:b/>
          <w:i w:val="0"/>
        </w:rPr>
        <w:t>Clopidogrel is as efficacious as aspirin in secondary prevention and is recommended for patients allergic to aspirin</w:t>
      </w:r>
      <w:r>
        <w:rPr>
          <w:b w:val="0"/>
          <w:i w:val="0"/>
        </w:rPr>
        <w:t xml:space="preserve"> [slide 37].</w:t>
      </w:r>
    </w:p>
    <w:p>
      <w:pPr>
        <w:pStyle w:val="Heading3"/>
        <w:spacing w:before="200" w:after="100"/>
      </w:pPr>
      <w:r>
        <w:rPr>
          <w:rFonts w:ascii="Georgia" w:hAnsi="Georgia"/>
          <w:color w:val="6B3524"/>
        </w:rPr>
        <w:t>The whole strategy on one slide [slide 38]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Give to everyone unless contraindicated</w:t>
            </w:r>
          </w:p>
        </w:tc>
        <w:tc>
          <w:tcPr>
            <w:tcW w:type="dxa" w:w="7272"/>
          </w:tcPr>
          <w:p>
            <w:pPr>
              <w:spacing w:after="40"/>
            </w:pPr>
            <w:r>
              <w:rPr>
                <w:sz w:val="18"/>
              </w:rPr>
            </w:r>
            <w:r>
              <w:rPr>
                <w:b w:val="0"/>
                <w:i w:val="0"/>
                <w:sz w:val="18"/>
              </w:rPr>
              <w:t>Aspirin; a beta blocker if there was a prior myocardial infarction; an angiotensin-converting enzyme inhibitor in patients with diabetes or left ventricular dysfunction; lipid-lowering therapy; sublingual nitroglycerin for acute relief</w:t>
            </w:r>
          </w:p>
        </w:tc>
      </w:tr>
      <w:tr>
        <w:tc>
          <w:tcPr>
            <w:tcW w:type="dxa" w:w="7272"/>
          </w:tcPr>
          <w:p>
            <w:pPr>
              <w:spacing w:after="40"/>
            </w:pPr>
            <w:r>
              <w:rPr>
                <w:sz w:val="18"/>
              </w:rPr>
            </w:r>
            <w:r>
              <w:rPr>
                <w:b/>
                <w:i w:val="0"/>
                <w:sz w:val="18"/>
              </w:rPr>
              <w:t>For daily or more frequent symptoms</w:t>
            </w:r>
            <w:r>
              <w:rPr>
                <w:b w:val="0"/>
                <w:i w:val="0"/>
                <w:sz w:val="18"/>
              </w:rPr>
              <w:t xml:space="preserve"> (prophylactic therapy)</w:t>
            </w:r>
          </w:p>
        </w:tc>
        <w:tc>
          <w:tcPr>
            <w:tcW w:type="dxa" w:w="7272"/>
          </w:tcPr>
          <w:p>
            <w:pPr>
              <w:spacing w:after="40"/>
            </w:pPr>
            <w:r>
              <w:rPr>
                <w:sz w:val="18"/>
              </w:rPr>
            </w:r>
            <w:r>
              <w:rPr>
                <w:b w:val="0"/>
                <w:i w:val="0"/>
                <w:sz w:val="18"/>
              </w:rPr>
              <w:t>Beta blockers; calcium channel blockers; long-acting nitrates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“Unless contraindicated, patients with coronary artery disease or ischemic heart disease should be getting aspirin, if they’ve had a previous MI beta blockers for sure, ACEs or ARBs in patients who have diabetes or LV dysfunction, lipid lowering therapy… they will have sublingual nitroglycerin for acute relief.”</w:t>
            </w:r>
          </w:p>
          <w:p>
            <w:pPr>
              <w:spacing w:after="120"/>
            </w:pPr>
            <w:r>
              <w:rPr>
                <w:b w:val="0"/>
                <w:i w:val="0"/>
                <w:highlight w:val="yellow"/>
              </w:rPr>
              <w:t>The standing list, unless contraindicated:</w:t>
            </w:r>
            <w:r>
              <w:rPr>
                <w:b w:val="0"/>
                <w:i w:val="0"/>
              </w:rPr>
              <w:t xml:space="preserve"> aspirin; a beta blocker after infarction; an angiotensin-converting enzyme inhibitor (or receptor blocker) with diabetes or left ventricular dysfunction; lipid-lowering therapy; sublingual nitroglycerin for acute relief [slide 38].</w:t>
            </w:r>
          </w:p>
        </w:tc>
      </w:tr>
    </w:tbl>
    <w:p>
      <w:pPr>
        <w:spacing w:after="80"/>
      </w:pPr>
    </w:p>
    <w:p>
      <w:pPr>
        <w:pStyle w:val="Heading3"/>
        <w:spacing w:before="200" w:after="100"/>
      </w:pPr>
      <w:r>
        <w:rPr>
          <w:rFonts w:ascii="Georgia" w:hAnsi="Georgia"/>
          <w:color w:val="6B3524"/>
        </w:rPr>
        <w:t>Variant angina [slides 8 and 39]</w:t>
      </w:r>
    </w:p>
    <w:p>
      <w:pPr>
        <w:spacing w:after="120"/>
      </w:pPr>
      <w:r>
        <w:rPr>
          <w:b/>
          <w:i w:val="0"/>
        </w:rPr>
        <w:t>Calcium channel blockers and nitrates can reduce symptoms</w:t>
      </w:r>
      <w:r>
        <w:rPr>
          <w:b w:val="0"/>
          <w:i w:val="0"/>
        </w:rPr>
        <w:t xml:space="preserve"> of variant angina, because both relieve vasospasm [slides 20, 25 and 39]. </w:t>
      </w:r>
      <w:r>
        <w:rPr>
          <w:b/>
          <w:i w:val="0"/>
        </w:rPr>
        <w:t>Avoid beta blockers: they may lead to worsened symptoms</w:t>
      </w:r>
      <w:r>
        <w:rPr>
          <w:b w:val="0"/>
          <w:i w:val="0"/>
        </w:rPr>
        <w:t xml:space="preserve"> [slide 39]. In variant angina the usual first line drug, the beta blocker, is the one to avoid [slide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26:25 of the recording: </w:t>
            </w:r>
            <w:r>
              <w:rPr>
                <w:b w:val="0"/>
                <w:i/>
              </w:rPr>
              <w:t>“If you were to say what’s the treatment of choice for a variant angina or Prinzmetal angina, usually it’s going to be a DHP… their problem is not necessarily contractility or heart rate, it’s just that vessel is clamping down.”</w:t>
            </w:r>
          </w:p>
          <w:p>
            <w:pPr>
              <w:spacing w:after="120"/>
            </w:pPr>
            <w:r>
              <w:rPr>
                <w:b w:val="0"/>
                <w:i w:val="0"/>
              </w:rPr>
              <w:t xml:space="preserve">At 49:11 of the recording: </w:t>
            </w:r>
            <w:r>
              <w:rPr>
                <w:b w:val="0"/>
                <w:i/>
              </w:rPr>
              <w:t>“For the variant angina, the Prinzmetal angina, that’s where you get into utilizing your dihydropyridine calcium channel blockers most commonly, you typically avoid beta blockers, they tend to worsen symptoms for the patient.”</w:t>
            </w:r>
          </w:p>
          <w:p>
            <w:pPr>
              <w:spacing w:after="120"/>
            </w:pPr>
            <w:r>
              <w:rPr>
                <w:b w:val="0"/>
                <w:i w:val="0"/>
                <w:highlight w:val="yellow"/>
              </w:rPr>
              <w:t>Variant angina: calcium channel blockers (usually a dihydropyridine) and nitrates; avoid beta blockers.</w:t>
            </w:r>
            <w:r>
              <w:rPr>
                <w:b w:val="0"/>
                <w:i w:val="0"/>
              </w:rPr>
              <w:t xml:space="preserve"> The problem is the vessel clamping down, a supply problem, not heart rate or contractility [slides 8 and 39].</w:t>
            </w:r>
          </w:p>
        </w:tc>
      </w:tr>
    </w:tbl>
    <w:p>
      <w:pPr>
        <w:spacing w:after="80"/>
      </w:pPr>
    </w:p>
    <w:p>
      <w:pPr>
        <w:pStyle w:val="Heading2"/>
        <w:spacing w:before="200" w:after="100"/>
      </w:pPr>
      <w:r>
        <w:rPr>
          <w:rFonts w:ascii="Georgia" w:hAnsi="Georgia"/>
          <w:color w:val="6B3524"/>
        </w:rPr>
        <w:t>5.6 · Objectives 1–3 — Acute coronary syndrome and thrombus formation</w:t>
      </w:r>
    </w:p>
    <w:p>
      <w:pPr>
        <w:pStyle w:val="Heading3"/>
        <w:spacing w:before="200" w:after="100"/>
      </w:pPr>
      <w:r>
        <w:rPr>
          <w:rFonts w:ascii="Georgia" w:hAnsi="Georgia"/>
          <w:color w:val="6B3524"/>
        </w:rPr>
        <w:t>Classification [slide 41]</w:t>
      </w:r>
    </w:p>
    <w:p>
      <w:pPr>
        <w:spacing w:after="120"/>
      </w:pPr>
      <w:r>
        <w:rPr>
          <w:b w:val="0"/>
          <w:i w:val="0"/>
        </w:rPr>
        <w:t xml:space="preserve">Acute coronary syndrome has two branches [slide 41]. </w:t>
      </w:r>
      <w:r>
        <w:rPr>
          <w:b/>
          <w:i w:val="0"/>
        </w:rPr>
        <w:t>ST-segment elevation myocardial infarction</w:t>
      </w:r>
      <w:r>
        <w:rPr>
          <w:b w:val="0"/>
          <w:i w:val="0"/>
        </w:rPr>
        <w:t xml:space="preserve"> is one. </w:t>
      </w:r>
      <w:r>
        <w:rPr>
          <w:b/>
          <w:i w:val="0"/>
        </w:rPr>
        <w:t>Non-ST-segment elevation acute coronary syndrome</w:t>
      </w:r>
      <w:r>
        <w:rPr>
          <w:b w:val="0"/>
          <w:i w:val="0"/>
        </w:rPr>
        <w:t xml:space="preserve"> is the other, and it contains </w:t>
      </w:r>
      <w:r>
        <w:rPr>
          <w:b/>
          <w:i w:val="0"/>
        </w:rPr>
        <w:t>unstable angina</w:t>
      </w:r>
      <w:r>
        <w:rPr>
          <w:b w:val="0"/>
          <w:i w:val="0"/>
        </w:rPr>
        <w:t xml:space="preserve"> and </w:t>
      </w:r>
      <w:r>
        <w:rPr>
          <w:b/>
          <w:i w:val="0"/>
        </w:rPr>
        <w:t>non-ST-elevation myocardial infarction</w:t>
      </w:r>
      <w:r>
        <w:rPr>
          <w:b w:val="0"/>
          <w:i w:val="0"/>
        </w:rPr>
        <w:t xml:space="preserve"> [slide 41]. The figure on the slide runs as follows: ischemic discomfort leads to a working diagnosis of acute coronary syndrome; the electrocardiogram then splits it, with </w:t>
      </w:r>
      <w:r>
        <w:rPr>
          <w:b/>
          <w:i w:val="0"/>
        </w:rPr>
        <w:t>no ST elevation</w:t>
      </w:r>
      <w:r>
        <w:rPr>
          <w:b w:val="0"/>
          <w:i w:val="0"/>
        </w:rPr>
        <w:t xml:space="preserve"> giving unstable angina or non-ST-elevation myocardial infarction (also called non-Q-wave myocardial infarction), and </w:t>
      </w:r>
      <w:r>
        <w:rPr>
          <w:b/>
          <w:i w:val="0"/>
        </w:rPr>
        <w:t>ST elevation</w:t>
      </w:r>
      <w:r>
        <w:rPr>
          <w:b w:val="0"/>
          <w:i w:val="0"/>
        </w:rPr>
        <w:t xml:space="preserve"> giving ST-elevation myocardial infarction (drawn on the slide as Q-wave myocardial infarction); a </w:t>
      </w:r>
      <w:r>
        <w:rPr>
          <w:b/>
          <w:i w:val="0"/>
        </w:rPr>
        <w:t>biochemical marker separates unstable angina from myocardial infarction</w:t>
      </w:r>
      <w:r>
        <w:rPr>
          <w:b w:val="0"/>
          <w:i w:val="0"/>
        </w:rPr>
        <w:t>. The heart cross-sections at 1 hour, 4 hours and 8 hours show the infarct growing into the area of ischemia [slide 41]. Slide 4 lists sudden cardiac death under acute coronary syndrome; the working classification on slide 41 is ST-elevation myocardial infarction versus non-ST-elevation acute coronary syndrome.</w:t>
      </w:r>
    </w:p>
    <w:p>
      <w:pPr>
        <w:spacing w:after="120"/>
      </w:pPr>
      <w:r>
        <w:rPr>
          <w:b/>
          <w:i w:val="0"/>
        </w:rPr>
        <w:t>ST-elevation myocardial infarction</w:t>
      </w:r>
      <w:r>
        <w:rPr>
          <w:b w:val="0"/>
          <w:i w:val="0"/>
        </w:rPr>
        <w:t xml:space="preserve"> is the branch with ST elevation on the electrocardiogram in a patient with ischemic discomfort [slide 41]; it is the form for which fibrinolytics are indicated [slide 65]. </w:t>
      </w:r>
      <w:r>
        <w:rPr>
          <w:b/>
          <w:i w:val="0"/>
        </w:rPr>
        <w:t>If coronary blood flow is not restored, the infarct grows over hours into the area of ischemia</w:t>
      </w:r>
      <w:r>
        <w:rPr>
          <w:b w:val="0"/>
          <w:i w:val="0"/>
        </w:rPr>
        <w:t xml:space="preserve"> [slide 41]; read together with slide 51, this is why reestablishing coronary blood flow is a goal of therapy.</w:t>
      </w:r>
    </w:p>
    <w:p>
      <w:pPr>
        <w:pStyle w:val="Heading3"/>
        <w:spacing w:before="200" w:after="100"/>
      </w:pPr>
      <w:r>
        <w:rPr>
          <w:rFonts w:ascii="Georgia" w:hAnsi="Georgia"/>
          <w:color w:val="6B3524"/>
        </w:rPr>
        <w:t>How a thrombus forms, step by step [slides 42 to 50]</w:t>
      </w:r>
    </w:p>
    <w:p>
      <w:pPr>
        <w:pStyle w:val="ListNumber"/>
        <w:spacing w:after="40"/>
      </w:pPr>
      <w:r>
        <w:rPr>
          <w:b/>
          <w:i w:val="0"/>
          <w:sz w:val="20"/>
        </w:rPr>
        <w:t>The plaque.</w:t>
      </w:r>
      <w:r>
        <w:rPr>
          <w:b w:val="0"/>
          <w:i w:val="0"/>
          <w:sz w:val="20"/>
        </w:rPr>
        <w:t xml:space="preserve"> The vessel wall has endothelium, smooth muscle cells, and an atherosclerotic plaque under a fibrous cap [slide 42].</w:t>
      </w:r>
    </w:p>
    <w:p>
      <w:pPr>
        <w:pStyle w:val="ListNumber"/>
        <w:spacing w:after="40"/>
      </w:pPr>
      <w:r>
        <w:rPr>
          <w:b/>
          <w:i w:val="0"/>
          <w:sz w:val="20"/>
        </w:rPr>
        <w:t>Injury.</w:t>
      </w:r>
      <w:r>
        <w:rPr>
          <w:b w:val="0"/>
          <w:i w:val="0"/>
          <w:sz w:val="20"/>
        </w:rPr>
        <w:t xml:space="preserve"> A procedural injury such as balloon deployment, or a spontaneous injury, leaves </w:t>
      </w:r>
      <w:r>
        <w:rPr>
          <w:b/>
          <w:i w:val="0"/>
          <w:sz w:val="20"/>
        </w:rPr>
        <w:t>injured endothelium</w:t>
      </w:r>
      <w:r>
        <w:rPr>
          <w:b w:val="0"/>
          <w:i w:val="0"/>
          <w:sz w:val="20"/>
        </w:rPr>
        <w:t xml:space="preserve"> [slide 43].</w:t>
      </w:r>
    </w:p>
    <w:p>
      <w:pPr>
        <w:pStyle w:val="ListNumber"/>
        <w:spacing w:after="40"/>
      </w:pPr>
      <w:r>
        <w:rPr>
          <w:b/>
          <w:i w:val="0"/>
          <w:sz w:val="20"/>
        </w:rPr>
        <w:t>Platelets respond.</w:t>
      </w:r>
      <w:r>
        <w:rPr>
          <w:b w:val="0"/>
          <w:i w:val="0"/>
          <w:sz w:val="20"/>
        </w:rPr>
        <w:t xml:space="preserve"> Platelet </w:t>
      </w:r>
      <w:r>
        <w:rPr>
          <w:b/>
          <w:i w:val="0"/>
          <w:sz w:val="20"/>
        </w:rPr>
        <w:t>adhesion, activation and aggregation</w:t>
      </w:r>
      <w:r>
        <w:rPr>
          <w:b w:val="0"/>
          <w:i w:val="0"/>
          <w:sz w:val="20"/>
        </w:rPr>
        <w:t xml:space="preserve"> occur at the plaque [slide 44].</w:t>
      </w:r>
    </w:p>
    <w:p>
      <w:pPr>
        <w:pStyle w:val="ListNumber"/>
        <w:spacing w:after="40"/>
      </w:pPr>
      <w:r>
        <w:rPr>
          <w:b/>
          <w:i w:val="0"/>
          <w:sz w:val="20"/>
        </w:rPr>
        <w:t>Fibrin forms.</w:t>
      </w:r>
      <w:r>
        <w:rPr>
          <w:b w:val="0"/>
          <w:i w:val="0"/>
          <w:sz w:val="20"/>
        </w:rPr>
        <w:t xml:space="preserve"> Fibrin strands form [slide 45].</w:t>
      </w:r>
    </w:p>
    <w:p>
      <w:pPr>
        <w:pStyle w:val="ListNumber"/>
        <w:spacing w:after="40"/>
      </w:pPr>
      <w:r>
        <w:rPr>
          <w:b/>
          <w:i w:val="0"/>
          <w:sz w:val="20"/>
        </w:rPr>
        <w:t>The occlusive thrombus.</w:t>
      </w:r>
      <w:r>
        <w:rPr>
          <w:b w:val="0"/>
          <w:i w:val="0"/>
          <w:sz w:val="20"/>
        </w:rPr>
        <w:t xml:space="preserve"> The clot blocks the artery [slide 46].</w:t>
      </w:r>
    </w:p>
    <w:p>
      <w:pPr>
        <w:spacing w:after="120"/>
      </w:pPr>
      <w:r>
        <w:rPr>
          <w:b/>
          <w:i w:val="0"/>
        </w:rPr>
        <w:t>Thrombin is the link</w:t>
      </w:r>
      <w:r>
        <w:rPr>
          <w:b w:val="0"/>
          <w:i w:val="0"/>
        </w:rPr>
        <w:t xml:space="preserve"> between tissue injury, coagulation and the platelet response [slide 47]. Exposed collagen leads to release of </w:t>
      </w:r>
      <w:r>
        <w:rPr>
          <w:b/>
          <w:i w:val="0"/>
        </w:rPr>
        <w:t>adenosine diphosphate and thromboxane A2</w:t>
      </w:r>
      <w:r>
        <w:rPr>
          <w:b w:val="0"/>
          <w:i w:val="0"/>
        </w:rPr>
        <w:t xml:space="preserve">, which activate and aggregate platelets [slide 47]. </w:t>
      </w:r>
      <w:r>
        <w:rPr>
          <w:b/>
          <w:i w:val="0"/>
        </w:rPr>
        <w:t>Tissue factor</w:t>
      </w:r>
      <w:r>
        <w:rPr>
          <w:b w:val="0"/>
          <w:i w:val="0"/>
        </w:rPr>
        <w:t xml:space="preserve"> starts the plasma clotting cascade; prothrombin becomes thrombin, and </w:t>
      </w:r>
      <w:r>
        <w:rPr>
          <w:b/>
          <w:i w:val="0"/>
        </w:rPr>
        <w:t>thrombin turns fibrinogen into fibrin</w:t>
      </w:r>
      <w:r>
        <w:rPr>
          <w:b w:val="0"/>
          <w:i w:val="0"/>
        </w:rPr>
        <w:t>, which forms the thrombus [slide 47]. Thrombin is a critical mediator in coagulation and elicits multiple responses in platelets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 of clotting</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Initiation</w:t>
            </w:r>
            <w:r>
              <w:rPr>
                <w:b w:val="0"/>
                <w:i w:val="0"/>
                <w:sz w:val="18"/>
              </w:rPr>
              <w:t xml:space="preserve"> [slide 48]</w:t>
            </w:r>
          </w:p>
        </w:tc>
        <w:tc>
          <w:tcPr>
            <w:tcW w:type="dxa" w:w="7272"/>
          </w:tcPr>
          <w:p>
            <w:pPr>
              <w:spacing w:after="40"/>
            </w:pPr>
            <w:r>
              <w:rPr>
                <w:sz w:val="18"/>
              </w:rPr>
            </w:r>
            <w:r>
              <w:rPr>
                <w:b w:val="0"/>
                <w:i w:val="0"/>
                <w:sz w:val="18"/>
              </w:rPr>
              <w:t>Tissue factor complexes with factor VIIa at the site of injury, activates factor X and factor IX, and generates a small amount of thrombin</w:t>
            </w:r>
          </w:p>
        </w:tc>
      </w:tr>
      <w:tr>
        <w:tc>
          <w:tcPr>
            <w:tcW w:type="dxa" w:w="7272"/>
          </w:tcPr>
          <w:p>
            <w:pPr>
              <w:spacing w:after="40"/>
            </w:pPr>
            <w:r>
              <w:rPr>
                <w:sz w:val="18"/>
              </w:rPr>
            </w:r>
            <w:r>
              <w:rPr>
                <w:b/>
                <w:i w:val="0"/>
                <w:sz w:val="18"/>
              </w:rPr>
              <w:t>Amplification</w:t>
            </w:r>
            <w:r>
              <w:rPr>
                <w:b w:val="0"/>
                <w:i w:val="0"/>
                <w:sz w:val="18"/>
              </w:rPr>
              <w:t xml:space="preserve"> [slide 49]</w:t>
            </w:r>
          </w:p>
        </w:tc>
        <w:tc>
          <w:tcPr>
            <w:tcW w:type="dxa" w:w="7272"/>
          </w:tcPr>
          <w:p>
            <w:pPr>
              <w:spacing w:after="40"/>
            </w:pPr>
            <w:r>
              <w:rPr>
                <w:sz w:val="18"/>
              </w:rPr>
            </w:r>
            <w:r>
              <w:rPr>
                <w:b w:val="0"/>
                <w:i w:val="0"/>
                <w:sz w:val="18"/>
              </w:rPr>
              <w:t>Thrombin activates platelets and stimulates its own production by activating factors V and VIII, and also factor XI (figure); the coagulation factors VIIIa, Va and IXa assemble on the surface of activated platelets</w:t>
            </w:r>
          </w:p>
        </w:tc>
      </w:tr>
      <w:tr>
        <w:tc>
          <w:tcPr>
            <w:tcW w:type="dxa" w:w="7272"/>
          </w:tcPr>
          <w:p>
            <w:pPr>
              <w:spacing w:after="40"/>
            </w:pPr>
            <w:r>
              <w:rPr>
                <w:sz w:val="18"/>
              </w:rPr>
            </w:r>
            <w:r>
              <w:rPr>
                <w:b/>
                <w:i w:val="0"/>
                <w:sz w:val="18"/>
              </w:rPr>
              <w:t>Propagation</w:t>
            </w:r>
            <w:r>
              <w:rPr>
                <w:b w:val="0"/>
                <w:i w:val="0"/>
                <w:sz w:val="18"/>
              </w:rPr>
              <w:t xml:space="preserve"> [slide 50]</w:t>
            </w:r>
          </w:p>
        </w:tc>
        <w:tc>
          <w:tcPr>
            <w:tcW w:type="dxa" w:w="7272"/>
          </w:tcPr>
          <w:p>
            <w:pPr>
              <w:spacing w:after="40"/>
            </w:pPr>
            <w:r>
              <w:rPr>
                <w:sz w:val="18"/>
              </w:rPr>
            </w:r>
            <w:r>
              <w:rPr>
                <w:b w:val="0"/>
                <w:i w:val="0"/>
                <w:sz w:val="18"/>
              </w:rPr>
              <w:t>The assembled complexes continue the cascade on the activated platelets: prothrombin is converted to thrombin, fibrinogen to fibrin, and the clot is stabilized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51:33 of the recording: </w:t>
            </w:r>
            <w:r>
              <w:rPr>
                <w:b w:val="0"/>
                <w:i/>
              </w:rPr>
              <w:t>“If you only had to know two clotting factors, the two most important ones are 10 and 2… that’s what’s going to cause the activation of fibrin.”</w:t>
            </w:r>
          </w:p>
          <w:p>
            <w:pPr>
              <w:spacing w:after="120"/>
            </w:pPr>
            <w:r>
              <w:rPr>
                <w:b w:val="0"/>
                <w:i w:val="0"/>
                <w:highlight w:val="yellow"/>
              </w:rPr>
              <w:t>The two factors he said to know are factor X and factor II (thrombin).</w:t>
            </w:r>
            <w:r>
              <w:rPr>
                <w:b w:val="0"/>
                <w:i w:val="0"/>
              </w:rPr>
              <w:t xml:space="preserve"> Factor X is activated in initiation [slide 48]; prothrombin (factor II) becomes thrombin, which activates platelets and turns fibrinogen into fibrin [slides 47 and 49].</w:t>
            </w:r>
          </w:p>
        </w:tc>
      </w:tr>
    </w:tbl>
    <w:p>
      <w:pPr>
        <w:spacing w:after="80"/>
      </w:pPr>
    </w:p>
    <w:p>
      <w:pPr>
        <w:pStyle w:val="Heading3"/>
        <w:spacing w:before="200" w:after="100"/>
      </w:pPr>
      <w:r>
        <w:rPr>
          <w:rFonts w:ascii="Georgia" w:hAnsi="Georgia"/>
          <w:color w:val="6B3524"/>
        </w:rPr>
        <w:t>Goals of therapy [slide 51]</w:t>
      </w:r>
    </w:p>
    <w:p>
      <w:pPr>
        <w:spacing w:after="120"/>
      </w:pPr>
      <w:r>
        <w:rPr>
          <w:b w:val="0"/>
          <w:i w:val="0"/>
        </w:rPr>
        <w:t xml:space="preserve">The five goals are to </w:t>
      </w:r>
      <w:r>
        <w:rPr>
          <w:b/>
          <w:i w:val="0"/>
        </w:rPr>
        <w:t>reestablish coronary blood flow, relieve chest pain, prevent progression to myocardial infarction, prevent the development of heart failure, and prevent death</w:t>
      </w:r>
      <w:r>
        <w:rPr>
          <w:b w:val="0"/>
          <w:i w:val="0"/>
        </w:rPr>
        <w:t xml:space="preserve"> [slide 51].</w:t>
      </w:r>
    </w:p>
    <w:p>
      <w:pPr>
        <w:pStyle w:val="Heading2"/>
        <w:spacing w:before="200" w:after="100"/>
      </w:pPr>
      <w:r>
        <w:rPr>
          <w:rFonts w:ascii="Georgia" w:hAnsi="Georgia"/>
          <w:color w:val="6B3524"/>
        </w:rPr>
        <w:t>5.7 · Objectives 1–7 — Acute coronary syndrome: aspirin, nitrates, beta blockers, morphine</w:t>
      </w:r>
    </w:p>
    <w:p>
      <w:pPr>
        <w:spacing w:after="120"/>
      </w:pPr>
      <w:r>
        <w:rPr>
          <w:b w:val="0"/>
          <w:i w:val="0"/>
        </w:rPr>
        <w:t xml:space="preserve">Aspirin, nitrates and beta blockers are the </w:t>
      </w:r>
      <w:r>
        <w:rPr>
          <w:b/>
          <w:i w:val="0"/>
        </w:rPr>
        <w:t>common pharmacologic therapy for both ST-elevation myocardial infarction and non-ST-elevation acute coronary syndrome</w:t>
      </w:r>
      <w:r>
        <w:rPr>
          <w:b w:val="0"/>
          <w:i w:val="0"/>
        </w:rPr>
        <w:t xml:space="preserve"> [slide 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w:t>
            </w:r>
          </w:p>
        </w:tc>
        <w:tc>
          <w:tcPr>
            <w:tcW w:type="dxa" w:w="2909"/>
            <w:shd w:val="clear" w:color="auto" w:fill="6B3524"/>
          </w:tcPr>
          <w:p>
            <w:pPr>
              <w:spacing w:after="40"/>
            </w:pPr>
            <w:r>
              <w:rPr>
                <w:b/>
                <w:color w:val="FFFFFF"/>
                <w:sz w:val="18"/>
              </w:rPr>
            </w:r>
            <w:r>
              <w:rPr>
                <w:b/>
                <w:i w:val="0"/>
                <w:color w:val="FFFFFF"/>
                <w:sz w:val="18"/>
              </w:rPr>
              <w:t>Use and timing</w:t>
            </w:r>
          </w:p>
        </w:tc>
        <w:tc>
          <w:tcPr>
            <w:tcW w:type="dxa" w:w="2909"/>
            <w:shd w:val="clear" w:color="auto" w:fill="6B3524"/>
          </w:tcPr>
          <w:p>
            <w:pPr>
              <w:spacing w:after="40"/>
            </w:pPr>
            <w:r>
              <w:rPr>
                <w:b/>
                <w:color w:val="FFFFFF"/>
                <w:sz w:val="18"/>
              </w:rPr>
            </w:r>
            <w:r>
              <w:rPr>
                <w:b/>
                <w:i w:val="0"/>
                <w:color w:val="FFFFFF"/>
                <w:sz w:val="18"/>
              </w:rPr>
              <w:t>Benefit</w:t>
            </w:r>
          </w:p>
        </w:tc>
        <w:tc>
          <w:tcPr>
            <w:tcW w:type="dxa" w:w="2909"/>
            <w:shd w:val="clear" w:color="auto" w:fill="6B3524"/>
          </w:tcPr>
          <w:p>
            <w:pPr>
              <w:spacing w:after="40"/>
            </w:pPr>
            <w:r>
              <w:rPr>
                <w:b/>
                <w:color w:val="FFFFFF"/>
                <w:sz w:val="18"/>
              </w:rPr>
            </w:r>
            <w:r>
              <w:rPr>
                <w:b/>
                <w:i w:val="0"/>
                <w:color w:val="FFFFFF"/>
                <w:sz w:val="18"/>
              </w:rPr>
              <w:t>Adverse effects</w:t>
            </w:r>
          </w:p>
        </w:tc>
        <w:tc>
          <w:tcPr>
            <w:tcW w:type="dxa" w:w="2909"/>
            <w:shd w:val="clear" w:color="auto" w:fill="6B3524"/>
          </w:tcPr>
          <w:p>
            <w:pPr>
              <w:spacing w:after="40"/>
            </w:pPr>
            <w:r>
              <w:rPr>
                <w:b/>
                <w:color w:val="FFFFFF"/>
                <w:sz w:val="18"/>
              </w:rPr>
            </w:r>
            <w:r>
              <w:rPr>
                <w:b/>
                <w:i w:val="0"/>
                <w:color w:val="FFFFFF"/>
                <w:sz w:val="18"/>
              </w:rPr>
              <w:t>Contraindications and cautions</w:t>
            </w:r>
          </w:p>
        </w:tc>
      </w:tr>
      <w:tr>
        <w:tc>
          <w:tcPr>
            <w:tcW w:type="dxa" w:w="2909"/>
          </w:tcPr>
          <w:p>
            <w:pPr>
              <w:spacing w:after="40"/>
            </w:pPr>
            <w:r>
              <w:rPr>
                <w:sz w:val="18"/>
              </w:rPr>
            </w:r>
            <w:r>
              <w:rPr>
                <w:b/>
                <w:i w:val="0"/>
                <w:sz w:val="18"/>
              </w:rPr>
              <w:t>Aspirin</w:t>
            </w:r>
            <w:r>
              <w:rPr>
                <w:b w:val="0"/>
                <w:i w:val="0"/>
                <w:sz w:val="18"/>
              </w:rPr>
              <w:t xml:space="preserve"> [slides 52, 53]</w:t>
            </w:r>
          </w:p>
        </w:tc>
        <w:tc>
          <w:tcPr>
            <w:tcW w:type="dxa" w:w="2909"/>
          </w:tcPr>
          <w:p>
            <w:pPr>
              <w:spacing w:after="40"/>
            </w:pPr>
            <w:r>
              <w:rPr>
                <w:sz w:val="18"/>
              </w:rPr>
            </w:r>
            <w:r>
              <w:rPr>
                <w:b w:val="0"/>
                <w:i w:val="0"/>
                <w:sz w:val="18"/>
              </w:rPr>
              <w:t xml:space="preserve">Used at the </w:t>
            </w:r>
            <w:r>
              <w:rPr>
                <w:b/>
                <w:i w:val="0"/>
                <w:sz w:val="18"/>
              </w:rPr>
              <w:t>first signs of chest pain</w:t>
            </w:r>
            <w:r>
              <w:rPr>
                <w:b w:val="0"/>
                <w:i w:val="0"/>
                <w:sz w:val="18"/>
              </w:rPr>
              <w:t xml:space="preserve">; </w:t>
            </w:r>
            <w:r>
              <w:rPr>
                <w:b/>
                <w:i w:val="0"/>
                <w:sz w:val="18"/>
              </w:rPr>
              <w:t>chewed and swallowed</w:t>
            </w:r>
          </w:p>
        </w:tc>
        <w:tc>
          <w:tcPr>
            <w:tcW w:type="dxa" w:w="2909"/>
          </w:tcPr>
          <w:p>
            <w:pPr>
              <w:spacing w:after="40"/>
            </w:pPr>
            <w:r>
              <w:rPr>
                <w:sz w:val="18"/>
              </w:rPr>
            </w:r>
            <w:r>
              <w:rPr>
                <w:b w:val="0"/>
                <w:i w:val="0"/>
                <w:sz w:val="18"/>
              </w:rPr>
              <w:t>Reduces mortality and reinfarction; decreases recurrent ischemia, stroke and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i w:val="0"/>
                <w:sz w:val="18"/>
              </w:rPr>
              <w:t>Allergy, recent gastrointestinal bleed, recent intracranial hemorrhage</w:t>
            </w:r>
          </w:p>
        </w:tc>
      </w:tr>
      <w:tr>
        <w:tc>
          <w:tcPr>
            <w:tcW w:type="dxa" w:w="2909"/>
          </w:tcPr>
          <w:p>
            <w:pPr>
              <w:spacing w:after="40"/>
            </w:pPr>
            <w:r>
              <w:rPr>
                <w:sz w:val="18"/>
              </w:rPr>
            </w:r>
            <w:r>
              <w:rPr>
                <w:b/>
                <w:i w:val="0"/>
                <w:sz w:val="18"/>
              </w:rPr>
              <w:t>Nitrates</w:t>
            </w:r>
            <w:r>
              <w:rPr>
                <w:b w:val="0"/>
                <w:i w:val="0"/>
                <w:sz w:val="18"/>
              </w:rPr>
              <w:t xml:space="preserve"> [slides 52, 54]</w:t>
            </w:r>
          </w:p>
        </w:tc>
        <w:tc>
          <w:tcPr>
            <w:tcW w:type="dxa" w:w="2909"/>
          </w:tcPr>
          <w:p>
            <w:pPr>
              <w:spacing w:after="40"/>
            </w:pPr>
            <w:r>
              <w:rPr>
                <w:sz w:val="18"/>
              </w:rPr>
            </w:r>
            <w:r>
              <w:rPr>
                <w:b w:val="0"/>
                <w:i w:val="0"/>
                <w:sz w:val="18"/>
              </w:rPr>
              <w:t xml:space="preserve">Start with </w:t>
            </w:r>
            <w:r>
              <w:rPr>
                <w:b/>
                <w:i w:val="0"/>
                <w:sz w:val="18"/>
              </w:rPr>
              <w:t>sublingual</w:t>
            </w:r>
            <w:r>
              <w:rPr>
                <w:b w:val="0"/>
                <w:i w:val="0"/>
                <w:sz w:val="18"/>
              </w:rPr>
              <w:t xml:space="preserve"> therapy, then an </w:t>
            </w:r>
            <w:r>
              <w:rPr>
                <w:b/>
                <w:i w:val="0"/>
                <w:sz w:val="18"/>
              </w:rPr>
              <w:t>intravenous infusion</w:t>
            </w:r>
            <w:r>
              <w:rPr>
                <w:b w:val="0"/>
                <w:i w:val="0"/>
                <w:sz w:val="18"/>
              </w:rPr>
              <w:t xml:space="preserve"> once in the hospital</w:t>
            </w:r>
          </w:p>
        </w:tc>
        <w:tc>
          <w:tcPr>
            <w:tcW w:type="dxa" w:w="2909"/>
          </w:tcPr>
          <w:p>
            <w:pPr>
              <w:spacing w:after="40"/>
            </w:pPr>
            <w:r>
              <w:rPr>
                <w:sz w:val="18"/>
              </w:rPr>
            </w:r>
            <w:r>
              <w:rPr>
                <w:b/>
                <w:i w:val="0"/>
                <w:sz w:val="18"/>
              </w:rPr>
              <w:t>No mortality benefit and no improvement in outcomes; relief of chest pain only</w:t>
            </w:r>
          </w:p>
        </w:tc>
        <w:tc>
          <w:tcPr>
            <w:tcW w:type="dxa" w:w="2909"/>
          </w:tcPr>
          <w:p>
            <w:pPr>
              <w:spacing w:after="40"/>
            </w:pPr>
            <w:r>
              <w:rPr>
                <w:sz w:val="18"/>
              </w:rPr>
            </w:r>
            <w:r>
              <w:rPr>
                <w:b/>
                <w:i w:val="0"/>
                <w:sz w:val="18"/>
              </w:rPr>
              <w:t>Hypotension, headache, reflex tachycardia</w:t>
            </w:r>
          </w:p>
        </w:tc>
        <w:tc>
          <w:tcPr>
            <w:tcW w:type="dxa" w:w="2909"/>
          </w:tcPr>
          <w:p>
            <w:pPr>
              <w:spacing w:after="40"/>
            </w:pPr>
            <w:r>
              <w:rPr>
                <w:sz w:val="18"/>
              </w:rPr>
            </w:r>
            <w:r>
              <w:rPr>
                <w:b/>
                <w:i w:val="0"/>
                <w:sz w:val="18"/>
              </w:rPr>
              <w:t>Hypotension; phosphodiesterase inhibitors</w:t>
            </w:r>
          </w:p>
        </w:tc>
      </w:tr>
      <w:tr>
        <w:tc>
          <w:tcPr>
            <w:tcW w:type="dxa" w:w="2909"/>
          </w:tcPr>
          <w:p>
            <w:pPr>
              <w:spacing w:after="40"/>
            </w:pPr>
            <w:r>
              <w:rPr>
                <w:sz w:val="18"/>
              </w:rPr>
            </w:r>
            <w:r>
              <w:rPr>
                <w:b/>
                <w:i w:val="0"/>
                <w:sz w:val="18"/>
              </w:rPr>
              <w:t>Beta blockers</w:t>
            </w:r>
            <w:r>
              <w:rPr>
                <w:b w:val="0"/>
                <w:i w:val="0"/>
                <w:sz w:val="18"/>
              </w:rPr>
              <w:t xml:space="preserve"> [slides 52, 55]</w:t>
            </w:r>
          </w:p>
        </w:tc>
        <w:tc>
          <w:tcPr>
            <w:tcW w:type="dxa" w:w="2909"/>
          </w:tcPr>
          <w:p>
            <w:pPr>
              <w:spacing w:after="40"/>
            </w:pPr>
            <w:r>
              <w:rPr>
                <w:sz w:val="18"/>
              </w:rPr>
            </w:r>
            <w:r>
              <w:rPr>
                <w:b w:val="0"/>
                <w:i w:val="0"/>
                <w:sz w:val="18"/>
              </w:rPr>
              <w:t>Intravenous, followed by oral</w:t>
            </w:r>
          </w:p>
        </w:tc>
        <w:tc>
          <w:tcPr>
            <w:tcW w:type="dxa" w:w="2909"/>
          </w:tcPr>
          <w:p>
            <w:pPr>
              <w:spacing w:after="40"/>
            </w:pPr>
            <w:r>
              <w:rPr>
                <w:sz w:val="18"/>
              </w:rPr>
            </w:r>
            <w:r>
              <w:rPr>
                <w:b w:val="0"/>
                <w:i w:val="0"/>
                <w:sz w:val="18"/>
              </w:rPr>
              <w:t>Reduce early and late mortality, infarct size, heart failure and sudden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val="0"/>
                <w:i w:val="0"/>
                <w:sz w:val="18"/>
              </w:rPr>
              <w:t xml:space="preserve">Caution with </w:t>
            </w:r>
            <w:r>
              <w:rPr>
                <w:b/>
                <w:i w:val="0"/>
                <w:sz w:val="18"/>
              </w:rPr>
              <w:t>bradycardia or hypotension, heart block, and severe reactive airway disease</w:t>
            </w:r>
          </w:p>
        </w:tc>
      </w:tr>
      <w:tr>
        <w:tc>
          <w:tcPr>
            <w:tcW w:type="dxa" w:w="2909"/>
          </w:tcPr>
          <w:p>
            <w:pPr>
              <w:spacing w:after="40"/>
            </w:pPr>
            <w:r>
              <w:rPr>
                <w:sz w:val="18"/>
              </w:rPr>
            </w:r>
            <w:r>
              <w:rPr>
                <w:b/>
                <w:i w:val="0"/>
                <w:sz w:val="18"/>
              </w:rPr>
              <w:t>Morphine</w:t>
            </w:r>
            <w:r>
              <w:rPr>
                <w:b w:val="0"/>
                <w:i w:val="0"/>
                <w:sz w:val="18"/>
              </w:rPr>
              <w:t xml:space="preserve"> [slide 56]</w:t>
            </w:r>
          </w:p>
        </w:tc>
        <w:tc>
          <w:tcPr>
            <w:tcW w:type="dxa" w:w="2909"/>
          </w:tcPr>
          <w:p>
            <w:pPr>
              <w:spacing w:after="40"/>
            </w:pPr>
            <w:r>
              <w:rPr>
                <w:sz w:val="18"/>
              </w:rPr>
            </w:r>
            <w:r>
              <w:rPr>
                <w:b w:val="0"/>
                <w:i w:val="0"/>
                <w:sz w:val="18"/>
              </w:rPr>
              <w:t xml:space="preserve">An opioid analgesic for </w:t>
            </w:r>
            <w:r>
              <w:rPr>
                <w:b/>
                <w:i w:val="0"/>
                <w:sz w:val="18"/>
              </w:rPr>
              <w:t>chest pain that does not respond to nitrates</w:t>
            </w:r>
            <w:r>
              <w:rPr>
                <w:b w:val="0"/>
                <w:i w:val="0"/>
                <w:sz w:val="18"/>
              </w:rPr>
              <w:t>; used in ST-elevation myocardial infarction</w:t>
            </w:r>
          </w:p>
        </w:tc>
        <w:tc>
          <w:tcPr>
            <w:tcW w:type="dxa" w:w="2909"/>
          </w:tcPr>
          <w:p>
            <w:pPr>
              <w:spacing w:after="40"/>
            </w:pPr>
            <w:r>
              <w:rPr>
                <w:sz w:val="18"/>
              </w:rPr>
            </w:r>
            <w:r>
              <w:rPr>
                <w:b w:val="0"/>
                <w:i w:val="0"/>
                <w:sz w:val="18"/>
              </w:rPr>
              <w:t>Analgesic for chest pain [slide 56]</w:t>
            </w:r>
          </w:p>
        </w:tc>
        <w:tc>
          <w:tcPr>
            <w:tcW w:type="dxa" w:w="2909"/>
          </w:tcPr>
          <w:p>
            <w:pPr>
              <w:spacing w:after="40"/>
            </w:pPr>
            <w:r>
              <w:rPr>
                <w:sz w:val="18"/>
              </w:rPr>
            </w:r>
            <w:r>
              <w:rPr>
                <w:b/>
                <w:i w:val="0"/>
                <w:sz w:val="18"/>
              </w:rPr>
              <w:t>Hypotension, allergy</w:t>
            </w:r>
          </w:p>
        </w:tc>
        <w:tc>
          <w:tcPr>
            <w:tcW w:type="dxa" w:w="2909"/>
          </w:tcPr>
          <w:p>
            <w:pPr>
              <w:spacing w:after="40"/>
            </w:pPr>
            <w:r>
              <w:rPr>
                <w:sz w:val="18"/>
              </w:rPr>
            </w:r>
            <w:r>
              <w:rPr>
                <w:b w:val="0"/>
                <w:i w:val="0"/>
                <w:sz w:val="18"/>
              </w:rPr>
              <w:t xml:space="preserve">May have </w:t>
            </w:r>
            <w:r>
              <w:rPr>
                <w:b/>
                <w:i w:val="0"/>
                <w:sz w:val="18"/>
              </w:rPr>
              <w:t>increased mortality in unstable angina and non-ST-elevation myocardial infarction</w:t>
            </w:r>
            <w:r>
              <w:rPr>
                <w:b w:val="0"/>
                <w:i w:val="0"/>
                <w:sz w:val="18"/>
              </w:rPr>
              <w:t>; its use is controversial</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“Aspirin contraindications would just be different kind of like GI bleed or intracranial hemorrhage… should be one of the absolute got to use it, if you have an allergy and couldn’t receive aspirin that’s where those ADP blockers like clopidogrel come into play.”</w:t>
            </w:r>
          </w:p>
          <w:p>
            <w:pPr>
              <w:spacing w:after="120"/>
            </w:pPr>
            <w:r>
              <w:rPr>
                <w:b w:val="0"/>
                <w:i w:val="0"/>
                <w:highlight w:val="yellow"/>
              </w:rPr>
              <w:t>Aspirin first</w:t>
            </w:r>
            <w:r>
              <w:rPr>
                <w:b w:val="0"/>
                <w:i w:val="0"/>
              </w:rPr>
              <w:t>, chewed and swallowed at the first signs; contraindications are allergy, gastrointestinal bleeding and intracranial hemorrhage; clopidogrel is the alternative [slides 37, 52 and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53:58 of the recording: </w:t>
            </w:r>
            <w:r>
              <w:rPr>
                <w:b w:val="0"/>
                <w:i/>
              </w:rPr>
              <w:t>“Nitrates only help with symptom relief… they don’t do anything for outcomes.”</w:t>
            </w:r>
          </w:p>
          <w:p>
            <w:pPr>
              <w:spacing w:after="120"/>
            </w:pPr>
            <w:r>
              <w:rPr>
                <w:b w:val="0"/>
                <w:i w:val="0"/>
                <w:highlight w:val="yellow"/>
              </w:rPr>
              <w:t>Nitrates give pain relief with no mortality benefit</w:t>
            </w:r>
            <w:r>
              <w:rPr>
                <w:b w:val="0"/>
                <w:i w:val="0"/>
              </w:rPr>
              <w:t xml:space="preserve"> in acute coronary syndrome: sublingual first, then an intravenous infusion in hospital [slides 52 and 54].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55:17 of the recording: </w:t>
            </w:r>
            <w:r>
              <w:rPr>
                <w:b w:val="0"/>
                <w:i/>
              </w:rPr>
              <w:t>“Beta blockers will start IV initially till we get them under control and then we can switch over to PO, just know there’s going to be contraindicated if they’re already hypotensive or bradycardic or if they’re having heart block… and then you know they have severe reactive airway disease, something like a cardioselective beta blocker would make sense.”</w:t>
            </w:r>
          </w:p>
          <w:p>
            <w:pPr>
              <w:spacing w:after="120"/>
            </w:pPr>
            <w:r>
              <w:rPr>
                <w:b w:val="0"/>
                <w:i w:val="0"/>
              </w:rPr>
              <w:t xml:space="preserve">Cautions: </w:t>
            </w:r>
            <w:r>
              <w:rPr>
                <w:b w:val="0"/>
                <w:i w:val="0"/>
                <w:highlight w:val="yellow"/>
              </w:rPr>
              <w:t>hypotension, bradycardia, heart block, severe reactive airway disease</w:t>
            </w:r>
            <w:r>
              <w:rPr>
                <w:b w:val="0"/>
                <w:i w:val="0"/>
              </w:rPr>
              <w:t xml:space="preserve"> (a cardioselective agent would make sense) [slide 55]. </w:t>
            </w:r>
            <w:r>
              <w:rPr>
                <w:b/>
                <w:i w:val="0"/>
              </w:rPr>
              <w:t>He teaches intravenous first, then oral, as the course rule:</w:t>
            </w:r>
            <w:r>
              <w:rPr>
                <w:b w:val="0"/>
                <w:i w:val="0"/>
              </w:rPr>
              <w:t xml:space="preserve"> learn that sequence for the exam; the box below says where current guidelines differ.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55:54 of the recording: </w:t>
            </w:r>
            <w:r>
              <w:rPr>
                <w:b w:val="0"/>
                <w:i/>
              </w:rPr>
              <w:t>“Morphine is not really shown to have any benefits on outcomes but it does help out with the pain… if they’re having pain unresponsive to nitrates then you would initiate an opioid like morphine… some controversy in using it for unstable angina and [NSTEMI], but for the most part for STEMI is perfectly fine.”</w:t>
            </w:r>
          </w:p>
          <w:p>
            <w:pPr>
              <w:spacing w:after="120"/>
            </w:pPr>
            <w:r>
              <w:rPr>
                <w:b w:val="0"/>
                <w:i w:val="0"/>
                <w:highlight w:val="yellow"/>
              </w:rPr>
              <w:t>Morphine treats the pain only</w:t>
            </w:r>
            <w:r>
              <w:rPr>
                <w:b w:val="0"/>
                <w:i w:val="0"/>
              </w:rPr>
              <w:t>; it is reserved for pain that does not respond to nitrates, fine in ST-elevation myocardial infarction and controversial in unstable angina and non-ST-elevation myocardial infarction [slide 56].</w:t>
            </w:r>
          </w:p>
        </w:tc>
      </w:tr>
    </w:tbl>
    <w:p>
      <w:pPr>
        <w:spacing w:after="80"/>
      </w:pPr>
    </w:p>
    <w:p>
      <w:pPr>
        <w:spacing w:after="120"/>
      </w:pPr>
      <w:r>
        <w:rPr>
          <w:b w:val="0"/>
          <w:i w:val="0"/>
        </w:rPr>
        <w:t xml:space="preserve">Because the beta blocker cautions in acute coronary syndrome are bradycardia and hypotension [slide 55], </w:t>
      </w:r>
      <w:r>
        <w:rPr>
          <w:b/>
          <w:i w:val="0"/>
        </w:rPr>
        <w:t>heart rate and blood pressure are the findings to check before and after a beta blocker is given</w:t>
      </w:r>
      <w:r>
        <w:rPr>
          <w:b w:val="0"/>
          <w:i w:val="0"/>
        </w:rPr>
        <w:t xml:space="preserve"> (read together with slide 55).</w:t>
      </w:r>
    </w:p>
    <w:p>
      <w:pPr>
        <w:spacing w:after="120"/>
      </w:pPr>
      <w:r>
        <w:rPr>
          <w:b w:val="0"/>
          <w:i w:val="0"/>
        </w:rPr>
        <w:t xml:space="preserve">The slides separate what each drug does for </w:t>
      </w:r>
      <w:r>
        <w:rPr>
          <w:b/>
          <w:i w:val="0"/>
        </w:rPr>
        <w:t>the patient’s survival</w:t>
      </w:r>
      <w:r>
        <w:rPr>
          <w:b w:val="0"/>
          <w:i w:val="0"/>
        </w:rPr>
        <w:t xml:space="preserve"> from what it does for </w:t>
      </w:r>
      <w:r>
        <w:rPr>
          <w:b/>
          <w:i w:val="0"/>
        </w:rPr>
        <w:t>the patient’s pain</w:t>
      </w:r>
      <w:r>
        <w:rPr>
          <w:b w:val="0"/>
          <w:i w:val="0"/>
        </w:rPr>
        <w:t xml:space="preserve">: aspirin and beta blockers change outcomes; </w:t>
      </w:r>
      <w:r>
        <w:rPr>
          <w:b/>
          <w:i w:val="0"/>
        </w:rPr>
        <w:t>nitrates only relieve pain</w:t>
      </w:r>
      <w:r>
        <w:rPr>
          <w:b w:val="0"/>
          <w:i w:val="0"/>
        </w:rPr>
        <w:t xml:space="preserve"> [slides 52 and 54]; morphine is held back for pain that nitrates do not relieve [slide 56]. Slide 52 says beta blockers cut the risk of myocardial infarction among unstable angina patients by 13 percent and cut deaths in myocardial infarction patients by 40 percent.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Course rule versus current practice — beta blockers in acute coronary syndrome.</w:t>
            </w:r>
            <w:r>
              <w:rPr>
                <w:b w:val="0"/>
                <w:i w:val="0"/>
              </w:rPr>
              <w:t xml:space="preserve"> Slide 55 says “intravenous followed by oral,” and slides 52 and 55 credit beta blockers with a reduction in </w:t>
            </w:r>
            <w:r>
              <w:rPr>
                <w:b/>
                <w:i w:val="0"/>
              </w:rPr>
              <w:t>early and late mortality</w:t>
            </w:r>
            <w:r>
              <w:rPr>
                <w:b w:val="0"/>
                <w:i w:val="0"/>
              </w:rPr>
              <w:t xml:space="preserve">, infarct size, heart failure and sudden cardiac death. </w:t>
            </w:r>
            <w:r>
              <w:rPr>
                <w:b/>
                <w:i w:val="0"/>
              </w:rPr>
              <w:t>Learn the intravenous-then-oral sequence and the early and late mortality benefit as the exam answer</w:t>
            </w:r>
            <w:r>
              <w:rPr>
                <w:b w:val="0"/>
                <w:i w:val="0"/>
              </w:rPr>
              <w:t xml:space="preserve"> (the percentages stay unlearned). Current guidance differs: it favors an oral beta blocker within the first 24 hours and avoids early intravenous dosing in patients with signs of heart failure, low output or a risk of shock, keeping the intravenous route for ongoing ischemia or high blood pressure without those contraindications. The mortality figures come from older trials, and the benefit that holds today is mainly long-term use after a myocardial infarction, most clearly with reduced ventricular function; early beta blockade can worsen heart failure and shock. The caution list on the slide is the part that holds in both.</w:t>
            </w:r>
          </w:p>
        </w:tc>
      </w:tr>
    </w:tbl>
    <w:p>
      <w:pPr>
        <w:spacing w:after="80"/>
      </w:pPr>
    </w:p>
    <w:p>
      <w:pPr>
        <w:spacing w:after="120"/>
      </w:pPr>
      <w:r>
        <w:rPr>
          <w:b w:val="0"/>
          <w:i w:val="0"/>
        </w:rPr>
        <w:t>Also tested</w:t>
      </w:r>
    </w:p>
    <w:p>
      <w:pPr>
        <w:pStyle w:val="ListBullet"/>
        <w:spacing w:after="40"/>
      </w:pPr>
      <w:r>
        <w:rPr>
          <w:b/>
          <w:i w:val="0"/>
          <w:sz w:val="20"/>
        </w:rPr>
        <w:t>Beta blockers in acute coronary syndrome: intravenously first, then orally.</w:t>
      </w:r>
      <w:r>
        <w:rPr>
          <w:b w:val="0"/>
          <w:i w:val="0"/>
          <w:sz w:val="20"/>
        </w:rPr>
        <w:t xml:space="preserve"> The traditional sequence is an intravenous beta blocker followed by an oral one. Current guidelines favor oral therapy within the first day and avoid the intravenous route when there is heart failure, low output or a risk of shock.</w:t>
      </w:r>
    </w:p>
    <w:p>
      <w:pPr>
        <w:pStyle w:val="Heading2"/>
        <w:spacing w:before="200" w:after="100"/>
      </w:pPr>
      <w:r>
        <w:rPr>
          <w:rFonts w:ascii="Georgia" w:hAnsi="Georgia"/>
          <w:color w:val="6B3524"/>
        </w:rPr>
        <w:t>5.8 · Objectives 1–7 — Fibrinolytics and other antithrombotic drugs</w:t>
      </w:r>
    </w:p>
    <w:p>
      <w:pPr>
        <w:pStyle w:val="Heading3"/>
        <w:spacing w:before="200" w:after="100"/>
      </w:pPr>
      <w:r>
        <w:rPr>
          <w:rFonts w:ascii="Georgia" w:hAnsi="Georgia"/>
          <w:color w:val="6B3524"/>
        </w:rPr>
        <w:t>The fibrinolytic system [slides 57 and 58]</w:t>
      </w:r>
    </w:p>
    <w:p>
      <w:pPr>
        <w:spacing w:after="120"/>
      </w:pPr>
      <w:r>
        <w:rPr>
          <w:b w:val="0"/>
          <w:i w:val="0"/>
        </w:rPr>
        <w:t xml:space="preserve">The figure shows </w:t>
      </w:r>
      <w:r>
        <w:rPr>
          <w:b/>
          <w:i w:val="0"/>
        </w:rPr>
        <w:t>plasminogen</w:t>
      </w:r>
      <w:r>
        <w:rPr>
          <w:b w:val="0"/>
          <w:i w:val="0"/>
        </w:rPr>
        <w:t xml:space="preserve"> being converted to </w:t>
      </w:r>
      <w:r>
        <w:rPr>
          <w:b/>
          <w:i w:val="0"/>
        </w:rPr>
        <w:t>plasmin</w:t>
      </w:r>
      <w:r>
        <w:rPr>
          <w:b w:val="0"/>
          <w:i w:val="0"/>
        </w:rPr>
        <w:t xml:space="preserve">, and plasmin breaking fibrin into fibrin products [slide 57]. </w:t>
      </w:r>
      <w:r>
        <w:rPr>
          <w:b/>
          <w:i w:val="0"/>
        </w:rPr>
        <w:t>Tissue plasminogen activator</w:t>
      </w:r>
      <w:r>
        <w:rPr>
          <w:b w:val="0"/>
          <w:i w:val="0"/>
        </w:rPr>
        <w:t xml:space="preserve"> drives the first step [slide 57]. The brakes on the system are </w:t>
      </w:r>
      <w:r>
        <w:rPr>
          <w:b/>
          <w:i w:val="0"/>
        </w:rPr>
        <w:t>plasminogen activator inhibitor-1, plasminogen activator inhibitor-2, alpha-2 antiplasmin and thrombin-activatable fibrinolysis inhibitor</w:t>
      </w:r>
      <w:r>
        <w:rPr>
          <w:b w:val="0"/>
          <w:i w:val="0"/>
        </w:rPr>
        <w:t xml:space="preserve"> [slide 57]. All the fibrinolytic drugs act </w:t>
      </w:r>
      <w:r>
        <w:rPr>
          <w:b/>
          <w:i w:val="0"/>
        </w:rPr>
        <w:t>directly or indirectly to activate the conversion of plasminogen to plasmin</w:t>
      </w:r>
      <w:r>
        <w:rPr>
          <w:b w:val="0"/>
          <w:i w:val="0"/>
        </w:rPr>
        <w:t xml:space="preserve"> [slide 58]. Plasminogen is inactive in the circulation and is converted to plasmin by tissue plasminogen activator [slide 58]. Plasmin lyses fibrin and fibrinogen [slide 58].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58:27 of the recording: </w:t>
            </w:r>
            <w:r>
              <w:rPr>
                <w:b w:val="0"/>
                <w:i/>
              </w:rPr>
              <w:t>“Streptokinase,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w:t>
            </w:r>
          </w:p>
          <w:p>
            <w:pPr>
              <w:spacing w:after="120"/>
            </w:pPr>
            <w:r>
              <w:rPr>
                <w:b/>
                <w:i w:val="0"/>
              </w:rPr>
              <w:t>Learn the picture, not the drug:</w:t>
            </w:r>
            <w:r>
              <w:rPr>
                <w:b w:val="0"/>
                <w:i w:val="0"/>
              </w:rPr>
              <w:t xml:space="preserve"> plasminogen is converted to plasmin, by a streptokinase complex or by tissue plasminogen activator, which the body also makes [slides 59 and 60].</w:t>
            </w:r>
          </w:p>
        </w:tc>
      </w:tr>
    </w:tbl>
    <w:p>
      <w:pPr>
        <w:spacing w:after="80"/>
      </w:pPr>
    </w:p>
    <w:p>
      <w:pPr>
        <w:pStyle w:val="Heading3"/>
        <w:spacing w:before="200" w:after="100"/>
      </w:pPr>
      <w:r>
        <w:rPr>
          <w:rFonts w:ascii="Georgia" w:hAnsi="Georgia"/>
          <w:color w:val="6B3524"/>
        </w:rPr>
        <w:t>Mechanisms by agent [slides 59 to 61]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How it works</w:t>
            </w:r>
          </w:p>
        </w:tc>
      </w:tr>
      <w:tr>
        <w:tc>
          <w:tcPr>
            <w:tcW w:type="dxa" w:w="7272"/>
          </w:tcPr>
          <w:p>
            <w:pPr>
              <w:spacing w:after="40"/>
            </w:pPr>
            <w:r>
              <w:rPr>
                <w:sz w:val="18"/>
              </w:rPr>
            </w:r>
            <w:r>
              <w:rPr>
                <w:b/>
                <w:i w:val="0"/>
                <w:sz w:val="18"/>
              </w:rPr>
              <w:t>Streptokinase</w:t>
            </w:r>
          </w:p>
        </w:tc>
        <w:tc>
          <w:tcPr>
            <w:tcW w:type="dxa" w:w="7272"/>
          </w:tcPr>
          <w:p>
            <w:pPr>
              <w:spacing w:after="40"/>
            </w:pPr>
            <w:r>
              <w:rPr>
                <w:sz w:val="18"/>
              </w:rPr>
            </w:r>
            <w:r>
              <w:rPr>
                <w:b w:val="0"/>
                <w:i w:val="0"/>
                <w:sz w:val="18"/>
              </w:rPr>
              <w:t xml:space="preserve">Forms a </w:t>
            </w:r>
            <w:r>
              <w:rPr>
                <w:b/>
                <w:i w:val="0"/>
                <w:sz w:val="18"/>
              </w:rPr>
              <w:t>stable 1:1 complex with plasminogen</w:t>
            </w:r>
            <w:r>
              <w:rPr>
                <w:b w:val="0"/>
                <w:i w:val="0"/>
                <w:sz w:val="18"/>
              </w:rPr>
              <w:t>; the complex exposes a catalytic site and converts other plasminogen to plasmin [slides 59 and 60]</w:t>
            </w:r>
          </w:p>
        </w:tc>
      </w:tr>
      <w:tr>
        <w:tc>
          <w:tcPr>
            <w:tcW w:type="dxa" w:w="7272"/>
          </w:tcPr>
          <w:p>
            <w:pPr>
              <w:spacing w:after="40"/>
            </w:pPr>
            <w:r>
              <w:rPr>
                <w:sz w:val="18"/>
              </w:rPr>
            </w:r>
            <w:r>
              <w:rPr>
                <w:b/>
                <w:i w:val="0"/>
                <w:sz w:val="18"/>
              </w:rPr>
              <w:t>Urokinase</w:t>
            </w:r>
          </w:p>
        </w:tc>
        <w:tc>
          <w:tcPr>
            <w:tcW w:type="dxa" w:w="7272"/>
          </w:tcPr>
          <w:p>
            <w:pPr>
              <w:spacing w:after="40"/>
            </w:pPr>
            <w:r>
              <w:rPr>
                <w:sz w:val="18"/>
              </w:rPr>
            </w:r>
            <w:r>
              <w:rPr>
                <w:b w:val="0"/>
                <w:i w:val="0"/>
                <w:sz w:val="18"/>
              </w:rPr>
              <w:t>Converts plasminogen to plasmin directly [slide 60]</w:t>
            </w:r>
          </w:p>
        </w:tc>
      </w:tr>
      <w:tr>
        <w:tc>
          <w:tcPr>
            <w:tcW w:type="dxa" w:w="7272"/>
          </w:tcPr>
          <w:p>
            <w:pPr>
              <w:spacing w:after="40"/>
            </w:pPr>
            <w:r>
              <w:rPr>
                <w:sz w:val="18"/>
              </w:rPr>
            </w:r>
            <w:r>
              <w:rPr>
                <w:b/>
                <w:i w:val="0"/>
                <w:sz w:val="18"/>
              </w:rPr>
              <w:t>Tissue plasminogen activator (alteplase)</w:t>
            </w:r>
          </w:p>
        </w:tc>
        <w:tc>
          <w:tcPr>
            <w:tcW w:type="dxa" w:w="7272"/>
          </w:tcPr>
          <w:p>
            <w:pPr>
              <w:spacing w:after="40"/>
            </w:pPr>
            <w:r>
              <w:rPr>
                <w:sz w:val="18"/>
              </w:rPr>
            </w:r>
            <w:r>
              <w:rPr>
                <w:b/>
                <w:i w:val="0"/>
                <w:sz w:val="18"/>
              </w:rPr>
              <w:t>Binds plasminogen that is bound to fibrin</w:t>
            </w:r>
            <w:r>
              <w:rPr>
                <w:b w:val="0"/>
                <w:i w:val="0"/>
                <w:sz w:val="18"/>
              </w:rPr>
              <w:t xml:space="preserve"> and converts it to plasmin, which lyses the clot [slide 59]</w:t>
            </w:r>
          </w:p>
        </w:tc>
      </w:tr>
      <w:tr>
        <w:tc>
          <w:tcPr>
            <w:tcW w:type="dxa" w:w="7272"/>
          </w:tcPr>
          <w:p>
            <w:pPr>
              <w:spacing w:after="40"/>
            </w:pPr>
            <w:r>
              <w:rPr>
                <w:sz w:val="18"/>
              </w:rPr>
            </w:r>
            <w:r>
              <w:rPr>
                <w:b/>
                <w:i w:val="0"/>
                <w:sz w:val="18"/>
              </w:rPr>
              <w:t>Reteplase and tenecteplase</w:t>
            </w:r>
          </w:p>
        </w:tc>
        <w:tc>
          <w:tcPr>
            <w:tcW w:type="dxa" w:w="7272"/>
          </w:tcPr>
          <w:p>
            <w:pPr>
              <w:spacing w:after="40"/>
            </w:pPr>
            <w:r>
              <w:rPr>
                <w:sz w:val="18"/>
              </w:rPr>
            </w:r>
            <w:r>
              <w:rPr>
                <w:b w:val="0"/>
                <w:i w:val="0"/>
                <w:sz w:val="18"/>
              </w:rPr>
              <w:t>Act like tissue plasminogen activator on fibrin-bound plasminogen; very similar responses and adverse effects [slide 61]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58:49 of the recording: </w:t>
            </w:r>
            <w:r>
              <w:rPr>
                <w:b w:val="0"/>
                <w:i/>
              </w:rPr>
              <w:t>“The three main ones you’re going to run into include tPA, which is a recombinant tissue plasminogen activator, and then we also have reteplase and tenecteplase… working more specifically on plasminogen that’s bound to fibrin… if it activated plasminogen all over the body you just bleed out and die.”</w:t>
            </w:r>
          </w:p>
          <w:p>
            <w:pPr>
              <w:spacing w:after="120"/>
            </w:pPr>
            <w:r>
              <w:rPr>
                <w:b w:val="0"/>
                <w:i w:val="0"/>
                <w:highlight w:val="yellow"/>
              </w:rPr>
              <w:t>Alteplase, reteplase and tenecteplase</w:t>
            </w:r>
            <w:r>
              <w:rPr>
                <w:b w:val="0"/>
                <w:i w:val="0"/>
              </w:rPr>
              <w:t xml:space="preserve"> are recombinant and aimed at plasminogen bound to fibrin, so the clot is lysed with less activation of plasminogen elsewhere (selectivity is relative; bleeding is still the main risk) [slides 59 and 61]. </w:t>
            </w:r>
            <w:r>
              <w:rPr>
                <w:b/>
                <w:i w:val="0"/>
              </w:rPr>
              <w:t>Study note:</w:t>
            </w:r>
            <w:r>
              <w:rPr>
                <w:b w:val="0"/>
                <w:i w:val="0"/>
              </w:rPr>
              <w:t xml:space="preserve"> he describes the fibrin selectivity at the class level; the deck-versus-truth box below applies to reteplase.</w:t>
            </w:r>
          </w:p>
        </w:tc>
      </w:tr>
    </w:tbl>
    <w:p>
      <w:pPr>
        <w:spacing w:after="80"/>
      </w:pPr>
    </w:p>
    <w:p>
      <w:pPr>
        <w:pStyle w:val="Heading3"/>
        <w:spacing w:before="200" w:after="100"/>
      </w:pPr>
      <w:r>
        <w:rPr>
          <w:rFonts w:ascii="Georgia" w:hAnsi="Georgia"/>
          <w:color w:val="6B3524"/>
        </w:rPr>
        <w:t>The three agents and what sets them apart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 (brand)</w:t>
            </w:r>
          </w:p>
        </w:tc>
        <w:tc>
          <w:tcPr>
            <w:tcW w:type="dxa" w:w="7272"/>
            <w:shd w:val="clear" w:color="auto" w:fill="6B3524"/>
          </w:tcPr>
          <w:p>
            <w:pPr>
              <w:spacing w:after="40"/>
            </w:pPr>
            <w:r>
              <w:rPr>
                <w:b/>
                <w:color w:val="FFFFFF"/>
                <w:sz w:val="18"/>
              </w:rPr>
            </w:r>
            <w:r>
              <w:rPr>
                <w:b/>
                <w:i w:val="0"/>
                <w:color w:val="FFFFFF"/>
                <w:sz w:val="18"/>
              </w:rPr>
              <w:t>Source and notes</w:t>
            </w:r>
          </w:p>
        </w:tc>
      </w:tr>
      <w:tr>
        <w:tc>
          <w:tcPr>
            <w:tcW w:type="dxa" w:w="7272"/>
          </w:tcPr>
          <w:p>
            <w:pPr>
              <w:spacing w:after="40"/>
            </w:pPr>
            <w:r>
              <w:rPr>
                <w:sz w:val="18"/>
              </w:rPr>
            </w:r>
            <w:r>
              <w:rPr>
                <w:b/>
                <w:i w:val="0"/>
                <w:sz w:val="18"/>
              </w:rPr>
              <w:t>Alteplase (Activase)</w:t>
            </w:r>
          </w:p>
        </w:tc>
        <w:tc>
          <w:tcPr>
            <w:tcW w:type="dxa" w:w="7272"/>
          </w:tcPr>
          <w:p>
            <w:pPr>
              <w:spacing w:after="40"/>
            </w:pPr>
            <w:r>
              <w:rPr>
                <w:sz w:val="18"/>
              </w:rPr>
            </w:r>
            <w:r>
              <w:rPr>
                <w:b w:val="0"/>
                <w:i w:val="0"/>
                <w:sz w:val="18"/>
              </w:rPr>
              <w:t>Recombinant deoxyribonucleic acid technology in Chinese hamster ovary cells; directly activates fibrin-bound plasminogen; very expensive</w:t>
            </w:r>
          </w:p>
        </w:tc>
      </w:tr>
      <w:tr>
        <w:tc>
          <w:tcPr>
            <w:tcW w:type="dxa" w:w="7272"/>
          </w:tcPr>
          <w:p>
            <w:pPr>
              <w:spacing w:after="40"/>
            </w:pPr>
            <w:r>
              <w:rPr>
                <w:sz w:val="18"/>
              </w:rPr>
            </w:r>
            <w:r>
              <w:rPr>
                <w:b/>
                <w:i w:val="0"/>
                <w:sz w:val="18"/>
              </w:rPr>
              <w:t>Reteplase (Retavase)</w:t>
            </w:r>
          </w:p>
        </w:tc>
        <w:tc>
          <w:tcPr>
            <w:tcW w:type="dxa" w:w="7272"/>
          </w:tcPr>
          <w:p>
            <w:pPr>
              <w:spacing w:after="40"/>
            </w:pPr>
            <w:r>
              <w:rPr>
                <w:sz w:val="18"/>
              </w:rPr>
            </w:r>
            <w:r>
              <w:rPr>
                <w:b w:val="0"/>
                <w:i w:val="0"/>
                <w:sz w:val="18"/>
              </w:rPr>
              <w:t xml:space="preserve">Made in </w:t>
            </w:r>
            <w:r>
              <w:rPr>
                <w:b w:val="0"/>
                <w:i/>
                <w:sz w:val="18"/>
              </w:rPr>
              <w:t>Escherichia coli</w:t>
            </w:r>
            <w:r>
              <w:rPr>
                <w:b w:val="0"/>
                <w:i w:val="0"/>
                <w:sz w:val="18"/>
              </w:rPr>
              <w:t xml:space="preserve"> cells; recombinant</w:t>
            </w:r>
          </w:p>
        </w:tc>
      </w:tr>
      <w:tr>
        <w:tc>
          <w:tcPr>
            <w:tcW w:type="dxa" w:w="7272"/>
          </w:tcPr>
          <w:p>
            <w:pPr>
              <w:spacing w:after="40"/>
            </w:pPr>
            <w:r>
              <w:rPr>
                <w:sz w:val="18"/>
              </w:rPr>
            </w:r>
            <w:r>
              <w:rPr>
                <w:b/>
                <w:i w:val="0"/>
                <w:sz w:val="18"/>
              </w:rPr>
              <w:t>Tenecteplase (TNKase)</w:t>
            </w:r>
          </w:p>
        </w:tc>
        <w:tc>
          <w:tcPr>
            <w:tcW w:type="dxa" w:w="7272"/>
          </w:tcPr>
          <w:p>
            <w:pPr>
              <w:spacing w:after="40"/>
            </w:pPr>
            <w:r>
              <w:rPr>
                <w:sz w:val="18"/>
              </w:rPr>
            </w:r>
            <w:r>
              <w:rPr>
                <w:b w:val="0"/>
                <w:i w:val="0"/>
                <w:sz w:val="18"/>
              </w:rPr>
              <w:t>Chinese hamster ovary cells; recombinant with substituted amino acids</w:t>
            </w:r>
          </w:p>
        </w:tc>
      </w:tr>
    </w:tbl>
    <w:p>
      <w:pPr>
        <w:spacing w:after="80"/>
      </w:pPr>
    </w:p>
    <w:p>
      <w:pPr>
        <w:spacing w:after="120"/>
      </w:pPr>
      <w:r>
        <w:rPr>
          <w:b/>
          <w:i w:val="0"/>
        </w:rPr>
        <w:t>Alteplase, reteplase and tenecteplase are the three recombinant fibrinolytic agents</w:t>
      </w:r>
      <w:r>
        <w:rPr>
          <w:b w:val="0"/>
          <w:i w:val="0"/>
        </w:rPr>
        <w:t xml:space="preserve"> on slide 64; streptokinase is a bacterial protein, not recombinant [slides 59, 61 and 64]. Tenecteplase is a recombinant fibrinolytic, like alteplase and reteplase [slide 64].</w:t>
      </w:r>
    </w:p>
    <w:p>
      <w:pPr>
        <w:spacing w:after="120"/>
      </w:pPr>
      <w:r>
        <w:rPr>
          <w:b w:val="0"/>
          <w:i w:val="0"/>
        </w:rPr>
        <w:t xml:space="preserve">Reteplase and tenecteplase have a </w:t>
      </w:r>
      <w:r>
        <w:rPr>
          <w:b/>
          <w:i w:val="0"/>
        </w:rPr>
        <w:t>longer half-life than tissue plasminogen activator</w:t>
      </w:r>
      <w:r>
        <w:rPr>
          <w:b w:val="0"/>
          <w:i w:val="0"/>
        </w:rPr>
        <w:t xml:space="preserve"> and are </w:t>
      </w:r>
      <w:r>
        <w:rPr>
          <w:b/>
          <w:i w:val="0"/>
        </w:rPr>
        <w:t>relatively resistant to plasminogen activator inhibitor-1</w:t>
      </w:r>
      <w:r>
        <w:rPr>
          <w:b w:val="0"/>
          <w:i w:val="0"/>
        </w:rPr>
        <w:t xml:space="preserve"> [slide 64].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1:02:06 of the recording: </w:t>
            </w:r>
            <w:r>
              <w:rPr>
                <w:b w:val="0"/>
                <w:i/>
              </w:rPr>
              <w:t>“They work very similar to one another, they’re all going to be expensive, they can all cause allergy and they all cause bleeding… it’s usually just based off provider preference and hospital formulary.”</w:t>
            </w:r>
          </w:p>
          <w:p>
            <w:pPr>
              <w:spacing w:after="120"/>
            </w:pPr>
            <w:r>
              <w:rPr>
                <w:b w:val="0"/>
                <w:i w:val="0"/>
                <w:highlight w:val="yellow"/>
              </w:rPr>
              <w:t>The three recombinant agents are very similar in response and adverse effects</w:t>
            </w:r>
            <w:r>
              <w:rPr>
                <w:b w:val="0"/>
                <w:i w:val="0"/>
              </w:rPr>
              <w:t>: all are expensive, all can cause allergy and all cause bleeding; the choice follows provider preference and hospital formulary [slides 61 and 62].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fibrin affinity, the factor list and urokinase.</w:t>
            </w:r>
          </w:p>
          <w:p>
            <w:pPr>
              <w:pStyle w:val="ListBullet"/>
              <w:spacing w:after="40"/>
            </w:pPr>
            <w:r>
              <w:rPr>
                <w:b/>
                <w:i w:val="0"/>
                <w:sz w:val="20"/>
              </w:rPr>
              <w:t>Fibrin affinity.</w:t>
            </w:r>
            <w:r>
              <w:rPr>
                <w:b w:val="0"/>
                <w:i w:val="0"/>
                <w:sz w:val="20"/>
              </w:rPr>
              <w:t xml:space="preserve"> Slide 64 says reteplase and tenecteplase have “increased affinity for fibrin”, and slide 61 says tissue plasminogen activator, reteplase and tenecteplase activate “only” fibrin-bound plasminogen. True for tenecteplase. </w:t>
            </w:r>
            <w:r>
              <w:rPr>
                <w:b/>
                <w:i w:val="0"/>
                <w:sz w:val="20"/>
              </w:rPr>
              <w:t>False for reteplase, which binds fibrin less avidly than alteplase.</w:t>
            </w:r>
            <w:r>
              <w:rPr>
                <w:b w:val="0"/>
                <w:i w:val="0"/>
                <w:sz w:val="20"/>
              </w:rPr>
              <w:t xml:space="preserve"> All three favor clot-bound plasminogen, but not absolutely. Do not rely on the fibrin-affinity claim for reteplase.</w:t>
            </w:r>
          </w:p>
          <w:p>
            <w:pPr>
              <w:pStyle w:val="ListBullet"/>
              <w:spacing w:after="40"/>
            </w:pPr>
            <w:r>
              <w:rPr>
                <w:b/>
                <w:i w:val="0"/>
                <w:sz w:val="20"/>
              </w:rPr>
              <w:t>Inhibitor resistance.</w:t>
            </w:r>
            <w:r>
              <w:rPr>
                <w:b w:val="0"/>
                <w:i w:val="0"/>
                <w:sz w:val="20"/>
              </w:rPr>
              <w:t xml:space="preserve"> Slide 64 says reteplase and tenecteplase are relatively resistant to plasminogen activator inhibitor-1. That is an established property of tenecteplase; do not rely on it for reteplase.</w:t>
            </w:r>
          </w:p>
          <w:p>
            <w:pPr>
              <w:pStyle w:val="ListBullet"/>
              <w:spacing w:after="40"/>
            </w:pPr>
            <w:r>
              <w:rPr>
                <w:b/>
                <w:i w:val="0"/>
                <w:sz w:val="20"/>
              </w:rPr>
              <w:t>Factor list.</w:t>
            </w:r>
            <w:r>
              <w:rPr>
                <w:b w:val="0"/>
                <w:i w:val="0"/>
                <w:sz w:val="20"/>
              </w:rPr>
              <w:t xml:space="preserve"> Slide 58 says plasmin lyses factors II, V and VII as well as fibrin and fibrinogen. Sources differ on which clotting factors plasmin degrades; the firm point is fibrin and fibrinogen. Do not memorize the factor list.</w:t>
            </w:r>
          </w:p>
          <w:p>
            <w:pPr>
              <w:pStyle w:val="ListBullet"/>
              <w:spacing w:after="40"/>
            </w:pPr>
            <w:r>
              <w:rPr>
                <w:b/>
                <w:i w:val="0"/>
                <w:sz w:val="20"/>
              </w:rPr>
              <w:t>Antigenic reactions.</w:t>
            </w:r>
            <w:r>
              <w:rPr>
                <w:b w:val="0"/>
                <w:i w:val="0"/>
                <w:sz w:val="20"/>
              </w:rPr>
              <w:t xml:space="preserve"> Slide 62 attributes fever, chills and rash “mainly to streptokinase and urokinase”. Only </w:t>
            </w:r>
            <w:r>
              <w:rPr>
                <w:b/>
                <w:i w:val="0"/>
                <w:sz w:val="20"/>
              </w:rPr>
              <w:t>streptokinase</w:t>
            </w:r>
            <w:r>
              <w:rPr>
                <w:b w:val="0"/>
                <w:i w:val="0"/>
                <w:sz w:val="20"/>
              </w:rPr>
              <w:t xml:space="preserve"> is antigenic (it is a bacterial protein, so the body makes antibodies to it); urokinase is a human enzyme. Attribute these reactions to streptokinase only.</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no absorption or excretion data. What they give is how each agent is made and how long it lasts: alteplase and tenecteplase come from recombinant Chinese hamster ovary cells and reteplase from recombinant </w:t>
      </w:r>
      <w:r>
        <w:rPr>
          <w:b w:val="0"/>
          <w:i/>
        </w:rPr>
        <w:t>Escherichia coli</w:t>
      </w:r>
      <w:r>
        <w:rPr>
          <w:b w:val="0"/>
          <w:i w:val="0"/>
        </w:rPr>
        <w:t xml:space="preserve"> cells [slide 64]; reteplase and tenecteplase have a longer half-life than tissue plasminogen activator [slide 64]; and streptokinase forms a stable 1:1 complex with plasminogen [slide 59].</w:t>
      </w:r>
    </w:p>
    <w:p>
      <w:pPr>
        <w:pStyle w:val="Heading3"/>
        <w:spacing w:before="200" w:after="100"/>
      </w:pPr>
      <w:r>
        <w:rPr>
          <w:rFonts w:ascii="Georgia" w:hAnsi="Georgia"/>
          <w:color w:val="6B3524"/>
        </w:rPr>
        <w:t>Adverse effects, all agents (Objectives 5 and 6) [slide 62]</w:t>
      </w:r>
    </w:p>
    <w:p>
      <w:pPr>
        <w:pStyle w:val="ListBullet"/>
        <w:spacing w:after="40"/>
      </w:pPr>
      <w:r>
        <w:rPr>
          <w:b/>
          <w:i w:val="0"/>
          <w:sz w:val="20"/>
        </w:rPr>
        <w:t>Bleeding.</w:t>
      </w:r>
    </w:p>
    <w:p>
      <w:pPr>
        <w:pStyle w:val="ListBullet"/>
        <w:spacing w:after="40"/>
      </w:pPr>
      <w:r>
        <w:rPr>
          <w:b/>
          <w:i w:val="0"/>
          <w:sz w:val="20"/>
        </w:rPr>
        <w:t>Allergic reactions</w:t>
      </w:r>
      <w:r>
        <w:rPr>
          <w:b w:val="0"/>
          <w:i w:val="0"/>
          <w:sz w:val="20"/>
        </w:rPr>
        <w:t>; fever, chills and skin rash, which belong to streptokinase (see the box above).</w:t>
      </w:r>
    </w:p>
    <w:p>
      <w:pPr>
        <w:pStyle w:val="ListBullet"/>
        <w:spacing w:after="40"/>
      </w:pPr>
      <w:r>
        <w:rPr>
          <w:b/>
          <w:i w:val="0"/>
          <w:sz w:val="20"/>
        </w:rPr>
        <w:t>Anaphylactic reactions.</w:t>
      </w:r>
    </w:p>
    <w:p>
      <w:pPr>
        <w:pStyle w:val="ListBullet"/>
        <w:spacing w:after="40"/>
      </w:pPr>
      <w:r>
        <w:rPr>
          <w:b/>
          <w:i w:val="0"/>
          <w:sz w:val="20"/>
        </w:rPr>
        <w:t>Ventricular arrhythmias.</w:t>
      </w:r>
    </w:p>
    <w:p>
      <w:pPr>
        <w:spacing w:after="120"/>
      </w:pPr>
      <w:r>
        <w:rPr>
          <w:b/>
          <w:i w:val="0"/>
        </w:rPr>
        <w:t>Allergic reactions including anaphylaxis (anaphylactic reactions) are listed for all fibrinolytic agents</w:t>
      </w:r>
      <w:r>
        <w:rPr>
          <w:b w:val="0"/>
          <w:i w:val="0"/>
        </w:rPr>
        <w:t>; fever, chills and skin rash occur mainly with streptokinase [slide 62].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59:41 of the recording: </w:t>
            </w:r>
            <w:r>
              <w:rPr>
                <w:b w:val="0"/>
                <w:i/>
              </w:rPr>
              <w:t>“Adverse effects, all these agents, bleeding is the big one… hemorrhagic stroke, GI bleeds, all kinds of bleeds are possible… allergic reactions because these are protein-based medications… and then you could also see ventricular arrhythmias.”</w:t>
            </w:r>
          </w:p>
          <w:p>
            <w:pPr>
              <w:spacing w:after="120"/>
            </w:pPr>
            <w:r>
              <w:rPr>
                <w:b w:val="0"/>
                <w:i w:val="0"/>
                <w:highlight w:val="yellow"/>
              </w:rPr>
              <w:t>Bleeding is the big one</w:t>
            </w:r>
            <w:r>
              <w:rPr>
                <w:b w:val="0"/>
                <w:i w:val="0"/>
              </w:rPr>
              <w:t>, including hemorrhagic stroke and gastrointestinal bleeds; allergic reactions; ventricular arrhythmias [slide 62].</w:t>
            </w:r>
          </w:p>
        </w:tc>
      </w:tr>
    </w:tbl>
    <w:p>
      <w:pPr>
        <w:spacing w:after="80"/>
      </w:pPr>
    </w:p>
    <w:p>
      <w:pPr>
        <w:pStyle w:val="Heading3"/>
        <w:spacing w:before="200" w:after="100"/>
      </w:pPr>
      <w:r>
        <w:rPr>
          <w:rFonts w:ascii="Georgia" w:hAnsi="Georgia"/>
          <w:color w:val="6B3524"/>
        </w:rPr>
        <w:t>The nine contraindications (Objective 7) [slide 63]</w:t>
      </w:r>
    </w:p>
    <w:p>
      <w:pPr>
        <w:spacing w:after="120"/>
      </w:pPr>
      <w:r>
        <w:rPr>
          <w:b w:val="0"/>
          <w:i w:val="0"/>
        </w:rPr>
        <w:t xml:space="preserve">Each of these nine findings contraindicates fibrinolytics, and they apply to every fibrinolytic agent, including tenecteplase, alteplase and reteplase, with one exception: prior exposure to streptokinase or an allergic reaction to it bars streptokinase only [slides 62 and 63]. The nine findings are: </w:t>
      </w:r>
      <w:r>
        <w:rPr>
          <w:b/>
          <w:i w:val="0"/>
        </w:rPr>
        <w:t>active bleeding</w:t>
      </w:r>
      <w:r>
        <w:rPr>
          <w:b w:val="0"/>
          <w:i w:val="0"/>
        </w:rPr>
        <w:t xml:space="preserve"> or a hemorrhagic disorder; </w:t>
      </w:r>
      <w:r>
        <w:rPr>
          <w:b/>
          <w:i w:val="0"/>
        </w:rPr>
        <w:t>pregnancy</w:t>
      </w:r>
      <w:r>
        <w:rPr>
          <w:b w:val="0"/>
          <w:i w:val="0"/>
        </w:rPr>
        <w:t xml:space="preserve">; </w:t>
      </w:r>
      <w:r>
        <w:rPr>
          <w:b/>
          <w:i w:val="0"/>
        </w:rPr>
        <w:t>aortic dissection</w:t>
      </w:r>
      <w:r>
        <w:rPr>
          <w:b w:val="0"/>
          <w:i w:val="0"/>
        </w:rPr>
        <w:t xml:space="preserve">; </w:t>
      </w:r>
      <w:r>
        <w:rPr>
          <w:b/>
          <w:i w:val="0"/>
        </w:rPr>
        <w:t>serious head or facial trauma</w:t>
      </w:r>
      <w:r>
        <w:rPr>
          <w:b w:val="0"/>
          <w:i w:val="0"/>
        </w:rPr>
        <w:t xml:space="preserve"> (listed with recent surgery); and the other five below. Fibrinolytics cause bleeding as their main adverse effect [slides 62 and 65].</w:t>
      </w:r>
    </w:p>
    <w:p>
      <w:pPr>
        <w:pStyle w:val="ListNumber"/>
        <w:spacing w:after="40"/>
      </w:pPr>
      <w:r>
        <w:rPr>
          <w:b/>
          <w:i w:val="0"/>
          <w:sz w:val="20"/>
        </w:rPr>
        <w:t>Recent surgery</w:t>
      </w:r>
      <w:r>
        <w:rPr>
          <w:b w:val="0"/>
          <w:i w:val="0"/>
          <w:sz w:val="20"/>
        </w:rPr>
        <w:t>, including organ biopsy, puncture of non-compressible vessels, serious head or facial trauma and cardiopulmonary resuscitation (the slide says within 10 days).</w:t>
      </w:r>
    </w:p>
    <w:p>
      <w:pPr>
        <w:pStyle w:val="ListNumber"/>
        <w:spacing w:after="40"/>
      </w:pPr>
      <w:r>
        <w:rPr>
          <w:b/>
          <w:i w:val="0"/>
          <w:sz w:val="20"/>
        </w:rPr>
        <w:t>Serious gastrointestinal bleeding</w:t>
      </w:r>
      <w:r>
        <w:rPr>
          <w:b w:val="0"/>
          <w:i w:val="0"/>
          <w:sz w:val="20"/>
        </w:rPr>
        <w:t xml:space="preserve"> (the slide says within 3 months).</w:t>
      </w:r>
    </w:p>
    <w:p>
      <w:pPr>
        <w:pStyle w:val="ListNumber"/>
        <w:spacing w:after="40"/>
      </w:pPr>
      <w:r>
        <w:rPr>
          <w:b/>
          <w:i w:val="0"/>
          <w:sz w:val="20"/>
        </w:rPr>
        <w:t>History of hypertension</w:t>
      </w:r>
      <w:r>
        <w:rPr>
          <w:b w:val="0"/>
          <w:i w:val="0"/>
          <w:sz w:val="20"/>
        </w:rPr>
        <w:t xml:space="preserve"> with a diastolic pressure above 110 mmHg.</w:t>
      </w:r>
    </w:p>
    <w:p>
      <w:pPr>
        <w:pStyle w:val="ListNumber"/>
        <w:spacing w:after="40"/>
      </w:pPr>
      <w:r>
        <w:rPr>
          <w:b/>
          <w:i w:val="0"/>
          <w:sz w:val="20"/>
        </w:rPr>
        <w:t>Active bleeding or a hemorrhagic disorder contraindicates fibrinolytics.</w:t>
      </w:r>
    </w:p>
    <w:p>
      <w:pPr>
        <w:pStyle w:val="ListNumber"/>
        <w:spacing w:after="40"/>
      </w:pPr>
      <w:r>
        <w:rPr>
          <w:b/>
          <w:i w:val="0"/>
          <w:sz w:val="20"/>
        </w:rPr>
        <w:t>Previous cerebrovascular accident or an active intracranial process</w:t>
      </w:r>
      <w:r>
        <w:rPr>
          <w:b w:val="0"/>
          <w:i w:val="0"/>
          <w:sz w:val="20"/>
        </w:rPr>
        <w:t xml:space="preserve"> such as a tumor.</w:t>
      </w:r>
    </w:p>
    <w:p>
      <w:pPr>
        <w:pStyle w:val="ListNumber"/>
        <w:spacing w:after="40"/>
      </w:pPr>
      <w:r>
        <w:rPr>
          <w:b/>
          <w:i w:val="0"/>
          <w:sz w:val="20"/>
        </w:rPr>
        <w:t>Aortic dissection.</w:t>
      </w:r>
    </w:p>
    <w:p>
      <w:pPr>
        <w:pStyle w:val="ListNumber"/>
        <w:spacing w:after="40"/>
      </w:pPr>
      <w:r>
        <w:rPr>
          <w:b/>
          <w:i w:val="0"/>
          <w:sz w:val="20"/>
        </w:rPr>
        <w:t>Acute pericarditis.</w:t>
      </w:r>
    </w:p>
    <w:p>
      <w:pPr>
        <w:pStyle w:val="ListNumber"/>
        <w:spacing w:after="40"/>
      </w:pPr>
      <w:r>
        <w:rPr>
          <w:b/>
          <w:i w:val="0"/>
          <w:sz w:val="20"/>
        </w:rPr>
        <w:t>Prior exposure to streptokinase or an allergic reaction to it.</w:t>
      </w:r>
    </w:p>
    <w:p>
      <w:pPr>
        <w:pStyle w:val="ListNumber"/>
        <w:spacing w:after="40"/>
      </w:pPr>
      <w:r>
        <w:rPr>
          <w:b/>
          <w:i w:val="0"/>
          <w:sz w:val="20"/>
        </w:rPr>
        <w:t>Pregnancy.</w:t>
      </w:r>
    </w:p>
    <w:p>
      <w:pPr>
        <w:spacing w:after="120"/>
      </w:pPr>
      <w:r>
        <w:rPr>
          <w:b w:val="0"/>
          <w:i w:val="0"/>
        </w:rPr>
        <w:t xml:space="preserve">Most of the list is one idea: </w:t>
      </w:r>
      <w:r>
        <w:rPr>
          <w:b/>
          <w:i w:val="0"/>
        </w:rPr>
        <w:t>anything that could bleed, or that a bleed would make catastrophic.</w:t>
      </w:r>
      <w:r>
        <w:rPr>
          <w:b w:val="0"/>
          <w:i w:val="0"/>
        </w:rPr>
        <w:t xml:space="preserve"> The exception is prior streptokinase exposure, which is about antigenicity, not bleeding. The numbers on this slide come from an older source; the current wording for item 3 is severe uncontrolled hypertension. Item 5 is firm for a prior hemorrhagic stroke or a recent ischemic stroke, not for any old stroke. Current guidelines treat recent major surgery, recent gastrointestinal bleeding and pregnancy as relative contraindications, and acute pericarditis is an older-list item; any prior intracranial hemorrhage, aortic dissection, active bleeding, an intracranial tumor and significant head or facial trauma are the firm ones. Learn the categories, not the numbers.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1:00:30 of the recording: </w:t>
            </w:r>
            <w:r>
              <w:rPr>
                <w:b w:val="0"/>
                <w:i/>
              </w:rPr>
              <w:t>“This is important, whenever you’re about to decide to give fibrinolytics… you have to go through your contraindications and if they meet any of these you don’t give it… you have to go through this checklist… because once it’s given you can’t take it away.”</w:t>
            </w:r>
          </w:p>
          <w:p>
            <w:pPr>
              <w:spacing w:after="120"/>
            </w:pPr>
            <w:r>
              <w:rPr>
                <w:b w:val="0"/>
                <w:i w:val="0"/>
                <w:highlight w:val="yellow"/>
              </w:rPr>
              <w:t>Go through the contraindication checklist before every fibrinolytic</w:t>
            </w:r>
            <w:r>
              <w:rPr>
                <w:b w:val="0"/>
                <w:i w:val="0"/>
              </w:rPr>
              <w:t xml:space="preserve">: once it is given it cannot be taken back [slide 63]. </w:t>
            </w:r>
            <w:r>
              <w:rPr>
                <w:b/>
                <w:i w:val="0"/>
              </w:rPr>
              <w:t>Study note:</w:t>
            </w:r>
            <w:r>
              <w:rPr>
                <w:b w:val="0"/>
                <w:i w:val="0"/>
              </w:rPr>
              <w:t xml:space="preserve"> the list above separates the firm items from the relative ones.</w:t>
            </w:r>
          </w:p>
        </w:tc>
      </w:tr>
    </w:tbl>
    <w:p>
      <w:pPr>
        <w:spacing w:after="80"/>
      </w:pPr>
    </w:p>
    <w:p>
      <w:pPr>
        <w:pStyle w:val="Heading3"/>
        <w:spacing w:before="200" w:after="100"/>
      </w:pPr>
      <w:r>
        <w:rPr>
          <w:rFonts w:ascii="Georgia" w:hAnsi="Georgia"/>
          <w:color w:val="6B3524"/>
        </w:rPr>
        <w:t>Indications (Objective 3) [slide 65]</w:t>
      </w:r>
    </w:p>
    <w:p>
      <w:pPr>
        <w:spacing w:after="120"/>
      </w:pPr>
      <w:r>
        <w:rPr>
          <w:b w:val="0"/>
          <w:i w:val="0"/>
        </w:rPr>
        <w:t xml:space="preserve">Fibrinolytics are indicated for </w:t>
      </w:r>
      <w:r>
        <w:rPr>
          <w:b/>
          <w:i w:val="0"/>
        </w:rPr>
        <w:t>ST-elevation myocardial infarction</w:t>
      </w:r>
      <w:r>
        <w:rPr>
          <w:b w:val="0"/>
          <w:i w:val="0"/>
        </w:rPr>
        <w:t xml:space="preserve">, the slide giving patients under 75 years within 12 hours of symptom onset. There is </w:t>
      </w:r>
      <w:r>
        <w:rPr>
          <w:b/>
          <w:i w:val="0"/>
        </w:rPr>
        <w:t>less benefit</w:t>
      </w:r>
      <w:r>
        <w:rPr>
          <w:b w:val="0"/>
          <w:i w:val="0"/>
        </w:rPr>
        <w:t xml:space="preserve"> in patients over 75 years, more than 6 hours after onset, or with </w:t>
      </w:r>
      <w:r>
        <w:rPr>
          <w:b/>
          <w:i w:val="0"/>
        </w:rPr>
        <w:t>non-ST-elevation</w:t>
      </w:r>
      <w:r>
        <w:rPr>
          <w:b w:val="0"/>
          <w:i w:val="0"/>
        </w:rPr>
        <w:t xml:space="preserve"> myocardial infarction [slide 65]; slide 68 goes further, saying fibrinolytics are not recommended in non-ST-elevation acute coronary syndrome, and that is the point to learn. Age is a reason for less benefit, not a bar. </w:t>
      </w:r>
      <w:r>
        <w:rPr>
          <w:b/>
          <w:i w:val="0"/>
        </w:rPr>
        <w:t>Relatively few patients receive these agents</w:t>
      </w:r>
      <w:r>
        <w:rPr>
          <w:b w:val="0"/>
          <w:i w:val="0"/>
        </w:rPr>
        <w:t xml:space="preserve"> [slide 65]. The main risk is bleeding, including intracranial hemorrhage [slide 65].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1:02:19 of the recording: </w:t>
            </w:r>
            <w:r>
              <w:rPr>
                <w:b w:val="0"/>
                <w:i/>
              </w:rPr>
              <w:t>“Patients less than 75 years of age, for example, if they’re within 12 hours of symptom onset… outside of that window you tend to find patients have less benefit while still having that bleeding risk… relatively few patients end up getting these big full-blast doses.”</w:t>
            </w:r>
          </w:p>
          <w:p>
            <w:pPr>
              <w:spacing w:after="120"/>
            </w:pPr>
            <w:r>
              <w:rPr>
                <w:b w:val="0"/>
                <w:i w:val="0"/>
                <w:highlight w:val="yellow"/>
              </w:rPr>
              <w:t>Benefit is greatest early</w:t>
            </w:r>
            <w:r>
              <w:rPr>
                <w:b w:val="0"/>
                <w:i w:val="0"/>
              </w:rPr>
              <w:t xml:space="preserve"> (within 12 hours of symptom onset), and relatively few patients receive systemic fibrinolytics, because the catheterization laboratory is preferred where available [slide 65].</w:t>
            </w:r>
          </w:p>
        </w:tc>
      </w:tr>
    </w:tbl>
    <w:p>
      <w:pPr>
        <w:spacing w:after="80"/>
      </w:pPr>
    </w:p>
    <w:p>
      <w:pPr>
        <w:pStyle w:val="Heading3"/>
        <w:spacing w:before="200" w:after="100"/>
      </w:pPr>
      <w:r>
        <w:rPr>
          <w:rFonts w:ascii="Georgia" w:hAnsi="Georgia"/>
          <w:color w:val="6B3524"/>
        </w:rPr>
        <w:t>Other antithrombotic agents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Place in therapy</w:t>
            </w:r>
          </w:p>
        </w:tc>
      </w:tr>
      <w:tr>
        <w:tc>
          <w:tcPr>
            <w:tcW w:type="dxa" w:w="7272"/>
          </w:tcPr>
          <w:p>
            <w:pPr>
              <w:spacing w:after="40"/>
            </w:pPr>
            <w:r>
              <w:rPr>
                <w:sz w:val="18"/>
              </w:rPr>
            </w:r>
            <w:r>
              <w:rPr>
                <w:b/>
                <w:i w:val="0"/>
                <w:sz w:val="18"/>
              </w:rPr>
              <w:t>Glycoprotein IIb/IIIa inhibitors</w:t>
            </w:r>
          </w:p>
        </w:tc>
        <w:tc>
          <w:tcPr>
            <w:tcW w:type="dxa" w:w="7272"/>
          </w:tcPr>
          <w:p>
            <w:pPr>
              <w:spacing w:after="40"/>
            </w:pPr>
            <w:r>
              <w:rPr>
                <w:sz w:val="18"/>
              </w:rPr>
            </w:r>
            <w:r>
              <w:rPr>
                <w:b/>
                <w:i w:val="0"/>
                <w:sz w:val="18"/>
              </w:rPr>
              <w:t>Not routinely recommended before percutaneous coronary intervention</w:t>
            </w:r>
          </w:p>
        </w:tc>
      </w:tr>
      <w:tr>
        <w:tc>
          <w:tcPr>
            <w:tcW w:type="dxa" w:w="7272"/>
          </w:tcPr>
          <w:p>
            <w:pPr>
              <w:spacing w:after="40"/>
            </w:pPr>
            <w:r>
              <w:rPr>
                <w:sz w:val="18"/>
              </w:rPr>
            </w:r>
            <w:r>
              <w:rPr>
                <w:b/>
                <w:i w:val="0"/>
                <w:sz w:val="18"/>
              </w:rPr>
              <w:t>P2Y12 receptor antagonists</w:t>
            </w:r>
          </w:p>
        </w:tc>
        <w:tc>
          <w:tcPr>
            <w:tcW w:type="dxa" w:w="7272"/>
          </w:tcPr>
          <w:p>
            <w:pPr>
              <w:spacing w:after="40"/>
            </w:pPr>
            <w:r>
              <w:rPr>
                <w:sz w:val="18"/>
              </w:rPr>
            </w:r>
            <w:r>
              <w:rPr>
                <w:b w:val="0"/>
                <w:i w:val="0"/>
                <w:sz w:val="18"/>
              </w:rPr>
              <w:t xml:space="preserve">Used </w:t>
            </w:r>
            <w:r>
              <w:rPr>
                <w:b/>
                <w:i w:val="0"/>
                <w:sz w:val="18"/>
              </w:rPr>
              <w:t>before percutaneous coronary intervention</w:t>
            </w:r>
            <w:r>
              <w:rPr>
                <w:b w:val="0"/>
                <w:i w:val="0"/>
                <w:sz w:val="18"/>
              </w:rPr>
              <w:t xml:space="preserve"> and as </w:t>
            </w:r>
            <w:r>
              <w:rPr>
                <w:b/>
                <w:i w:val="0"/>
                <w:sz w:val="18"/>
              </w:rPr>
              <w:t>clot prophylaxis with stent placement</w:t>
            </w:r>
          </w:p>
        </w:tc>
      </w:tr>
      <w:tr>
        <w:tc>
          <w:tcPr>
            <w:tcW w:type="dxa" w:w="7272"/>
          </w:tcPr>
          <w:p>
            <w:pPr>
              <w:spacing w:after="40"/>
            </w:pPr>
            <w:r>
              <w:rPr>
                <w:sz w:val="18"/>
              </w:rPr>
            </w:r>
            <w:r>
              <w:rPr>
                <w:b/>
                <w:i w:val="0"/>
                <w:sz w:val="18"/>
              </w:rPr>
              <w:t>Heparins</w:t>
            </w:r>
          </w:p>
        </w:tc>
        <w:tc>
          <w:tcPr>
            <w:tcW w:type="dxa" w:w="7272"/>
          </w:tcPr>
          <w:p>
            <w:pPr>
              <w:spacing w:after="40"/>
            </w:pPr>
            <w:r>
              <w:rPr>
                <w:sz w:val="18"/>
              </w:rPr>
            </w:r>
            <w:r>
              <w:rPr>
                <w:b w:val="0"/>
                <w:i w:val="0"/>
                <w:sz w:val="18"/>
              </w:rPr>
              <w:t xml:space="preserve">Used </w:t>
            </w:r>
            <w:r>
              <w:rPr>
                <w:b/>
                <w:i w:val="0"/>
                <w:sz w:val="18"/>
              </w:rPr>
              <w:t>together with fibrinolysis or antiplatelet agents</w:t>
            </w:r>
          </w:p>
        </w:tc>
      </w:tr>
    </w:tbl>
    <w:p>
      <w:pPr>
        <w:spacing w:after="80"/>
      </w:pPr>
    </w:p>
    <w:p>
      <w:pPr>
        <w:spacing w:after="120"/>
      </w:pPr>
      <w:r>
        <w:rPr>
          <w:b w:val="0"/>
          <w:i w:val="0"/>
        </w:rPr>
        <w:t>Slide 67 pictures a coronary stent: a balloon catheter carries it into the narrowed artery and it is left expanded in place (percutaneous coronary intervention with stent placement).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1:03:43 of the recording: </w:t>
            </w:r>
            <w:r>
              <w:rPr>
                <w:b w:val="0"/>
                <w:i/>
              </w:rPr>
              <w:t>“Glycoprotein 2b3a inhibitors… another anti-platelet type of drug along with your ADP receptor blockers, [which] are also called P2Y12… whenever a stent gets placed that’s foreign material… patients who go home on stents will need to be on some kind of anti-platelet therapy sometimes indefinitely.”</w:t>
            </w:r>
          </w:p>
          <w:p>
            <w:pPr>
              <w:spacing w:after="120"/>
            </w:pPr>
            <w:r>
              <w:rPr>
                <w:b w:val="0"/>
                <w:i w:val="0"/>
                <w:highlight w:val="yellow"/>
              </w:rPr>
              <w:t>Stent placement means antiplatelet therapy afterwards</w:t>
            </w:r>
            <w:r>
              <w:rPr>
                <w:b w:val="0"/>
                <w:i w:val="0"/>
              </w:rPr>
              <w:t>, sometimes indefinitely; P2Y12 receptor antagonists are used before intervention and with stents, and heparins accompany fibrinolysis or antiplatelet agents [slide 66].</w:t>
            </w:r>
          </w:p>
        </w:tc>
      </w:tr>
    </w:tbl>
    <w:p>
      <w:pPr>
        <w:spacing w:after="80"/>
      </w:pPr>
    </w:p>
    <w:p>
      <w:pPr>
        <w:pStyle w:val="Heading3"/>
        <w:spacing w:before="200" w:after="100"/>
      </w:pPr>
      <w:r>
        <w:rPr>
          <w:rFonts w:ascii="Georgia" w:hAnsi="Georgia"/>
          <w:color w:val="6B3524"/>
        </w:rPr>
        <w:t>Non-ST-elevation acute coronary syndrome: how it differs [slide 68]</w:t>
      </w:r>
    </w:p>
    <w:p>
      <w:pPr>
        <w:pStyle w:val="ListBullet"/>
        <w:spacing w:after="40"/>
      </w:pPr>
      <w:r>
        <w:rPr>
          <w:b w:val="0"/>
          <w:i w:val="0"/>
          <w:sz w:val="20"/>
        </w:rPr>
        <w:t>Early treatment is similar to treatment of ST-elevation myocardial infarction.</w:t>
      </w:r>
    </w:p>
    <w:p>
      <w:pPr>
        <w:pStyle w:val="ListBullet"/>
        <w:spacing w:after="40"/>
      </w:pPr>
      <w:r>
        <w:rPr>
          <w:b/>
          <w:i w:val="0"/>
          <w:sz w:val="20"/>
        </w:rPr>
        <w:t>Fibrinolytics are not recommended</w:t>
      </w:r>
      <w:r>
        <w:rPr>
          <w:b w:val="0"/>
          <w:i w:val="0"/>
          <w:sz w:val="20"/>
        </w:rPr>
        <w:t>, because the bleeding risk outweighs the benefit. This covers the fibrinolytic agents on slide 64: alteplase, reteplase and tenecteplase are not recommended in non-ST-elevation acute coronary syndrome.</w:t>
      </w:r>
    </w:p>
    <w:p>
      <w:pPr>
        <w:pStyle w:val="ListBullet"/>
        <w:spacing w:after="40"/>
      </w:pPr>
      <w:r>
        <w:rPr>
          <w:b/>
          <w:i w:val="0"/>
          <w:sz w:val="20"/>
        </w:rPr>
        <w:t>Enoxaparin is preferred over heparin</w:t>
      </w:r>
      <w:r>
        <w:rPr>
          <w:b w:val="0"/>
          <w:i w:val="0"/>
          <w:sz w:val="20"/>
        </w:rPr>
        <w:t>, based on studies. Enoxaparin is a low-molecular-weight heparin and the slide’s “heparin” is unfractionated heparin; the preference comes from older studies, and current guidelines accept either.</w:t>
      </w:r>
    </w:p>
    <w:p>
      <w:pPr>
        <w:pStyle w:val="ListBullet"/>
        <w:spacing w:after="40"/>
      </w:pPr>
      <w:r>
        <w:rPr>
          <w:b/>
          <w:i w:val="0"/>
          <w:sz w:val="20"/>
        </w:rPr>
        <w:t>Glycoprotein IIb/IIIa inhibitors are used more commonly</w:t>
      </w:r>
      <w:r>
        <w:rPr>
          <w:b w:val="0"/>
          <w:i w:val="0"/>
          <w:sz w:val="20"/>
        </w:rPr>
        <w:t xml:space="preserve"> than in ST-elevation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1:04:40 of the recording: </w:t>
            </w:r>
            <w:r>
              <w:rPr>
                <w:b w:val="0"/>
                <w:i/>
              </w:rPr>
              <w:t>“Treatment for NSTEMI is going to be similar to MI, it’s just less use of fibrinolytics and then more use for things like your 2b3a inhibitors and enoxaparin.”</w:t>
            </w:r>
          </w:p>
          <w:p>
            <w:pPr>
              <w:spacing w:after="120"/>
            </w:pPr>
            <w:r>
              <w:rPr>
                <w:b w:val="0"/>
                <w:i w:val="0"/>
                <w:highlight w:val="yellow"/>
              </w:rPr>
              <w:t>Non-ST-elevation acute coronary syndrome: same early drugs, fewer fibrinolytics</w:t>
            </w:r>
            <w:r>
              <w:rPr>
                <w:b w:val="0"/>
                <w:i w:val="0"/>
              </w:rPr>
              <w:t xml:space="preserve"> (not recommended), and more glycoprotein IIb/IIIa inhibitors and enoxaparin [slide 68].</w:t>
            </w:r>
          </w:p>
        </w:tc>
      </w:tr>
    </w:tbl>
    <w:p>
      <w:pPr>
        <w:spacing w:after="80"/>
      </w:pPr>
    </w:p>
    <w:p>
      <w:pPr>
        <w:pStyle w:val="Heading2"/>
        <w:spacing w:before="200" w:after="100"/>
      </w:pPr>
      <w:r>
        <w:rPr>
          <w:rFonts w:ascii="Georgia" w:hAnsi="Georgia"/>
          <w:color w:val="6B3524"/>
        </w:rPr>
        <w:t>5.9 · Objectives 8–10 — Interactions, monitoring and patient education</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Nitrates with sildenafil, tadalafil or vardenafil</w:t>
            </w:r>
          </w:p>
        </w:tc>
        <w:tc>
          <w:tcPr>
            <w:tcW w:type="dxa" w:w="7272"/>
          </w:tcPr>
          <w:p>
            <w:pPr>
              <w:spacing w:after="40"/>
            </w:pPr>
            <w:r>
              <w:rPr>
                <w:sz w:val="18"/>
              </w:rPr>
            </w:r>
            <w:r>
              <w:rPr>
                <w:b/>
                <w:i w:val="0"/>
                <w:sz w:val="18"/>
              </w:rPr>
              <w:t>Hypotension, and myocardial infarction or stroke</w:t>
            </w:r>
            <w:r>
              <w:rPr>
                <w:b w:val="0"/>
                <w:i w:val="0"/>
                <w:sz w:val="18"/>
              </w:rPr>
              <w:t>; contraindicated [slides 26, 33 and 54]</w:t>
            </w:r>
          </w:p>
        </w:tc>
      </w:tr>
      <w:tr>
        <w:tc>
          <w:tcPr>
            <w:tcW w:type="dxa" w:w="7272"/>
          </w:tcPr>
          <w:p>
            <w:pPr>
              <w:spacing w:after="40"/>
            </w:pPr>
            <w:r>
              <w:rPr>
                <w:sz w:val="18"/>
              </w:rPr>
            </w:r>
            <w:r>
              <w:rPr>
                <w:b/>
                <w:i w:val="0"/>
                <w:sz w:val="18"/>
              </w:rPr>
              <w:t>Calcium channel blockers with CYP3A4 (cytochrome P450 3A4) substrates, inhibitors or inducers</w:t>
            </w:r>
          </w:p>
        </w:tc>
        <w:tc>
          <w:tcPr>
            <w:tcW w:type="dxa" w:w="7272"/>
          </w:tcPr>
          <w:p>
            <w:pPr>
              <w:spacing w:after="40"/>
            </w:pPr>
            <w:r>
              <w:rPr>
                <w:sz w:val="18"/>
              </w:rPr>
            </w:r>
            <w:r>
              <w:rPr>
                <w:b w:val="0"/>
                <w:i w:val="0"/>
                <w:sz w:val="18"/>
              </w:rPr>
              <w:t>The slide lists CYP3A4 interactions as a precaution [slide 23]</w:t>
            </w:r>
          </w:p>
        </w:tc>
      </w:tr>
      <w:tr>
        <w:tc>
          <w:tcPr>
            <w:tcW w:type="dxa" w:w="7272"/>
          </w:tcPr>
          <w:p>
            <w:pPr>
              <w:spacing w:after="40"/>
            </w:pPr>
            <w:r>
              <w:rPr>
                <w:sz w:val="18"/>
              </w:rPr>
            </w:r>
            <w:r>
              <w:rPr>
                <w:b/>
                <w:i w:val="0"/>
                <w:sz w:val="18"/>
              </w:rPr>
              <w:t>Non-dihydropyridine with a beta blocker</w:t>
            </w:r>
          </w:p>
        </w:tc>
        <w:tc>
          <w:tcPr>
            <w:tcW w:type="dxa" w:w="7272"/>
          </w:tcPr>
          <w:p>
            <w:pPr>
              <w:spacing w:after="40"/>
            </w:pPr>
            <w:r>
              <w:rPr>
                <w:sz w:val="18"/>
              </w:rPr>
            </w:r>
            <w:r>
              <w:rPr>
                <w:b w:val="0"/>
                <w:i w:val="0"/>
                <w:sz w:val="18"/>
              </w:rPr>
              <w:t>Listed as a precaution [slide 23]; the dihydropyridine is the usual partner for a beta blocker [slide 22]</w:t>
            </w:r>
          </w:p>
        </w:tc>
      </w:tr>
      <w:tr>
        <w:tc>
          <w:tcPr>
            <w:tcW w:type="dxa" w:w="7272"/>
          </w:tcPr>
          <w:p>
            <w:pPr>
              <w:spacing w:after="40"/>
            </w:pPr>
            <w:r>
              <w:rPr>
                <w:sz w:val="18"/>
              </w:rPr>
            </w:r>
            <w:r>
              <w:rPr>
                <w:b/>
                <w:i w:val="0"/>
                <w:sz w:val="18"/>
              </w:rPr>
              <w:t>Fibrinolytic with heparin or antiplatelet agents</w:t>
            </w:r>
          </w:p>
        </w:tc>
        <w:tc>
          <w:tcPr>
            <w:tcW w:type="dxa" w:w="7272"/>
          </w:tcPr>
          <w:p>
            <w:pPr>
              <w:spacing w:after="40"/>
            </w:pPr>
            <w:r>
              <w:rPr>
                <w:sz w:val="18"/>
              </w:rPr>
            </w:r>
            <w:r>
              <w:rPr>
                <w:b w:val="0"/>
                <w:i w:val="0"/>
                <w:sz w:val="18"/>
              </w:rPr>
              <w:t>Used together on purpose [slide 66]; bleeding is the main risk of fibrinolytics [slide 65]</w:t>
            </w:r>
          </w:p>
        </w:tc>
      </w:tr>
    </w:tbl>
    <w:p>
      <w:pPr>
        <w:spacing w:after="80"/>
      </w:pPr>
    </w:p>
    <w:p>
      <w:pPr>
        <w:spacing w:after="120"/>
      </w:pPr>
      <w:r>
        <w:rPr>
          <w:b w:val="0"/>
          <w:i w:val="0"/>
        </w:rPr>
        <w:t xml:space="preserve">The slides name </w:t>
      </w:r>
      <w:r>
        <w:rPr>
          <w:b/>
          <w:i w:val="0"/>
        </w:rPr>
        <w:t>no drug-food and no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val="0"/>
                <w:i w:val="0"/>
                <w:sz w:val="18"/>
              </w:rPr>
              <w:t>Stable angina, stepwise</w:t>
            </w:r>
          </w:p>
        </w:tc>
        <w:tc>
          <w:tcPr>
            <w:tcW w:type="dxa" w:w="7272"/>
          </w:tcPr>
          <w:p>
            <w:pPr>
              <w:spacing w:after="40"/>
            </w:pPr>
            <w:r>
              <w:rPr>
                <w:sz w:val="18"/>
              </w:rPr>
            </w:r>
            <w:r>
              <w:rPr>
                <w:b w:val="0"/>
                <w:i w:val="0"/>
                <w:sz w:val="18"/>
              </w:rPr>
              <w:t>Aspirin, lipid-lowering therapy and sublingual nitroglycerin for everyone; a beta blocker after a myocardial infarction; an angiotensin-converting enzyme inhibitor with diabetes or left ventricular dysfunction; beta blocker, calcium channel blocker or long-acting nitrate for daily symptoms; combine if symptoms persist; a third agent calls for further workup [slides 36 and 38]</w:t>
            </w:r>
          </w:p>
        </w:tc>
      </w:tr>
      <w:tr>
        <w:tc>
          <w:tcPr>
            <w:tcW w:type="dxa" w:w="7272"/>
          </w:tcPr>
          <w:p>
            <w:pPr>
              <w:spacing w:after="40"/>
            </w:pPr>
            <w:r>
              <w:rPr>
                <w:sz w:val="18"/>
              </w:rPr>
            </w:r>
            <w:r>
              <w:rPr>
                <w:b w:val="0"/>
                <w:i w:val="0"/>
                <w:sz w:val="18"/>
              </w:rPr>
              <w:t>Acute chest pain</w:t>
            </w:r>
          </w:p>
        </w:tc>
        <w:tc>
          <w:tcPr>
            <w:tcW w:type="dxa" w:w="7272"/>
          </w:tcPr>
          <w:p>
            <w:pPr>
              <w:spacing w:after="40"/>
            </w:pPr>
            <w:r>
              <w:rPr>
                <w:sz w:val="18"/>
              </w:rPr>
            </w:r>
            <w:r>
              <w:rPr>
                <w:b w:val="0"/>
                <w:i w:val="0"/>
                <w:sz w:val="18"/>
              </w:rPr>
              <w:t xml:space="preserve">Sublingual nitroglycerin; </w:t>
            </w:r>
            <w:r>
              <w:rPr>
                <w:b/>
                <w:i w:val="0"/>
                <w:sz w:val="18"/>
              </w:rPr>
              <w:t>call emergency medical services if there is no relief five minutes after the first dose</w:t>
            </w:r>
            <w:r>
              <w:rPr>
                <w:b w:val="0"/>
                <w:i w:val="0"/>
                <w:sz w:val="18"/>
              </w:rPr>
              <w:t xml:space="preserve"> [slide 27]; aspirin at the first signs of chest pain [slide 52]</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val="0"/>
                <w:i w:val="0"/>
                <w:sz w:val="18"/>
              </w:rPr>
              <w:t>Monitor heart rate, blood sugar and lipids [slide 19]</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Monitor relief of symptoms, and heart rate for non-dihydropyridines [slide 24]</w:t>
            </w:r>
          </w:p>
        </w:tc>
      </w:tr>
      <w:tr>
        <w:tc>
          <w:tcPr>
            <w:tcW w:type="dxa" w:w="7272"/>
          </w:tcPr>
          <w:p>
            <w:pPr>
              <w:spacing w:after="40"/>
            </w:pPr>
            <w:r>
              <w:rPr>
                <w:sz w:val="18"/>
              </w:rPr>
            </w:r>
            <w:r>
              <w:rPr>
                <w:b w:val="0"/>
                <w:i w:val="0"/>
                <w:sz w:val="18"/>
              </w:rPr>
              <w:t>Long-acting nitrates</w:t>
            </w:r>
          </w:p>
        </w:tc>
        <w:tc>
          <w:tcPr>
            <w:tcW w:type="dxa" w:w="7272"/>
          </w:tcPr>
          <w:p>
            <w:pPr>
              <w:spacing w:after="40"/>
            </w:pPr>
            <w:r>
              <w:rPr>
                <w:sz w:val="18"/>
              </w:rPr>
            </w:r>
            <w:r>
              <w:rPr>
                <w:b w:val="0"/>
                <w:i w:val="0"/>
                <w:sz w:val="18"/>
              </w:rPr>
              <w:t>A nitrate-free interval each day [slides 31 and 32]</w:t>
            </w:r>
          </w:p>
        </w:tc>
      </w:tr>
    </w:tbl>
    <w:p>
      <w:pPr>
        <w:spacing w:after="80"/>
      </w:pPr>
    </w:p>
    <w:p>
      <w:pPr>
        <w:pStyle w:val="Heading3"/>
        <w:spacing w:before="200" w:after="100"/>
      </w:pPr>
      <w:r>
        <w:rPr>
          <w:rFonts w:ascii="Georgia" w:hAnsi="Georgia"/>
          <w:color w:val="6B3524"/>
        </w:rPr>
        <w:t>Patient education (Objective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i w:val="0"/>
                <w:sz w:val="18"/>
              </w:rPr>
              <w:t>Beta blockers</w:t>
            </w:r>
          </w:p>
        </w:tc>
        <w:tc>
          <w:tcPr>
            <w:tcW w:type="dxa" w:w="7272"/>
          </w:tcPr>
          <w:p>
            <w:pPr>
              <w:spacing w:after="40"/>
            </w:pPr>
            <w:r>
              <w:rPr>
                <w:sz w:val="18"/>
              </w:rPr>
            </w:r>
            <w:r>
              <w:rPr>
                <w:b w:val="0"/>
                <w:i w:val="0"/>
                <w:sz w:val="18"/>
              </w:rPr>
              <w:t>Do not stop suddenly; expect dizziness and fatigue [slide 19]</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Expect dizziness and constipation [slide 24]</w:t>
            </w:r>
          </w:p>
        </w:tc>
      </w:tr>
      <w:tr>
        <w:tc>
          <w:tcPr>
            <w:tcW w:type="dxa" w:w="7272"/>
          </w:tcPr>
          <w:p>
            <w:pPr>
              <w:spacing w:after="40"/>
            </w:pPr>
            <w:r>
              <w:rPr>
                <w:sz w:val="18"/>
              </w:rPr>
            </w:r>
            <w:r>
              <w:rPr>
                <w:b/>
                <w:i w:val="0"/>
                <w:sz w:val="18"/>
              </w:rPr>
              <w:t>Short-acting nitrates</w:t>
            </w:r>
          </w:p>
        </w:tc>
        <w:tc>
          <w:tcPr>
            <w:tcW w:type="dxa" w:w="7272"/>
          </w:tcPr>
          <w:p>
            <w:pPr>
              <w:spacing w:after="40"/>
            </w:pPr>
            <w:r>
              <w:rPr>
                <w:sz w:val="18"/>
              </w:rPr>
            </w:r>
            <w:r>
              <w:rPr>
                <w:b w:val="0"/>
                <w:i w:val="0"/>
                <w:sz w:val="18"/>
              </w:rPr>
              <w:t>Warn about orthostatic hypotension; store in the original packaging in a cool, dry place; replace tablets 3 to 6 months after opening (course rule; current labeling differs, see 5.4); apply or spray under the tongue; call emergency medical services if there is no relief five minutes after the first dose [slides 27 and 28]</w:t>
            </w:r>
          </w:p>
        </w:tc>
      </w:tr>
      <w:tr>
        <w:tc>
          <w:tcPr>
            <w:tcW w:type="dxa" w:w="7272"/>
          </w:tcPr>
          <w:p>
            <w:pPr>
              <w:spacing w:after="40"/>
            </w:pPr>
            <w:r>
              <w:rPr>
                <w:sz w:val="18"/>
              </w:rPr>
            </w:r>
            <w:r>
              <w:rPr>
                <w:b/>
                <w:i w:val="0"/>
                <w:sz w:val="18"/>
              </w:rPr>
              <w:t>Long-acting nitrates</w:t>
            </w:r>
          </w:p>
        </w:tc>
        <w:tc>
          <w:tcPr>
            <w:tcW w:type="dxa" w:w="7272"/>
          </w:tcPr>
          <w:p>
            <w:pPr>
              <w:spacing w:after="40"/>
            </w:pPr>
            <w:r>
              <w:rPr>
                <w:sz w:val="18"/>
              </w:rPr>
            </w:r>
            <w:r>
              <w:rPr>
                <w:b w:val="0"/>
                <w:i w:val="0"/>
                <w:sz w:val="18"/>
              </w:rPr>
              <w:t>12 hours on and 12 hours off for ointment and patch; wipe off the previous ointment dose before applying the next; keep the ointment covered with the applicator paper; expect headache, flushing and postural hypotension [slide 31]</w:t>
            </w:r>
          </w:p>
        </w:tc>
      </w:tr>
      <w:tr>
        <w:tc>
          <w:tcPr>
            <w:tcW w:type="dxa" w:w="7272"/>
          </w:tcPr>
          <w:p>
            <w:pPr>
              <w:spacing w:after="40"/>
            </w:pPr>
            <w:r>
              <w:rPr>
                <w:sz w:val="18"/>
              </w:rPr>
            </w:r>
            <w:r>
              <w:rPr>
                <w:b/>
                <w:i w:val="0"/>
                <w:sz w:val="18"/>
              </w:rPr>
              <w:t>Nitrates and erectile dysfunction drugs</w:t>
            </w:r>
          </w:p>
        </w:tc>
        <w:tc>
          <w:tcPr>
            <w:tcW w:type="dxa" w:w="7272"/>
          </w:tcPr>
          <w:p>
            <w:pPr>
              <w:spacing w:after="40"/>
            </w:pPr>
            <w:r>
              <w:rPr>
                <w:sz w:val="18"/>
              </w:rPr>
            </w:r>
            <w:r>
              <w:rPr>
                <w:b w:val="0"/>
                <w:i w:val="0"/>
                <w:sz w:val="18"/>
              </w:rPr>
              <w:t>Counsel patients taking a nitrate, such as isosorbide mononitrate, to avoid combining it with sildenafil, tadalafil or vardenafil; the combination can cause hypotension, myocardial infarction or stroke [slide 33]</w:t>
            </w:r>
          </w:p>
        </w:tc>
      </w:tr>
      <w:tr>
        <w:tc>
          <w:tcPr>
            <w:tcW w:type="dxa" w:w="7272"/>
          </w:tcPr>
          <w:p>
            <w:pPr>
              <w:spacing w:after="40"/>
            </w:pPr>
            <w:r>
              <w:rPr>
                <w:sz w:val="18"/>
              </w:rPr>
            </w:r>
            <w:r>
              <w:rPr>
                <w:b/>
                <w:i w:val="0"/>
                <w:sz w:val="18"/>
              </w:rPr>
              <w:t>Aspirin in chest pain</w:t>
            </w:r>
          </w:p>
        </w:tc>
        <w:tc>
          <w:tcPr>
            <w:tcW w:type="dxa" w:w="7272"/>
          </w:tcPr>
          <w:p>
            <w:pPr>
              <w:spacing w:after="40"/>
            </w:pPr>
            <w:r>
              <w:rPr>
                <w:sz w:val="18"/>
              </w:rPr>
            </w:r>
            <w:r>
              <w:rPr>
                <w:b w:val="0"/>
                <w:i w:val="0"/>
                <w:sz w:val="18"/>
              </w:rPr>
              <w:t>Chew and swallow at the first signs of chest pain [slide 52]</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