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26, 27 and 28 have decks so far; the rest are added as they are posted.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 but current guidelines find no antiarrhythmic proven to prevent sudden death (the implantable cardioverter-defibrillator is), so that claim is never keyed.</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an </w:t>
      </w:r>
      <w:r>
        <w:rPr>
          <w:b/>
          <w:i w:val="0"/>
          <w:sz w:val="20"/>
        </w:rPr>
        <w:t>implantable cardioverter-defibrillator</w:t>
      </w:r>
      <w:r>
        <w:rPr>
          <w:b w:val="0"/>
          <w:i w:val="0"/>
          <w:sz w:val="20"/>
        </w:rPr>
        <w:t>. Slide 76 also lists the antiarrhythmics amiodarone and disopyramide under this heading (see the amiodarone note).</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Amiodarone and sudden death.</w:t>
      </w:r>
      <w:r>
        <w:rPr>
          <w:b w:val="0"/>
          <w:i w:val="0"/>
          <w:sz w:val="20"/>
        </w:rPr>
        <w:t xml:space="preserve"> Amiodarone converts atrial fibrillation and flutter to sinus rhythm and suppresses their recurrence. Slide 78 also calls it proven to reduce sudden cardiac death, but current guidelines find no antiarrhythmic proven to prevent sudden death; the implantable cardioverter-defibrillator is the proven measure.</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