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he said a slide is wrong, his correction wins (the two erratum boxes below); where he did not, the slide stands unless it contradicts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Unsettled — not keyed in the quizzes</w:t>
            </w:r>
          </w:p>
          <w:p>
            <w:pPr>
              <w:pStyle w:val="ListBullet"/>
              <w:spacing w:after="40"/>
            </w:pPr>
            <w:r>
              <w:rPr>
                <w:b/>
                <w:i w:val="0"/>
                <w:sz w:val="20"/>
              </w:rPr>
              <w:t>Slide 29, which leaflet flutters on echo.</w:t>
            </w:r>
            <w:r>
              <w:rPr>
                <w:b w:val="0"/>
                <w:i w:val="0"/>
                <w:sz w:val="20"/>
              </w:rPr>
              <w:t xml:space="preserve"> The slide says the regurgitant jet makes the anterior </w:t>
            </w:r>
            <w:r>
              <w:rPr>
                <w:b w:val="0"/>
                <w:i/>
                <w:sz w:val="20"/>
              </w:rPr>
              <w:t>mitral</w:t>
            </w:r>
            <w:r>
              <w:rPr>
                <w:b w:val="0"/>
                <w:i w:val="0"/>
                <w:sz w:val="20"/>
              </w:rPr>
              <w:t xml:space="preserve"> leaflet flutter in diastole. Asked in class, he first said mitral, then said “It's the aortic leaflet” and asked for it to be crossed out. Standard teaching says mitral. Left for a ruling; no question asks it.</w:t>
            </w:r>
          </w:p>
          <w:p>
            <w:pPr>
              <w:pStyle w:val="ListBullet"/>
              <w:spacing w:after="40"/>
            </w:pPr>
            <w:r>
              <w:rPr>
                <w:b/>
                <w:i w:val="0"/>
                <w:sz w:val="20"/>
              </w:rPr>
              <w:t>Slide 74, valve type by age</w:t>
            </w:r>
            <w:r>
              <w:rPr>
                <w:b w:val="0"/>
                <w:i w:val="0"/>
                <w:sz w:val="20"/>
              </w:rPr>
              <w:t xml:space="preserve"> (“TAVR/TMVR … &lt;55”, “Mechanical … &lt;70”). Earlier in the lecture he taught the reverse (a young patient gets a mechanical valve; 60–80 gets the transcatheter valve). Only what both agree on is learned (4.11).</w:t>
            </w:r>
          </w:p>
          <w:p>
            <w:pPr>
              <w:pStyle w:val="ListBullet"/>
              <w:spacing w:after="40"/>
            </w:pPr>
            <w:r>
              <w:rPr>
                <w:b/>
                <w:i w:val="0"/>
                <w:sz w:val="20"/>
              </w:rPr>
              <w:t>Slide 38, mitral stenosis “Increased with Valsalva”.</w:t>
            </w:r>
            <w:r>
              <w:rPr>
                <w:b w:val="0"/>
                <w:i w:val="0"/>
                <w:sz w:val="20"/>
              </w:rPr>
              <w:t xml:space="preserve"> Contested and internally inconsistent (a sentence fragment, and the opposite of every other left-sided lesion on the deck). No mitral stenosis maneuver is learned.</w:t>
            </w:r>
          </w:p>
          <w:p>
            <w:pPr>
              <w:pStyle w:val="ListBullet"/>
              <w:spacing w:after="40"/>
            </w:pPr>
            <w:r>
              <w:rPr>
                <w:b/>
                <w:i w:val="0"/>
                <w:sz w:val="20"/>
              </w:rPr>
              <w:t>Slide 64, pulmonic regurgitation “Almost always congenital, no treatment required”</w:t>
            </w:r>
            <w:r>
              <w:rPr>
                <w:b w:val="0"/>
                <w:i w:val="0"/>
                <w:sz w:val="20"/>
              </w:rPr>
              <w:t xml:space="preserve"> contradicts slide 61 (“Iatrogenic … MOST COMMON cause of PR”). He settled it three times: “the most common overall reason is iatrogenic.” </w:t>
            </w:r>
            <w:r>
              <w:rPr>
                <w:b/>
                <w:i w:val="0"/>
                <w:sz w:val="20"/>
              </w:rPr>
              <w:t>Learn iatrogenic.</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wins:</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and “pulmonary hypertension is our number one cause” of pulmonic regurgitation, which he overrode himself 40 seconds later.</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w:t>
      </w:r>
      <w:r>
        <w:rPr>
          <w:b w:val="0"/>
          <w:i/>
          <w:sz w:val="20"/>
        </w:rPr>
        <w:t>No maneuver is learned — see the unsettled list.</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w:t>
            </w:r>
            <w:r>
              <w:rPr>
                <w:b w:val="0"/>
                <w:i w:val="0"/>
              </w:rPr>
              <w:t xml:space="preserve"> — after surgical valvotomy, valvectomy or valvuloplasty to relieve right ventricular outflow tract obstruction. “The most common overall reason is iatrogenic.”</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 worldwide</w:t>
      </w:r>
      <w:r>
        <w:rPr>
          <w:b w:val="0"/>
          <w:i w:val="0"/>
          <w:sz w:val="20"/>
        </w:rPr>
        <w:t xml:space="preserve">; in the United States almost always </w:t>
      </w:r>
      <w:r>
        <w:rPr>
          <w:b/>
          <w:i w:val="0"/>
          <w:sz w:val="20"/>
        </w:rPr>
        <w:t>congenital</w:t>
      </w:r>
      <w:r>
        <w:rPr>
          <w:b w:val="0"/>
          <w:i w:val="0"/>
          <w:sz w:val="20"/>
        </w:rPr>
        <w:t xml:space="preserve">; carcinoid disease.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Not learned:</w:t>
      </w:r>
      <w:r>
        <w:rPr>
          <w:b w:val="0"/>
          <w:i w:val="0"/>
        </w:rPr>
        <w:t xml:space="preserve"> slide 74's age cut-offs for transcatheter and mechanical valves (see the unsettled list).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pulmonary hypertension;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worldwide); congenital (United States); carcinoid disease.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(the slide's age cut-offs are unsettled).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he misspoke, the slide wins (see the list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 “Sudden Re-InStent Stenosis” (slide 52) is sudden in-stent restenosis.</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Unsettled — not keyed in the quizzes</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w:t>
            </w:r>
            <w:r>
              <w:rPr>
                <w:b w:val="0"/>
                <w:i/>
                <w:sz w:val="20"/>
              </w:rPr>
              <w:t>Caveat:</w:t>
            </w:r>
            <w:r>
              <w:rPr>
                <w:b w:val="0"/>
                <w:i w:val="0"/>
                <w:sz w:val="20"/>
              </w:rPr>
              <w:t xml:space="preserve"> in standard usage MINOCA requires an infarction and microvascular angina does not. Learn the deck's definition;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wins:</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w:t>
            </w:r>
            <w:r>
              <w:rPr>
                <w:b/>
                <w:i w:val="0"/>
                <w:highlight w:val="yellow"/>
              </w:rPr>
              <w:t>A new left bundle branch block is a STEMI equivalent</w:t>
            </w:r>
            <w:r>
              <w:rPr>
                <w:b w:val="0"/>
                <w:i w:val="0"/>
              </w:rPr>
              <w:t xml:space="preserve"> (“you don't have anything to show they didn't have it before … then we consider that a STEMI”).</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Missing dual antiplatelet therapy in the first 6 weeks carries a 50% risk of sudden in-stent restenosis</w:t>
            </w:r>
            <w:r>
              <w:rPr>
                <w:b w:val="0"/>
                <w:i w:val="0"/>
                <w:sz w:val="20"/>
                <w:highlight w:val="yellow"/>
              </w:rPr>
              <w:t xml:space="preserve"> — “a flip of the coin”. You have to take your meds.</w:t>
            </w:r>
            <w:r>
              <w:rPr>
                <w:b w:val="0"/>
                <w:i w:val="0"/>
                <w:sz w:val="20"/>
              </w:rPr>
              <w:t xml:space="preserv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across the board; calcium channel blockers do not improve prognosis overall</w:t>
            </w:r>
            <w:r>
              <w:rPr>
                <w:b w:val="0"/>
                <w:i w:val="0"/>
                <w:sz w:val="20"/>
              </w:rPr>
              <w:t xml:space="preserve"> (diltiazem and verapamil reduce mortality only with preserved left ventricular function).</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w:t>
            </w:r>
            <w:r>
              <w:rPr>
                <w:b/>
                <w:i w:val="0"/>
                <w:sz w:val="20"/>
              </w:rPr>
              <w:t>warfarin for large anterior wall infarcts</w:t>
            </w:r>
            <w:r>
              <w:rPr>
                <w:b w:val="0"/>
                <w:i w:val="0"/>
                <w:sz w:val="20"/>
              </w:rPr>
              <w:t>; clopidogrel is necessary after a stent.</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possibly even elevated cardiac biomarkers, but normal coronary arteries on the angiogram</w:t>
      </w:r>
      <w:r>
        <w:rPr>
          <w:b w:val="0"/>
          <w:i w:val="0"/>
          <w:sz w:val="20"/>
        </w:rPr>
        <w:t>.</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Caveat:</w:t>
      </w:r>
      <w:r>
        <w:rPr>
          <w:b w:val="0"/>
          <w:i w:val="0"/>
        </w:rPr>
        <w:t xml:space="preserve"> the slide also names “Myocardial Infarction with Non Obstructive Coronary Arteries (MINOCA)” here, and he treated the two as the same thing seen from primary care and from cardiology. In standard usage MINOCA needs an infarction and microvascular angina does not; learn the deck's definition, and do not expect a question that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possibly elevated biomarkers, normal coronaries.</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kept and the slip is listed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