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 but current guidelines find no antiarrhythmic proven to prevent sudden death (the implantable cardioverter-defibrillator is), so that claim is never keyed.</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an </w:t>
      </w:r>
      <w:r>
        <w:rPr>
          <w:b/>
          <w:i w:val="0"/>
          <w:sz w:val="20"/>
        </w:rPr>
        <w:t>implantable cardioverter-defibrillator</w:t>
      </w:r>
      <w:r>
        <w:rPr>
          <w:b w:val="0"/>
          <w:i w:val="0"/>
          <w:sz w:val="20"/>
        </w:rPr>
        <w:t>. Slide 76 also lists the antiarrhythmics amiodarone and disopyramide under this heading (see the amiodarone note).</w:t>
      </w:r>
    </w:p>
    <w:p>
      <w:pPr>
        <w:pStyle w:val="ListBullet"/>
        <w:spacing w:after="40"/>
      </w:pPr>
      <w:r>
        <w:rPr>
          <w:b/>
          <w:i w:val="0"/>
          <w:sz w:val="20"/>
        </w:rPr>
        <w:t>Amiodarone and sudden death.</w:t>
      </w:r>
      <w:r>
        <w:rPr>
          <w:b w:val="0"/>
          <w:i w:val="0"/>
          <w:sz w:val="20"/>
        </w:rPr>
        <w:t xml:space="preserve"> Amiodarone converts atrial fibrillation and flutter to sinus rhythm and suppresses their recurrence. Slide 78 also calls it proven to reduce sudden cardiac death, but current guidelines find no antiarrhythmic proven to prevent sudden death; the implantable cardioverter-defibrillator is the proven measure.</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QRS width in Wolff-Parkinson-White.</w:t>
            </w:r>
            <w:r>
              <w:rPr>
                <w:b w:val="0"/>
                <w:i w:val="0"/>
                <w:sz w:val="20"/>
              </w:rPr>
              <w:t xml:space="preserve"> Slide 33 says “Narrow, &lt; 0.12 +/- delta wave”; slide 35 says “Wide QRS &gt;0.1 sec”. Both are true of different moments: during orthodromic tachycardia the QRS is narrow, while the pre-excited sinus beat is widened by the delta wave.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