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and heart failure (section 4) follow. Coronary artery disease and valvular heart disease are not in this guide yet, so the contents cover these four lectures rather than implying the block is complete.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if fuel tankers are still above 200, add a fuel-tanker measure [69, 116, 118].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so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 niacin or both.</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fibrate or niacin or both).</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so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w:t>
      </w:r>
      <w:r>
        <w:rPr>
          <w:b/>
          <w:i w:val="0"/>
          <w:sz w:val="20"/>
        </w:rPr>
        <w:t>Triglyceride and calculated LDL need a 9–12 hour fast.</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p>
            <w:pPr>
              <w:spacing w:after="120"/>
            </w:pPr>
            <w:r>
              <w:rPr>
                <w:b w:val="0"/>
                <w:i w:val="0"/>
              </w:rPr>
              <w:t xml:space="preserve">“Goal” is the slide’s own wording from the older framework. The numeric goal tables on slides 28 and 117 are self-study; the quizzes key the </w:t>
            </w:r>
            <w:r>
              <w:rPr>
                <w:b w:val="0"/>
                <w:i/>
              </w:rPr>
              <w:t>order</w:t>
            </w:r>
            <w:r>
              <w:rPr>
                <w:b w:val="0"/>
                <w:i w:val="0"/>
              </w:rPr>
              <w:t xml:space="preserve"> (LDL, then triglyceride above 200), never a numeric goal.</w:t>
            </w: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(Carter said “10%” once; the slide wins);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kept and the slip is listed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wins both times.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4.1, 4.5–4.7 and the condition blocks in 4.8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4.3 (definitions) and 4.7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4.6 (natriuretic peptides) and the acute block in 4.8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4.9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4.1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4.2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8" name="Picture 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1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9" name="Picture 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1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10" name="Picture 1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1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4.3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4.4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4.5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11" name="Picture 1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1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4.6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12" name="Picture 1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2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4.7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4.8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(4.4, 4.7).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4.9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