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Georgia" w:hAnsi="Georgia"/>
          <w:color w:val="6B3524"/>
        </w:rPr>
        <w:t>Tuberculosis Drugs Compared</w:t>
      </w:r>
    </w:p>
    <w:p>
      <w:r>
        <w:rPr>
          <w:i/>
          <w:color w:val="666666"/>
          <w:sz w:val="17"/>
        </w:rPr>
        <w:t>Editable Word copy of the PA_Quizzes study aid. Headings use real Word styles, so the navigation pane and the contents field below both work, and restyling one heading restyles them all.</w:t>
      </w:r>
    </w:p>
    <w:p>
      <w:r>
        <w:fldChar w:fldCharType="begin"/>
        <w:instrText xml:space="preserve">TOC \o "1-3" \h \z \u</w:instrText>
        <w:fldChar w:fldCharType="separate"/>
        <w:fldChar w:fldCharType="end"/>
      </w:r>
      <w:r>
        <w:rPr>
          <w:i/>
          <w:color w:val="777777"/>
          <w:sz w:val="17"/>
        </w:rPr>
        <w:t xml:space="preserve">  [In Word: right-click here and choose Update Field to build the contents.]</w:t>
      </w:r>
    </w:p>
    <w:p/>
    <w:p>
      <w:pPr>
        <w:spacing w:after="120"/>
      </w:pPr>
      <w:r>
        <w:rPr>
          <w:b w:val="0"/>
          <w:i w:val="0"/>
        </w:rPr>
        <w:t>Pharmacology I · Exam 3 · Class of 2028</w:t>
      </w:r>
    </w:p>
    <w:p>
      <w:pPr>
        <w:spacing w:after="120"/>
      </w:pPr>
      <w:r>
        <w:rPr>
          <w:b w:val="0"/>
          <w:i w:val="0"/>
        </w:rPr>
        <w:t>The four first-line drugs and the second-line agents: whether each is bacteriostatic or bactericidal, what it targets, how it is used, its signature adverse effects, what to monitor and teach, and how it is eliminated or resisted. No doses.</w:t>
      </w:r>
    </w:p>
    <w:p>
      <w:pPr>
        <w:pStyle w:val="Heading1"/>
        <w:spacing w:before="280" w:after="100"/>
      </w:pPr>
      <w:r>
        <w:rPr>
          <w:rFonts w:ascii="Georgia" w:hAnsi="Georgia"/>
          <w:color w:val="6B3524"/>
        </w:rPr>
        <w:t>Lecture 11 — Drugs for Pulmonary Infections, Asthma and Chronic Obstructive Pulmonary Disease 6 rows</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One signature per drug.</w:t>
            </w:r>
            <w:r>
              <w:rPr>
                <w:b w:val="0"/>
                <w:i w:val="0"/>
              </w:rPr>
              <w:t xml:space="preserve"> Isoniazid: peripheral neuritis, prevented by pyridoxine. Rifampin: orange secretions and enzyme induction (it lowers contraceptives and anticoagulants). Ethambutol: red-green color vision. Pyrazinamide: hyperuricemia and hepatitis, and not in pregnancy. </w:t>
            </w:r>
            <w:r>
              <w:rPr>
                <w:b/>
                <w:i w:val="0"/>
              </w:rPr>
              <w:t>Three of the four can inflame the liver</w:t>
            </w:r>
            <w:r>
              <w:rPr>
                <w:b w:val="0"/>
                <w:i w:val="0"/>
              </w:rPr>
              <w:t xml:space="preserve"> (isoniazid, rifampin, pyrazinamide). Isoniazid and ethambutol both act on the waxy mycolic acid coat; rifampin acts on RNA polymerase. </w:t>
            </w:r>
            <w:r>
              <w:rPr>
                <w:b/>
                <w:i w:val="0"/>
              </w:rPr>
              <w:t>The slides disagree with standard microbiology on one point:</w:t>
            </w:r>
            <w:r>
              <w:rPr>
                <w:b w:val="0"/>
                <w:i w:val="0"/>
              </w:rPr>
              <w:t xml:space="preserve"> rifampin’s spectrum list puts </w:t>
            </w:r>
            <w:r>
              <w:rPr>
                <w:b w:val="0"/>
                <w:i/>
              </w:rPr>
              <w:t>Neisseria</w:t>
            </w:r>
            <w:r>
              <w:rPr>
                <w:b w:val="0"/>
                <w:i w:val="0"/>
              </w:rPr>
              <w:t xml:space="preserve"> and </w:t>
            </w:r>
            <w:r>
              <w:rPr>
                <w:b w:val="0"/>
                <w:i/>
              </w:rPr>
              <w:t>Legionella</w:t>
            </w:r>
            <w:r>
              <w:rPr>
                <w:b w:val="0"/>
                <w:i w:val="0"/>
              </w:rPr>
              <w:t xml:space="preserve"> among gram-positive organisms; both are gram-negative, and the list is not used here. Doses are not tested and are left out.</w:t>
            </w:r>
          </w:p>
        </w:tc>
      </w:tr>
    </w:tbl>
    <w:p>
      <w:pPr>
        <w:spacing w:after="80"/>
      </w:pP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1818"/>
        <w:gridCol w:w="1818"/>
        <w:gridCol w:w="1818"/>
        <w:gridCol w:w="1818"/>
        <w:gridCol w:w="1818"/>
        <w:gridCol w:w="1818"/>
        <w:gridCol w:w="1818"/>
        <w:gridCol w:w="1818"/>
      </w:tblGrid>
      <w:tr>
        <w:tc>
          <w:tcPr>
            <w:tcW w:type="dxa" w:w="1818"/>
            <w:shd w:val="clear" w:color="auto" w:fill="6B3524"/>
          </w:tcPr>
          <w:p>
            <w:pPr>
              <w:spacing w:after="40"/>
            </w:pPr>
            <w:r>
              <w:rPr>
                <w:b/>
                <w:color w:val="FFFFFF"/>
                <w:sz w:val="18"/>
              </w:rPr>
            </w:r>
            <w:r>
              <w:rPr>
                <w:b/>
                <w:i w:val="0"/>
                <w:color w:val="FFFFFF"/>
                <w:sz w:val="18"/>
              </w:rPr>
              <w:t>Drug</w:t>
            </w:r>
          </w:p>
        </w:tc>
        <w:tc>
          <w:tcPr>
            <w:tcW w:type="dxa" w:w="1818"/>
            <w:shd w:val="clear" w:color="auto" w:fill="6B3524"/>
          </w:tcPr>
          <w:p>
            <w:pPr>
              <w:spacing w:after="40"/>
            </w:pPr>
            <w:r>
              <w:rPr>
                <w:b/>
                <w:color w:val="FFFFFF"/>
                <w:sz w:val="18"/>
              </w:rPr>
            </w:r>
            <w:r>
              <w:rPr>
                <w:b/>
                <w:i w:val="0"/>
                <w:color w:val="FFFFFF"/>
                <w:sz w:val="18"/>
              </w:rPr>
              <w:t>Static or cidal</w:t>
            </w:r>
          </w:p>
        </w:tc>
        <w:tc>
          <w:tcPr>
            <w:tcW w:type="dxa" w:w="1818"/>
            <w:shd w:val="clear" w:color="auto" w:fill="6B3524"/>
          </w:tcPr>
          <w:p>
            <w:pPr>
              <w:spacing w:after="40"/>
            </w:pPr>
            <w:r>
              <w:rPr>
                <w:b/>
                <w:color w:val="FFFFFF"/>
                <w:sz w:val="18"/>
              </w:rPr>
            </w:r>
            <w:r>
              <w:rPr>
                <w:b/>
                <w:i w:val="0"/>
                <w:color w:val="FFFFFF"/>
                <w:sz w:val="18"/>
              </w:rPr>
              <w:t>Mechanism</w:t>
            </w:r>
          </w:p>
        </w:tc>
        <w:tc>
          <w:tcPr>
            <w:tcW w:type="dxa" w:w="1818"/>
            <w:shd w:val="clear" w:color="auto" w:fill="6B3524"/>
          </w:tcPr>
          <w:p>
            <w:pPr>
              <w:spacing w:after="40"/>
            </w:pPr>
            <w:r>
              <w:rPr>
                <w:b/>
                <w:color w:val="FFFFFF"/>
                <w:sz w:val="18"/>
              </w:rPr>
            </w:r>
            <w:r>
              <w:rPr>
                <w:b/>
                <w:i w:val="0"/>
                <w:color w:val="FFFFFF"/>
                <w:sz w:val="18"/>
              </w:rPr>
              <w:t>Use</w:t>
            </w:r>
          </w:p>
        </w:tc>
        <w:tc>
          <w:tcPr>
            <w:tcW w:type="dxa" w:w="1818"/>
            <w:shd w:val="clear" w:color="auto" w:fill="6B3524"/>
          </w:tcPr>
          <w:p>
            <w:pPr>
              <w:spacing w:after="40"/>
            </w:pPr>
            <w:r>
              <w:rPr>
                <w:b/>
                <w:color w:val="FFFFFF"/>
                <w:sz w:val="18"/>
              </w:rPr>
            </w:r>
            <w:r>
              <w:rPr>
                <w:b/>
                <w:i w:val="0"/>
                <w:color w:val="FFFFFF"/>
                <w:sz w:val="18"/>
              </w:rPr>
              <w:t>Key adverse effects</w:t>
            </w:r>
          </w:p>
        </w:tc>
        <w:tc>
          <w:tcPr>
            <w:tcW w:type="dxa" w:w="1818"/>
            <w:shd w:val="clear" w:color="auto" w:fill="6B3524"/>
          </w:tcPr>
          <w:p>
            <w:pPr>
              <w:spacing w:after="40"/>
            </w:pPr>
            <w:r>
              <w:rPr>
                <w:b/>
                <w:color w:val="FFFFFF"/>
                <w:sz w:val="18"/>
              </w:rPr>
            </w:r>
            <w:r>
              <w:rPr>
                <w:b/>
                <w:i w:val="0"/>
                <w:color w:val="FFFFFF"/>
                <w:sz w:val="18"/>
              </w:rPr>
              <w:t>Monitoring and education</w:t>
            </w:r>
          </w:p>
        </w:tc>
        <w:tc>
          <w:tcPr>
            <w:tcW w:type="dxa" w:w="1818"/>
            <w:shd w:val="clear" w:color="auto" w:fill="6B3524"/>
          </w:tcPr>
          <w:p>
            <w:pPr>
              <w:spacing w:after="40"/>
            </w:pPr>
            <w:r>
              <w:rPr>
                <w:b/>
                <w:color w:val="FFFFFF"/>
                <w:sz w:val="18"/>
              </w:rPr>
            </w:r>
            <w:r>
              <w:rPr>
                <w:b/>
                <w:i w:val="0"/>
                <w:color w:val="FFFFFF"/>
                <w:sz w:val="18"/>
              </w:rPr>
              <w:t>Elimination and resistance</w:t>
            </w:r>
          </w:p>
        </w:tc>
        <w:tc>
          <w:tcPr>
            <w:tcW w:type="dxa" w:w="1818"/>
            <w:shd w:val="clear" w:color="auto" w:fill="6B3524"/>
          </w:tcPr>
          <w:p>
            <w:pPr>
              <w:spacing w:after="40"/>
            </w:pPr>
            <w:r>
              <w:rPr>
                <w:b/>
                <w:color w:val="FFFFFF"/>
                <w:sz w:val="18"/>
              </w:rPr>
            </w:r>
            <w:r>
              <w:rPr>
                <w:b/>
                <w:i w:val="0"/>
                <w:color w:val="FFFFFF"/>
                <w:sz w:val="18"/>
              </w:rPr>
              <w:t>Source</w:t>
            </w:r>
          </w:p>
        </w:tc>
      </w:tr>
      <w:tr>
        <w:tc>
          <w:tcPr>
            <w:tcW w:type="dxa" w:w="1818"/>
          </w:tcPr>
          <w:p>
            <w:pPr>
              <w:spacing w:after="40"/>
            </w:pPr>
            <w:r>
              <w:rPr>
                <w:sz w:val="18"/>
              </w:rPr>
            </w:r>
            <w:r>
              <w:rPr>
                <w:b/>
                <w:i w:val="0"/>
                <w:sz w:val="18"/>
              </w:rPr>
              <w:t>The regimen</w:t>
            </w:r>
          </w:p>
        </w:tc>
        <w:tc>
          <w:tcPr>
            <w:tcW w:type="dxa" w:w="1818"/>
          </w:tcPr>
          <w:p>
            <w:pPr>
              <w:spacing w:after="40"/>
            </w:pPr>
            <w:r>
              <w:rPr>
                <w:sz w:val="18"/>
              </w:rPr>
            </w:r>
            <w:r>
              <w:rPr>
                <w:b w:val="0"/>
                <w:i w:val="0"/>
                <w:sz w:val="18"/>
              </w:rPr>
              <w:t>—</w:t>
            </w:r>
          </w:p>
        </w:tc>
        <w:tc>
          <w:tcPr>
            <w:tcW w:type="dxa" w:w="1818"/>
          </w:tcPr>
          <w:p>
            <w:pPr>
              <w:spacing w:after="40"/>
            </w:pPr>
            <w:r>
              <w:rPr>
                <w:sz w:val="18"/>
              </w:rPr>
            </w:r>
            <w:r>
              <w:rPr>
                <w:b w:val="0"/>
                <w:i w:val="0"/>
                <w:sz w:val="18"/>
              </w:rPr>
              <w:t xml:space="preserve">Mycobacteria are acid-fast bacilli with a waxy mycolic acid coat; </w:t>
            </w:r>
            <w:r>
              <w:rPr>
                <w:b w:val="0"/>
                <w:i/>
                <w:sz w:val="18"/>
              </w:rPr>
              <w:t>M. tuberculosis</w:t>
            </w:r>
            <w:r>
              <w:rPr>
                <w:b w:val="0"/>
                <w:i w:val="0"/>
                <w:sz w:val="18"/>
              </w:rPr>
              <w:t xml:space="preserve"> grows very slowly and can lie dormant, so drugs that act on cell division work less well</w:t>
            </w:r>
          </w:p>
        </w:tc>
        <w:tc>
          <w:tcPr>
            <w:tcW w:type="dxa" w:w="1818"/>
          </w:tcPr>
          <w:p>
            <w:pPr>
              <w:spacing w:after="40"/>
            </w:pPr>
            <w:r>
              <w:rPr>
                <w:sz w:val="18"/>
              </w:rPr>
            </w:r>
            <w:r>
              <w:rPr>
                <w:b/>
                <w:i w:val="0"/>
                <w:sz w:val="18"/>
              </w:rPr>
              <w:t>Two months of isoniazid, rifampin, ethambutol and pyrazinamide, then four months of isoniazid and rifampin</w:t>
            </w:r>
            <w:r>
              <w:rPr>
                <w:b w:val="0"/>
                <w:i w:val="0"/>
                <w:sz w:val="18"/>
              </w:rPr>
              <w:t>; pulmonary 6 to 9 months, with HIV (human immunodeficiency virus) 9 to 12, complicated 18 to 24</w:t>
            </w:r>
          </w:p>
        </w:tc>
        <w:tc>
          <w:tcPr>
            <w:tcW w:type="dxa" w:w="1818"/>
          </w:tcPr>
          <w:p>
            <w:pPr>
              <w:spacing w:after="40"/>
            </w:pPr>
            <w:r>
              <w:rPr>
                <w:sz w:val="18"/>
              </w:rPr>
            </w:r>
            <w:r>
              <w:rPr>
                <w:b w:val="0"/>
                <w:i w:val="0"/>
                <w:sz w:val="18"/>
              </w:rPr>
              <w:t>—</w:t>
            </w:r>
          </w:p>
        </w:tc>
        <w:tc>
          <w:tcPr>
            <w:tcW w:type="dxa" w:w="1818"/>
          </w:tcPr>
          <w:p>
            <w:pPr>
              <w:spacing w:after="40"/>
            </w:pPr>
            <w:r>
              <w:rPr>
                <w:sz w:val="18"/>
              </w:rPr>
            </w:r>
            <w:r>
              <w:rPr>
                <w:b w:val="0"/>
                <w:i w:val="0"/>
                <w:sz w:val="18"/>
              </w:rPr>
              <w:t>Never single agents in active disease</w:t>
            </w:r>
          </w:p>
        </w:tc>
        <w:tc>
          <w:tcPr>
            <w:tcW w:type="dxa" w:w="1818"/>
          </w:tcPr>
          <w:p>
            <w:pPr>
              <w:spacing w:after="40"/>
            </w:pPr>
            <w:r>
              <w:rPr>
                <w:sz w:val="18"/>
              </w:rPr>
            </w:r>
            <w:r>
              <w:rPr>
                <w:b w:val="0"/>
                <w:i w:val="0"/>
                <w:sz w:val="18"/>
              </w:rPr>
              <w:t>Isoniazid or rifampin resistance: treat 18 to 24 months</w:t>
            </w:r>
          </w:p>
        </w:tc>
        <w:tc>
          <w:tcPr>
            <w:tcW w:type="dxa" w:w="1818"/>
          </w:tcPr>
          <w:p>
            <w:pPr>
              <w:spacing w:after="40"/>
            </w:pPr>
            <w:r>
              <w:rPr>
                <w:sz w:val="18"/>
              </w:rPr>
            </w:r>
            <w:r>
              <w:rPr>
                <w:b w:val="0"/>
                <w:i w:val="0"/>
                <w:sz w:val="18"/>
              </w:rPr>
              <w:t>L11</w:t>
            </w:r>
            <w:r>
              <w:rPr>
                <w:sz w:val="18"/>
              </w:rPr>
              <w:br/>
            </w:r>
            <w:r>
              <w:rPr>
                <w:b w:val="0"/>
                <w:i w:val="0"/>
                <w:sz w:val="18"/>
              </w:rPr>
              <w:t>slide 35</w:t>
            </w:r>
            <w:r>
              <w:rPr>
                <w:sz w:val="18"/>
              </w:rPr>
              <w:br/>
            </w:r>
            <w:r>
              <w:rPr>
                <w:b w:val="0"/>
                <w:i w:val="0"/>
                <w:sz w:val="18"/>
              </w:rPr>
              <w:t>slide 34</w:t>
            </w:r>
            <w:r>
              <w:rPr>
                <w:sz w:val="18"/>
              </w:rPr>
              <w:br/>
            </w:r>
            <w:r>
              <w:rPr>
                <w:b w:val="0"/>
                <w:i w:val="0"/>
                <w:sz w:val="18"/>
              </w:rPr>
              <w:t>slide 36</w:t>
            </w:r>
            <w:r>
              <w:rPr>
                <w:sz w:val="18"/>
              </w:rPr>
              <w:br/>
            </w:r>
            <w:r>
              <w:rPr>
                <w:b w:val="0"/>
                <w:i w:val="0"/>
                <w:sz w:val="18"/>
              </w:rPr>
              <w:t>slide 46</w:t>
            </w:r>
          </w:p>
        </w:tc>
      </w:tr>
      <w:tr>
        <w:tc>
          <w:tcPr>
            <w:tcW w:type="dxa" w:w="1818"/>
          </w:tcPr>
          <w:p>
            <w:pPr>
              <w:spacing w:after="40"/>
            </w:pPr>
            <w:r>
              <w:rPr>
                <w:sz w:val="18"/>
              </w:rPr>
            </w:r>
            <w:r>
              <w:rPr>
                <w:b/>
                <w:i w:val="0"/>
                <w:sz w:val="18"/>
              </w:rPr>
              <w:t>Isoniazid</w:t>
            </w:r>
          </w:p>
        </w:tc>
        <w:tc>
          <w:tcPr>
            <w:tcW w:type="dxa" w:w="1818"/>
          </w:tcPr>
          <w:p>
            <w:pPr>
              <w:spacing w:after="40"/>
            </w:pPr>
            <w:r>
              <w:rPr>
                <w:sz w:val="18"/>
              </w:rPr>
            </w:r>
            <w:r>
              <w:rPr>
                <w:b/>
                <w:i w:val="0"/>
                <w:sz w:val="18"/>
              </w:rPr>
              <w:t>Bacteriostatic for latent, bactericidal for dividing bacteria</w:t>
            </w:r>
          </w:p>
        </w:tc>
        <w:tc>
          <w:tcPr>
            <w:tcW w:type="dxa" w:w="1818"/>
          </w:tcPr>
          <w:p>
            <w:pPr>
              <w:spacing w:after="40"/>
            </w:pPr>
            <w:r>
              <w:rPr>
                <w:sz w:val="18"/>
              </w:rPr>
            </w:r>
            <w:r>
              <w:rPr>
                <w:b/>
                <w:i w:val="0"/>
                <w:sz w:val="18"/>
              </w:rPr>
              <w:t>Inhibits mycolic acid production</w:t>
            </w:r>
            <w:r>
              <w:rPr>
                <w:b w:val="0"/>
                <w:i w:val="0"/>
                <w:sz w:val="18"/>
              </w:rPr>
              <w:t xml:space="preserve"> (the waxy cell coat); activated by the bacterial catalase-peroxidase</w:t>
            </w:r>
          </w:p>
        </w:tc>
        <w:tc>
          <w:tcPr>
            <w:tcW w:type="dxa" w:w="1818"/>
          </w:tcPr>
          <w:p>
            <w:pPr>
              <w:spacing w:after="40"/>
            </w:pPr>
            <w:r>
              <w:rPr>
                <w:sz w:val="18"/>
              </w:rPr>
            </w:r>
            <w:r>
              <w:rPr>
                <w:b/>
                <w:i w:val="0"/>
                <w:sz w:val="18"/>
              </w:rPr>
              <w:t>Prophylaxis alone</w:t>
            </w:r>
            <w:r>
              <w:rPr>
                <w:b w:val="0"/>
                <w:i w:val="0"/>
                <w:sz w:val="18"/>
              </w:rPr>
              <w:t>; active disease in combination</w:t>
            </w:r>
          </w:p>
        </w:tc>
        <w:tc>
          <w:tcPr>
            <w:tcW w:type="dxa" w:w="1818"/>
          </w:tcPr>
          <w:p>
            <w:pPr>
              <w:spacing w:after="40"/>
            </w:pPr>
            <w:r>
              <w:rPr>
                <w:sz w:val="18"/>
              </w:rPr>
            </w:r>
            <w:r>
              <w:rPr>
                <w:b/>
                <w:i w:val="0"/>
                <w:sz w:val="18"/>
              </w:rPr>
              <w:t>Peripheral neuritis</w:t>
            </w:r>
            <w:r>
              <w:rPr>
                <w:b w:val="0"/>
                <w:i w:val="0"/>
                <w:sz w:val="18"/>
              </w:rPr>
              <w:t xml:space="preserve"> (pyridoxine deficiency); </w:t>
            </w:r>
            <w:r>
              <w:rPr>
                <w:b/>
                <w:i w:val="0"/>
                <w:sz w:val="18"/>
              </w:rPr>
              <w:t>hepatitis</w:t>
            </w:r>
            <w:r>
              <w:rPr>
                <w:b w:val="0"/>
                <w:i w:val="0"/>
                <w:sz w:val="18"/>
              </w:rPr>
              <w:t xml:space="preserve"> (more in alcoholics and with age); lupus-like syndrome; seizures, euphoria, psychosis, memory impairment</w:t>
            </w:r>
          </w:p>
        </w:tc>
        <w:tc>
          <w:tcPr>
            <w:tcW w:type="dxa" w:w="1818"/>
          </w:tcPr>
          <w:p>
            <w:pPr>
              <w:spacing w:after="40"/>
            </w:pPr>
            <w:r>
              <w:rPr>
                <w:sz w:val="18"/>
              </w:rPr>
            </w:r>
            <w:r>
              <w:rPr>
                <w:b/>
                <w:i w:val="0"/>
                <w:sz w:val="18"/>
              </w:rPr>
              <w:t>Give pyridoxine (vitamin B6)</w:t>
            </w:r>
            <w:r>
              <w:rPr>
                <w:b w:val="0"/>
                <w:i w:val="0"/>
                <w:sz w:val="18"/>
              </w:rPr>
              <w:t>; liver tests, especially with alcohol use or older age</w:t>
            </w:r>
          </w:p>
        </w:tc>
        <w:tc>
          <w:tcPr>
            <w:tcW w:type="dxa" w:w="1818"/>
          </w:tcPr>
          <w:p>
            <w:pPr>
              <w:spacing w:after="40"/>
            </w:pPr>
            <w:r>
              <w:rPr>
                <w:sz w:val="18"/>
              </w:rPr>
            </w:r>
            <w:r>
              <w:rPr>
                <w:b w:val="0"/>
                <w:i w:val="0"/>
                <w:sz w:val="18"/>
              </w:rPr>
              <w:t>75 to 95 percent excreted as an acetylated metabolite (fast and slow acetylators); well absorbed, enters the central nervous system; resistance by mutation in the activating enzyme’s gene</w:t>
            </w:r>
          </w:p>
        </w:tc>
        <w:tc>
          <w:tcPr>
            <w:tcW w:type="dxa" w:w="1818"/>
          </w:tcPr>
          <w:p>
            <w:pPr>
              <w:spacing w:after="40"/>
            </w:pPr>
            <w:r>
              <w:rPr>
                <w:sz w:val="18"/>
              </w:rPr>
            </w:r>
            <w:r>
              <w:rPr>
                <w:b w:val="0"/>
                <w:i w:val="0"/>
                <w:sz w:val="18"/>
              </w:rPr>
              <w:t>L11</w:t>
            </w:r>
            <w:r>
              <w:rPr>
                <w:sz w:val="18"/>
              </w:rPr>
              <w:br/>
            </w:r>
            <w:r>
              <w:rPr>
                <w:b w:val="0"/>
                <w:i w:val="0"/>
                <w:sz w:val="18"/>
              </w:rPr>
              <w:t>slide 37</w:t>
            </w:r>
            <w:r>
              <w:rPr>
                <w:sz w:val="18"/>
              </w:rPr>
              <w:br/>
            </w:r>
            <w:r>
              <w:rPr>
                <w:b w:val="0"/>
                <w:i w:val="0"/>
                <w:sz w:val="18"/>
              </w:rPr>
              <w:t>slide 38</w:t>
            </w:r>
            <w:r>
              <w:rPr>
                <w:sz w:val="18"/>
              </w:rPr>
              <w:br/>
            </w:r>
            <w:r>
              <w:rPr>
                <w:b w:val="0"/>
                <w:i w:val="0"/>
                <w:sz w:val="18"/>
              </w:rPr>
              <w:t>slide 39</w:t>
            </w:r>
            <w:r>
              <w:rPr>
                <w:sz w:val="18"/>
              </w:rPr>
              <w:br/>
            </w:r>
            <w:r>
              <w:rPr>
                <w:b w:val="0"/>
                <w:i w:val="0"/>
                <w:sz w:val="18"/>
              </w:rPr>
              <w:t>slide 33</w:t>
            </w:r>
          </w:p>
        </w:tc>
      </w:tr>
      <w:tr>
        <w:tc>
          <w:tcPr>
            <w:tcW w:type="dxa" w:w="1818"/>
          </w:tcPr>
          <w:p>
            <w:pPr>
              <w:spacing w:after="40"/>
            </w:pPr>
            <w:r>
              <w:rPr>
                <w:sz w:val="18"/>
              </w:rPr>
            </w:r>
            <w:r>
              <w:rPr>
                <w:b/>
                <w:i w:val="0"/>
                <w:sz w:val="18"/>
              </w:rPr>
              <w:t>Rifampin</w:t>
            </w:r>
          </w:p>
        </w:tc>
        <w:tc>
          <w:tcPr>
            <w:tcW w:type="dxa" w:w="1818"/>
          </w:tcPr>
          <w:p>
            <w:pPr>
              <w:spacing w:after="40"/>
            </w:pPr>
            <w:r>
              <w:rPr>
                <w:sz w:val="18"/>
              </w:rPr>
            </w:r>
            <w:r>
              <w:rPr>
                <w:b w:val="0"/>
                <w:i w:val="0"/>
                <w:sz w:val="18"/>
              </w:rPr>
              <w:t>Not stated</w:t>
            </w:r>
          </w:p>
        </w:tc>
        <w:tc>
          <w:tcPr>
            <w:tcW w:type="dxa" w:w="1818"/>
          </w:tcPr>
          <w:p>
            <w:pPr>
              <w:spacing w:after="40"/>
            </w:pPr>
            <w:r>
              <w:rPr>
                <w:sz w:val="18"/>
              </w:rPr>
            </w:r>
            <w:r>
              <w:rPr>
                <w:b/>
                <w:i w:val="0"/>
                <w:sz w:val="18"/>
              </w:rPr>
              <w:t>Inhibits DNA-dependent RNA polymerase</w:t>
            </w:r>
            <w:r>
              <w:rPr>
                <w:b w:val="0"/>
                <w:i w:val="0"/>
                <w:sz w:val="18"/>
              </w:rPr>
              <w:t xml:space="preserve"> by forming a complex with the enzyme (no effect on the human enzyme); a semi-synthetic rifamycin</w:t>
            </w:r>
          </w:p>
        </w:tc>
        <w:tc>
          <w:tcPr>
            <w:tcW w:type="dxa" w:w="1818"/>
          </w:tcPr>
          <w:p>
            <w:pPr>
              <w:spacing w:after="40"/>
            </w:pPr>
            <w:r>
              <w:rPr>
                <w:sz w:val="18"/>
              </w:rPr>
            </w:r>
            <w:r>
              <w:rPr>
                <w:b/>
                <w:i w:val="0"/>
                <w:sz w:val="18"/>
              </w:rPr>
              <w:t>Tuberculosis</w:t>
            </w:r>
            <w:r>
              <w:rPr>
                <w:b w:val="0"/>
                <w:i w:val="0"/>
                <w:sz w:val="18"/>
              </w:rPr>
              <w:t>; meningococcal disease prophylaxis; endocarditis</w:t>
            </w:r>
          </w:p>
        </w:tc>
        <w:tc>
          <w:tcPr>
            <w:tcW w:type="dxa" w:w="1818"/>
          </w:tcPr>
          <w:p>
            <w:pPr>
              <w:spacing w:after="40"/>
            </w:pPr>
            <w:r>
              <w:rPr>
                <w:sz w:val="18"/>
              </w:rPr>
            </w:r>
            <w:r>
              <w:rPr>
                <w:b/>
                <w:i w:val="0"/>
                <w:sz w:val="18"/>
              </w:rPr>
              <w:t>Orange tears, sweat and urine</w:t>
            </w:r>
            <w:r>
              <w:rPr>
                <w:b w:val="0"/>
                <w:i w:val="0"/>
                <w:sz w:val="18"/>
              </w:rPr>
              <w:t xml:space="preserve">; </w:t>
            </w:r>
            <w:r>
              <w:rPr>
                <w:b/>
                <w:i w:val="0"/>
                <w:sz w:val="18"/>
              </w:rPr>
              <w:t>induces cytochrome P450 enzymes</w:t>
            </w:r>
            <w:r>
              <w:rPr>
                <w:b w:val="0"/>
                <w:i w:val="0"/>
                <w:sz w:val="18"/>
              </w:rPr>
              <w:t>; jaundice, hepatitis; flu-like hypersensitivity (20 percent); gastrointestinal upset</w:t>
            </w:r>
          </w:p>
        </w:tc>
        <w:tc>
          <w:tcPr>
            <w:tcW w:type="dxa" w:w="1818"/>
          </w:tcPr>
          <w:p>
            <w:pPr>
              <w:spacing w:after="40"/>
            </w:pPr>
            <w:r>
              <w:rPr>
                <w:sz w:val="18"/>
              </w:rPr>
            </w:r>
            <w:r>
              <w:rPr>
                <w:b w:val="0"/>
                <w:i w:val="0"/>
                <w:sz w:val="18"/>
              </w:rPr>
              <w:t>Warn about the orange color; review interacting drugs (anticoagulants, contraceptives, digoxin, ketoconazole, theophylline)</w:t>
            </w:r>
          </w:p>
        </w:tc>
        <w:tc>
          <w:tcPr>
            <w:tcW w:type="dxa" w:w="1818"/>
          </w:tcPr>
          <w:p>
            <w:pPr>
              <w:spacing w:after="40"/>
            </w:pPr>
            <w:r>
              <w:rPr>
                <w:sz w:val="18"/>
              </w:rPr>
            </w:r>
            <w:r>
              <w:rPr>
                <w:b/>
                <w:i w:val="0"/>
                <w:sz w:val="18"/>
              </w:rPr>
              <w:t>Rarely used alone</w:t>
            </w:r>
            <w:r>
              <w:rPr>
                <w:b w:val="0"/>
                <w:i w:val="0"/>
                <w:sz w:val="18"/>
              </w:rPr>
              <w:t>: tolerance develops rapidly</w:t>
            </w:r>
          </w:p>
        </w:tc>
        <w:tc>
          <w:tcPr>
            <w:tcW w:type="dxa" w:w="1818"/>
          </w:tcPr>
          <w:p>
            <w:pPr>
              <w:spacing w:after="40"/>
            </w:pPr>
            <w:r>
              <w:rPr>
                <w:sz w:val="18"/>
              </w:rPr>
            </w:r>
            <w:r>
              <w:rPr>
                <w:b w:val="0"/>
                <w:i w:val="0"/>
                <w:sz w:val="18"/>
              </w:rPr>
              <w:t>L11</w:t>
            </w:r>
            <w:r>
              <w:rPr>
                <w:sz w:val="18"/>
              </w:rPr>
              <w:br/>
            </w:r>
            <w:r>
              <w:rPr>
                <w:b w:val="0"/>
                <w:i w:val="0"/>
                <w:sz w:val="18"/>
              </w:rPr>
              <w:t>slide 41</w:t>
            </w:r>
            <w:r>
              <w:rPr>
                <w:sz w:val="18"/>
              </w:rPr>
              <w:br/>
            </w:r>
            <w:r>
              <w:rPr>
                <w:b w:val="0"/>
                <w:i w:val="0"/>
                <w:sz w:val="18"/>
              </w:rPr>
              <w:t>slide 42</w:t>
            </w:r>
            <w:r>
              <w:rPr>
                <w:sz w:val="18"/>
              </w:rPr>
              <w:br/>
            </w:r>
            <w:r>
              <w:rPr>
                <w:b w:val="0"/>
                <w:i w:val="0"/>
                <w:sz w:val="18"/>
              </w:rPr>
              <w:t>slide 40</w:t>
            </w:r>
            <w:r>
              <w:rPr>
                <w:sz w:val="18"/>
              </w:rPr>
              <w:br/>
            </w:r>
            <w:r>
              <w:rPr>
                <w:b w:val="0"/>
                <w:i w:val="0"/>
                <w:sz w:val="18"/>
              </w:rPr>
              <w:t>slide 33</w:t>
            </w:r>
          </w:p>
        </w:tc>
      </w:tr>
      <w:tr>
        <w:tc>
          <w:tcPr>
            <w:tcW w:type="dxa" w:w="1818"/>
          </w:tcPr>
          <w:p>
            <w:pPr>
              <w:spacing w:after="40"/>
            </w:pPr>
            <w:r>
              <w:rPr>
                <w:sz w:val="18"/>
              </w:rPr>
            </w:r>
            <w:r>
              <w:rPr>
                <w:b/>
                <w:i w:val="0"/>
                <w:sz w:val="18"/>
              </w:rPr>
              <w:t>Ethambutol</w:t>
            </w:r>
          </w:p>
        </w:tc>
        <w:tc>
          <w:tcPr>
            <w:tcW w:type="dxa" w:w="1818"/>
          </w:tcPr>
          <w:p>
            <w:pPr>
              <w:spacing w:after="40"/>
            </w:pPr>
            <w:r>
              <w:rPr>
                <w:sz w:val="18"/>
              </w:rPr>
            </w:r>
            <w:r>
              <w:rPr>
                <w:b/>
                <w:i w:val="0"/>
                <w:sz w:val="18"/>
              </w:rPr>
              <w:t>Bacteriostatic</w:t>
            </w:r>
          </w:p>
        </w:tc>
        <w:tc>
          <w:tcPr>
            <w:tcW w:type="dxa" w:w="1818"/>
          </w:tcPr>
          <w:p>
            <w:pPr>
              <w:spacing w:after="40"/>
            </w:pPr>
            <w:r>
              <w:rPr>
                <w:sz w:val="18"/>
              </w:rPr>
            </w:r>
            <w:r>
              <w:rPr>
                <w:b w:val="0"/>
                <w:i w:val="0"/>
                <w:sz w:val="18"/>
              </w:rPr>
              <w:t xml:space="preserve">Mechanism unknown: </w:t>
            </w:r>
            <w:r>
              <w:rPr>
                <w:b/>
                <w:i w:val="0"/>
                <w:sz w:val="18"/>
              </w:rPr>
              <w:t>inhibits mycolic acid incorporation into membranes</w:t>
            </w:r>
            <w:r>
              <w:rPr>
                <w:b w:val="0"/>
                <w:i w:val="0"/>
                <w:sz w:val="18"/>
              </w:rPr>
              <w:t>; no effect on other bacteria; the weakened cell wall lets the other agents in</w:t>
            </w:r>
          </w:p>
        </w:tc>
        <w:tc>
          <w:tcPr>
            <w:tcW w:type="dxa" w:w="1818"/>
          </w:tcPr>
          <w:p>
            <w:pPr>
              <w:spacing w:after="40"/>
            </w:pPr>
            <w:r>
              <w:rPr>
                <w:sz w:val="18"/>
              </w:rPr>
            </w:r>
            <w:r>
              <w:rPr>
                <w:b w:val="0"/>
                <w:i w:val="0"/>
                <w:sz w:val="18"/>
              </w:rPr>
              <w:t>First two months of the four-drug start</w:t>
            </w:r>
          </w:p>
        </w:tc>
        <w:tc>
          <w:tcPr>
            <w:tcW w:type="dxa" w:w="1818"/>
          </w:tcPr>
          <w:p>
            <w:pPr>
              <w:spacing w:after="40"/>
            </w:pPr>
            <w:r>
              <w:rPr>
                <w:sz w:val="18"/>
              </w:rPr>
            </w:r>
            <w:r>
              <w:rPr>
                <w:b/>
                <w:i w:val="0"/>
                <w:sz w:val="18"/>
              </w:rPr>
              <w:t>Visual disturbances: decreased red-green discrimination and visual acuity</w:t>
            </w:r>
            <w:r>
              <w:rPr>
                <w:b w:val="0"/>
                <w:i w:val="0"/>
                <w:sz w:val="18"/>
              </w:rPr>
              <w:t>; increased uric acid</w:t>
            </w:r>
          </w:p>
        </w:tc>
        <w:tc>
          <w:tcPr>
            <w:tcW w:type="dxa" w:w="1818"/>
          </w:tcPr>
          <w:p>
            <w:pPr>
              <w:spacing w:after="40"/>
            </w:pPr>
            <w:r>
              <w:rPr>
                <w:sz w:val="18"/>
              </w:rPr>
            </w:r>
            <w:r>
              <w:rPr>
                <w:b w:val="0"/>
                <w:i w:val="0"/>
                <w:sz w:val="18"/>
              </w:rPr>
              <w:t>Ask about vision and color perception</w:t>
            </w:r>
          </w:p>
        </w:tc>
        <w:tc>
          <w:tcPr>
            <w:tcW w:type="dxa" w:w="1818"/>
          </w:tcPr>
          <w:p>
            <w:pPr>
              <w:spacing w:after="40"/>
            </w:pPr>
            <w:r>
              <w:rPr>
                <w:sz w:val="18"/>
              </w:rPr>
            </w:r>
            <w:r>
              <w:rPr>
                <w:b/>
                <w:i w:val="0"/>
                <w:sz w:val="18"/>
              </w:rPr>
              <w:t>75 percent excreted unchanged: adjust in renal disease</w:t>
            </w:r>
            <w:r>
              <w:rPr>
                <w:b w:val="0"/>
                <w:i w:val="0"/>
                <w:sz w:val="18"/>
              </w:rPr>
              <w:t>; resistance develops quickly if used alone</w:t>
            </w:r>
          </w:p>
        </w:tc>
        <w:tc>
          <w:tcPr>
            <w:tcW w:type="dxa" w:w="1818"/>
          </w:tcPr>
          <w:p>
            <w:pPr>
              <w:spacing w:after="40"/>
            </w:pPr>
            <w:r>
              <w:rPr>
                <w:sz w:val="18"/>
              </w:rPr>
            </w:r>
            <w:r>
              <w:rPr>
                <w:b w:val="0"/>
                <w:i w:val="0"/>
                <w:sz w:val="18"/>
              </w:rPr>
              <w:t>L11</w:t>
            </w:r>
            <w:r>
              <w:rPr>
                <w:sz w:val="18"/>
              </w:rPr>
              <w:br/>
            </w:r>
            <w:r>
              <w:rPr>
                <w:b w:val="0"/>
                <w:i w:val="0"/>
                <w:sz w:val="18"/>
              </w:rPr>
              <w:t>slide 43</w:t>
            </w:r>
            <w:r>
              <w:rPr>
                <w:sz w:val="18"/>
              </w:rPr>
              <w:br/>
            </w:r>
            <w:r>
              <w:rPr>
                <w:b w:val="0"/>
                <w:i w:val="0"/>
                <w:sz w:val="18"/>
              </w:rPr>
              <w:t>slide 44</w:t>
            </w:r>
            <w:r>
              <w:rPr>
                <w:sz w:val="18"/>
              </w:rPr>
              <w:br/>
            </w:r>
            <w:r>
              <w:rPr>
                <w:b w:val="0"/>
                <w:i w:val="0"/>
                <w:sz w:val="18"/>
              </w:rPr>
              <w:t>slide 33</w:t>
            </w:r>
          </w:p>
        </w:tc>
      </w:tr>
      <w:tr>
        <w:tc>
          <w:tcPr>
            <w:tcW w:type="dxa" w:w="1818"/>
          </w:tcPr>
          <w:p>
            <w:pPr>
              <w:spacing w:after="40"/>
            </w:pPr>
            <w:r>
              <w:rPr>
                <w:sz w:val="18"/>
              </w:rPr>
            </w:r>
            <w:r>
              <w:rPr>
                <w:b/>
                <w:i w:val="0"/>
                <w:sz w:val="18"/>
              </w:rPr>
              <w:t>Pyrazinamide</w:t>
            </w:r>
          </w:p>
        </w:tc>
        <w:tc>
          <w:tcPr>
            <w:tcW w:type="dxa" w:w="1818"/>
          </w:tcPr>
          <w:p>
            <w:pPr>
              <w:spacing w:after="40"/>
            </w:pPr>
            <w:r>
              <w:rPr>
                <w:sz w:val="18"/>
              </w:rPr>
            </w:r>
            <w:r>
              <w:rPr>
                <w:b w:val="0"/>
                <w:i w:val="0"/>
                <w:sz w:val="18"/>
              </w:rPr>
              <w:t>Not stated</w:t>
            </w:r>
          </w:p>
        </w:tc>
        <w:tc>
          <w:tcPr>
            <w:tcW w:type="dxa" w:w="1818"/>
          </w:tcPr>
          <w:p>
            <w:pPr>
              <w:spacing w:after="40"/>
            </w:pPr>
            <w:r>
              <w:rPr>
                <w:sz w:val="18"/>
              </w:rPr>
            </w:r>
            <w:r>
              <w:rPr>
                <w:b w:val="0"/>
                <w:i w:val="0"/>
                <w:sz w:val="18"/>
              </w:rPr>
              <w:t xml:space="preserve">Converted to pyrazinoic acid, which </w:t>
            </w:r>
            <w:r>
              <w:rPr>
                <w:b/>
                <w:i w:val="0"/>
                <w:sz w:val="18"/>
              </w:rPr>
              <w:t>lowers the pH so the bacteria cannot grow</w:t>
            </w:r>
            <w:r>
              <w:rPr>
                <w:b w:val="0"/>
                <w:i w:val="0"/>
                <w:sz w:val="18"/>
              </w:rPr>
              <w:t>; enters macrophages; exact target unclear</w:t>
            </w:r>
          </w:p>
        </w:tc>
        <w:tc>
          <w:tcPr>
            <w:tcW w:type="dxa" w:w="1818"/>
          </w:tcPr>
          <w:p>
            <w:pPr>
              <w:spacing w:after="40"/>
            </w:pPr>
            <w:r>
              <w:rPr>
                <w:sz w:val="18"/>
              </w:rPr>
            </w:r>
            <w:r>
              <w:rPr>
                <w:b/>
                <w:i w:val="0"/>
                <w:sz w:val="18"/>
              </w:rPr>
              <w:t>Shortens the combined course</w:t>
            </w:r>
            <w:r>
              <w:rPr>
                <w:b w:val="0"/>
                <w:i w:val="0"/>
                <w:sz w:val="18"/>
              </w:rPr>
              <w:t>; given in the first two months only</w:t>
            </w:r>
          </w:p>
        </w:tc>
        <w:tc>
          <w:tcPr>
            <w:tcW w:type="dxa" w:w="1818"/>
          </w:tcPr>
          <w:p>
            <w:pPr>
              <w:spacing w:after="40"/>
            </w:pPr>
            <w:r>
              <w:rPr>
                <w:sz w:val="18"/>
              </w:rPr>
            </w:r>
            <w:r>
              <w:rPr>
                <w:b/>
                <w:i w:val="0"/>
                <w:sz w:val="18"/>
              </w:rPr>
              <w:t>Hepatitis (15 percent)</w:t>
            </w:r>
            <w:r>
              <w:rPr>
                <w:b w:val="0"/>
                <w:i w:val="0"/>
                <w:sz w:val="18"/>
              </w:rPr>
              <w:t xml:space="preserve">; </w:t>
            </w:r>
            <w:r>
              <w:rPr>
                <w:b/>
                <w:i w:val="0"/>
                <w:sz w:val="18"/>
              </w:rPr>
              <w:t>hyperuricemia in every patient</w:t>
            </w:r>
            <w:r>
              <w:rPr>
                <w:b w:val="0"/>
                <w:i w:val="0"/>
                <w:sz w:val="18"/>
              </w:rPr>
              <w:t xml:space="preserve"> (inhibits uric acid excretion)</w:t>
            </w:r>
          </w:p>
        </w:tc>
        <w:tc>
          <w:tcPr>
            <w:tcW w:type="dxa" w:w="1818"/>
          </w:tcPr>
          <w:p>
            <w:pPr>
              <w:spacing w:after="40"/>
            </w:pPr>
            <w:r>
              <w:rPr>
                <w:sz w:val="18"/>
              </w:rPr>
            </w:r>
            <w:r>
              <w:rPr>
                <w:b/>
                <w:i w:val="0"/>
                <w:sz w:val="18"/>
              </w:rPr>
              <w:t>Monitor liver enzymes</w:t>
            </w:r>
            <w:r>
              <w:rPr>
                <w:b w:val="0"/>
                <w:i w:val="0"/>
                <w:sz w:val="18"/>
              </w:rPr>
              <w:t xml:space="preserve">; </w:t>
            </w:r>
            <w:r>
              <w:rPr>
                <w:b/>
                <w:i w:val="0"/>
                <w:sz w:val="18"/>
              </w:rPr>
              <w:t>avoid in pregnancy</w:t>
            </w:r>
          </w:p>
        </w:tc>
        <w:tc>
          <w:tcPr>
            <w:tcW w:type="dxa" w:w="1818"/>
          </w:tcPr>
          <w:p>
            <w:pPr>
              <w:spacing w:after="40"/>
            </w:pPr>
            <w:r>
              <w:rPr>
                <w:sz w:val="18"/>
              </w:rPr>
            </w:r>
            <w:r>
              <w:rPr>
                <w:b w:val="0"/>
                <w:i w:val="0"/>
                <w:sz w:val="18"/>
              </w:rPr>
              <w:t>Limited to the first two months to avoid liver toxicity</w:t>
            </w:r>
          </w:p>
        </w:tc>
        <w:tc>
          <w:tcPr>
            <w:tcW w:type="dxa" w:w="1818"/>
          </w:tcPr>
          <w:p>
            <w:pPr>
              <w:spacing w:after="40"/>
            </w:pPr>
            <w:r>
              <w:rPr>
                <w:sz w:val="18"/>
              </w:rPr>
            </w:r>
            <w:r>
              <w:rPr>
                <w:b w:val="0"/>
                <w:i w:val="0"/>
                <w:sz w:val="18"/>
              </w:rPr>
              <w:t>L11</w:t>
            </w:r>
            <w:r>
              <w:rPr>
                <w:sz w:val="18"/>
              </w:rPr>
              <w:br/>
            </w:r>
            <w:r>
              <w:rPr>
                <w:b w:val="0"/>
                <w:i w:val="0"/>
                <w:sz w:val="18"/>
              </w:rPr>
              <w:t>slide 45</w:t>
            </w:r>
            <w:r>
              <w:rPr>
                <w:sz w:val="18"/>
              </w:rPr>
              <w:br/>
            </w:r>
            <w:r>
              <w:rPr>
                <w:b w:val="0"/>
                <w:i w:val="0"/>
                <w:sz w:val="18"/>
              </w:rPr>
              <w:t>slide 33</w:t>
            </w:r>
          </w:p>
        </w:tc>
      </w:tr>
      <w:tr>
        <w:tc>
          <w:tcPr>
            <w:tcW w:type="dxa" w:w="1818"/>
          </w:tcPr>
          <w:p>
            <w:pPr>
              <w:spacing w:after="40"/>
            </w:pPr>
            <w:r>
              <w:rPr>
                <w:sz w:val="18"/>
              </w:rPr>
            </w:r>
            <w:r>
              <w:rPr>
                <w:b/>
                <w:i w:val="0"/>
                <w:sz w:val="18"/>
              </w:rPr>
              <w:t>Second-line agents</w:t>
            </w:r>
          </w:p>
        </w:tc>
        <w:tc>
          <w:tcPr>
            <w:tcW w:type="dxa" w:w="1818"/>
          </w:tcPr>
          <w:p>
            <w:pPr>
              <w:spacing w:after="40"/>
            </w:pPr>
            <w:r>
              <w:rPr>
                <w:sz w:val="18"/>
              </w:rPr>
            </w:r>
            <w:r>
              <w:rPr>
                <w:b w:val="0"/>
                <w:i w:val="0"/>
                <w:sz w:val="18"/>
              </w:rPr>
              <w:t>—</w:t>
            </w:r>
          </w:p>
        </w:tc>
        <w:tc>
          <w:tcPr>
            <w:tcW w:type="dxa" w:w="1818"/>
          </w:tcPr>
          <w:p>
            <w:pPr>
              <w:spacing w:after="40"/>
            </w:pPr>
            <w:r>
              <w:rPr>
                <w:sz w:val="18"/>
              </w:rPr>
            </w:r>
            <w:r>
              <w:rPr>
                <w:b w:val="0"/>
                <w:i w:val="0"/>
                <w:sz w:val="18"/>
              </w:rPr>
              <w:t>—</w:t>
            </w:r>
          </w:p>
        </w:tc>
        <w:tc>
          <w:tcPr>
            <w:tcW w:type="dxa" w:w="1818"/>
          </w:tcPr>
          <w:p>
            <w:pPr>
              <w:spacing w:after="40"/>
            </w:pPr>
            <w:r>
              <w:rPr>
                <w:sz w:val="18"/>
              </w:rPr>
            </w:r>
            <w:r>
              <w:rPr>
                <w:b w:val="0"/>
                <w:i w:val="0"/>
                <w:sz w:val="18"/>
              </w:rPr>
              <w:t>Resistance or drug intolerance: streptomycin, aminosalicylic acid, cycloserine, rifabutin, macrolides, quinolones, clofazimine (leprosy), linezolid</w:t>
            </w:r>
          </w:p>
        </w:tc>
        <w:tc>
          <w:tcPr>
            <w:tcW w:type="dxa" w:w="1818"/>
          </w:tcPr>
          <w:p>
            <w:pPr>
              <w:spacing w:after="40"/>
            </w:pPr>
            <w:r>
              <w:rPr>
                <w:sz w:val="18"/>
              </w:rPr>
            </w:r>
            <w:r>
              <w:rPr>
                <w:b/>
                <w:i w:val="0"/>
                <w:sz w:val="18"/>
              </w:rPr>
              <w:t>Streptomycin</w:t>
            </w:r>
            <w:r>
              <w:rPr>
                <w:b w:val="0"/>
                <w:i w:val="0"/>
                <w:sz w:val="18"/>
              </w:rPr>
              <w:t xml:space="preserve"> auditory and vestibular; </w:t>
            </w:r>
            <w:r>
              <w:rPr>
                <w:b/>
                <w:i w:val="0"/>
                <w:sz w:val="18"/>
              </w:rPr>
              <w:t>aminosalicylic acid</w:t>
            </w:r>
            <w:r>
              <w:rPr>
                <w:b w:val="0"/>
                <w:i w:val="0"/>
                <w:sz w:val="18"/>
              </w:rPr>
              <w:t xml:space="preserve"> gastrointestinal; </w:t>
            </w:r>
            <w:r>
              <w:rPr>
                <w:b/>
                <w:i w:val="0"/>
                <w:sz w:val="18"/>
              </w:rPr>
              <w:t>cycloserine</w:t>
            </w:r>
            <w:r>
              <w:rPr>
                <w:b w:val="0"/>
                <w:i w:val="0"/>
                <w:sz w:val="18"/>
              </w:rPr>
              <w:t xml:space="preserve"> central nervous system (psychosis, seizures)</w:t>
            </w:r>
          </w:p>
        </w:tc>
        <w:tc>
          <w:tcPr>
            <w:tcW w:type="dxa" w:w="1818"/>
          </w:tcPr>
          <w:p>
            <w:pPr>
              <w:spacing w:after="40"/>
            </w:pPr>
            <w:r>
              <w:rPr>
                <w:sz w:val="18"/>
              </w:rPr>
            </w:r>
            <w:r>
              <w:rPr>
                <w:b w:val="0"/>
                <w:i w:val="0"/>
                <w:sz w:val="18"/>
              </w:rPr>
              <w:t>Hearing and balance; stomach upset; mood and seizures</w:t>
            </w:r>
          </w:p>
        </w:tc>
        <w:tc>
          <w:tcPr>
            <w:tcW w:type="dxa" w:w="1818"/>
          </w:tcPr>
          <w:p>
            <w:pPr>
              <w:spacing w:after="40"/>
            </w:pPr>
            <w:r>
              <w:rPr>
                <w:sz w:val="18"/>
              </w:rPr>
            </w:r>
            <w:r>
              <w:rPr>
                <w:b w:val="0"/>
                <w:i w:val="0"/>
                <w:sz w:val="18"/>
              </w:rPr>
              <w:t>—</w:t>
            </w:r>
          </w:p>
        </w:tc>
        <w:tc>
          <w:tcPr>
            <w:tcW w:type="dxa" w:w="1818"/>
          </w:tcPr>
          <w:p>
            <w:pPr>
              <w:spacing w:after="40"/>
            </w:pPr>
            <w:r>
              <w:rPr>
                <w:sz w:val="18"/>
              </w:rPr>
            </w:r>
            <w:r>
              <w:rPr>
                <w:b w:val="0"/>
                <w:i w:val="0"/>
                <w:sz w:val="18"/>
              </w:rPr>
              <w:t>L11</w:t>
            </w:r>
            <w:r>
              <w:rPr>
                <w:sz w:val="18"/>
              </w:rPr>
              <w:br/>
            </w:r>
            <w:r>
              <w:rPr>
                <w:b w:val="0"/>
                <w:i w:val="0"/>
                <w:sz w:val="18"/>
              </w:rPr>
              <w:t>slide 46</w:t>
            </w:r>
          </w:p>
        </w:tc>
      </w:tr>
    </w:tbl>
    <w:p>
      <w:pPr>
        <w:spacing w:after="80"/>
      </w:pPr>
    </w:p>
    <w:p>
      <w:pPr>
        <w:spacing w:after="120"/>
      </w:pPr>
      <w:r>
        <w:rPr>
          <w:b w:val="0"/>
          <w:i w:val="0"/>
        </w:rPr>
        <w:t xml:space="preserve"> Every row is checked against the slide it cites by </w:t>
      </w:r>
      <w:r>
        <w:rPr>
          <w:rFonts w:ascii="Consolas" w:hAnsi="Consolas"/>
          <w:b w:val="0"/>
          <w:i w:val="0"/>
          <w:sz w:val="18"/>
        </w:rPr>
        <w:t>tools/check_pharm_e3.py</w:t>
      </w:r>
      <w:r>
        <w:rPr>
          <w:b w:val="0"/>
          <w:i w:val="0"/>
        </w:rPr>
        <w:t xml:space="preserve"> before this page is written. </w:t>
      </w:r>
    </w:p>
    <w:sectPr w:rsidR="00FC693F" w:rsidRPr="0006063C" w:rsidSect="00034616">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