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memorised.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colonising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leucocidin, which lyses neutrophils, monocytes and macrophages</w:t>
            </w:r>
          </w:p>
        </w:tc>
      </w:tr>
      <w:tr>
        <w:tc>
          <w:tcPr>
            <w:tcW w:type="dxa" w:w="3408"/>
          </w:tcPr>
          <w:p>
            <w:pPr>
              <w:spacing w:after="40"/>
            </w:pPr>
            <w:r>
              <w:rPr>
                <w:sz w:val="18"/>
              </w:rPr>
            </w:r>
            <w:r>
              <w:rPr>
                <w:b w:val="0"/>
                <w:i w:val="0"/>
                <w:sz w:val="18"/>
              </w:rPr>
              <w:t>Molecular signalling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behaviour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haemoglobin,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haemolysis);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sterilisation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centre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sterilisation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mould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mould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favourable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millilitre,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synthesise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colonise urinary catheters, ventilators, prosthetic joints and cardiac implants, and host tissues such as chronic wounds and the lungs of cystic fibrosis patients — promoting persistent infection.</w:t>
      </w:r>
    </w:p>
    <w:p>
      <w:pPr>
        <w:spacing w:after="120"/>
      </w:pPr>
      <w:r>
        <w:rPr>
          <w:b/>
          <w:i w:val="0"/>
        </w:rPr>
        <w:t>Behaviours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leukaemia,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Hyperkalaemia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Oesophageal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anaemia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defences,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harbour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faecal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defences — influenza and rabies viruses, the plague bacterium, the malarial protozoan. </w:t>
            </w:r>
            <w:r>
              <w:rPr>
                <w:b/>
                <w:i w:val="0"/>
                <w:sz w:val="18"/>
              </w:rPr>
              <w:t>Opportunistic pathogens</w:t>
            </w:r>
            <w:r>
              <w:rPr>
                <w:b w:val="0"/>
                <w:i w:val="0"/>
                <w:sz w:val="18"/>
              </w:rPr>
              <w:t xml:space="preserve"> cause disease when defences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Gonorrhoea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defences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faeces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harbours</w:t>
            </w:r>
            <w:r>
              <w:rPr>
                <w:b w:val="0"/>
                <w:i w:val="0"/>
              </w:rPr>
              <w:t xml:space="preserve">; the vector </w:t>
            </w:r>
            <w:r>
              <w:rPr>
                <w:b w:val="0"/>
                <w:i/>
              </w:rPr>
              <w:t>delivers</w:t>
            </w:r>
            <w:r>
              <w:rPr>
                <w:b w:val="0"/>
                <w:i w:val="0"/>
              </w:rPr>
              <w:t>.</w:t>
            </w:r>
          </w:p>
        </w:tc>
      </w:tr>
    </w:tbl>
    <w:p>
      <w:pPr>
        <w:spacing w:after="80"/>
      </w:pP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paediatric, geriatric and HIV patients, and those with open wounds, burns or recent surgery</w:t>
      </w:r>
      <w:r>
        <w:rPr>
          <w:b w:val="0"/>
          <w:i w:val="0"/>
        </w:rPr>
        <w:t>.</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diarrhoeal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paediatric wards.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sanitiser dispensers, humidifiers, nebulisers,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millilitre</w:t>
            </w:r>
            <w:r>
              <w:rPr>
                <w:b w:val="0"/>
                <w:i w:val="0"/>
              </w:rPr>
              <w:t>, and serial dilution works for clinical specimens, urine, faeces, food, water and milk alike.</w:t>
            </w:r>
          </w:p>
        </w:tc>
      </w:tr>
    </w:tbl>
    <w:p>
      <w:pPr>
        <w:spacing w:after="80"/>
      </w:pP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standardise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specialised textiles, micro-patterned hydrophobic surfaces.</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