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spacing w:after="120"/>
      </w:pPr>
      <w:r>
        <w:rPr>
          <w:b w:val="0"/>
          <w:i w:val="0"/>
        </w:rPr>
        <w:t>Also tested</w:t>
      </w:r>
    </w:p>
    <w:p>
      <w:pPr>
        <w:pStyle w:val="ListBullet"/>
        <w:spacing w:after="40"/>
      </w:pPr>
      <w:r>
        <w:rPr>
          <w:b/>
          <w:i w:val="0"/>
          <w:sz w:val="20"/>
        </w:rPr>
        <w:t>Relative refractory period.</w:t>
      </w:r>
      <w:r>
        <w:rPr>
          <w:b w:val="0"/>
          <w:i w:val="0"/>
          <w:sz w:val="20"/>
        </w:rPr>
        <w:t xml:space="preserve"> Unlike the absolute period, a sufficiently strong stimulus can produce a response. The cell is excitable but not fully recovered, so a stimulus arriving then can start something abnormal.</w:t>
      </w:r>
    </w:p>
    <w:p>
      <w:pPr>
        <w:pStyle w:val="ListBullet"/>
        <w:spacing w:after="40"/>
      </w:pPr>
      <w:r>
        <w:rPr>
          <w:b/>
          <w:i w:val="0"/>
          <w:sz w:val="20"/>
        </w:rPr>
        <w:t>Right bundle branch.</w:t>
      </w:r>
      <w:r>
        <w:rPr>
          <w:b w:val="0"/>
          <w:i w:val="0"/>
          <w:sz w:val="20"/>
        </w:rPr>
        <w:t xml:space="preserve"> It is much longer than the left, despite the left ventricle being the larger chamber; the anatomy does not follow chamber size.</w:t>
      </w:r>
    </w:p>
    <w:p>
      <w:pPr>
        <w:pStyle w:val="ListBullet"/>
        <w:spacing w:after="40"/>
      </w:pPr>
      <w:r>
        <w:rPr>
          <w:b/>
          <w:i w:val="0"/>
          <w:sz w:val="20"/>
        </w:rPr>
        <w:t>Phase 3, rapid repolarization.</w:t>
      </w:r>
      <w:r>
        <w:rPr>
          <w:b w:val="0"/>
          <w:i w:val="0"/>
          <w:sz w:val="20"/>
        </w:rPr>
        <w:t xml:space="preserve"> Calcium channels close while potassium channels remain open, returning the cell to minus ninety millivolts; the inward current stops and the outward one continues unopposed.</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spacing w:after="120"/>
      </w:pPr>
      <w:r>
        <w:rPr>
          <w:b w:val="0"/>
          <w:i w:val="0"/>
        </w:rPr>
        <w:t>Also tested</w:t>
      </w:r>
    </w:p>
    <w:p>
      <w:pPr>
        <w:pStyle w:val="ListBullet"/>
        <w:spacing w:after="40"/>
      </w:pPr>
      <w:r>
        <w:rPr>
          <w:b/>
          <w:i w:val="0"/>
          <w:sz w:val="20"/>
        </w:rPr>
        <w:t>Contiguous leads.</w:t>
      </w:r>
      <w:r>
        <w:rPr>
          <w:b w:val="0"/>
          <w:i w:val="0"/>
          <w:sz w:val="20"/>
        </w:rPr>
        <w:t xml:space="preserve"> These are two or more leads looking at the same area of the heart, so a change in a contiguous group means more than the same change in one isolated lead.</w:t>
      </w:r>
    </w:p>
    <w:p>
      <w:pPr>
        <w:pStyle w:val="ListBullet"/>
        <w:spacing w:after="40"/>
      </w:pPr>
      <w:r>
        <w:rPr>
          <w:b/>
          <w:i w:val="0"/>
          <w:sz w:val="20"/>
        </w:rPr>
        <w:t>Hexaxial reference system.</w:t>
      </w:r>
      <w:r>
        <w:rPr>
          <w:b w:val="0"/>
          <w:i w:val="0"/>
          <w:sz w:val="20"/>
        </w:rPr>
        <w:t xml:space="preserve"> It is used to determine the normal axis of the heart; six views in one plane make an axis calculable.</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spacing w:after="120"/>
      </w:pPr>
      <w:r>
        <w:rPr>
          <w:b w:val="0"/>
          <w:i w:val="0"/>
        </w:rPr>
        <w:t>Also tested</w:t>
      </w:r>
    </w:p>
    <w:p>
      <w:pPr>
        <w:pStyle w:val="ListBullet"/>
        <w:spacing w:after="40"/>
      </w:pPr>
      <w:r>
        <w:rPr>
          <w:b/>
          <w:i w:val="0"/>
          <w:sz w:val="20"/>
        </w:rPr>
        <w:t>Six-second rate method.</w:t>
      </w:r>
      <w:r>
        <w:rPr>
          <w:b w:val="0"/>
          <w:i w:val="0"/>
          <w:sz w:val="20"/>
        </w:rPr>
        <w:t xml:space="preserve"> Multiply the QRS count in a six-second strip by ten, since six seconds is a tenth of a minute; eight complexes give a ventricular rate of eighty beats per minute.</w:t>
      </w:r>
    </w:p>
    <w:p>
      <w:pPr>
        <w:pStyle w:val="ListBullet"/>
        <w:spacing w:after="40"/>
      </w:pPr>
      <w:r>
        <w:rPr>
          <w:b/>
          <w:i w:val="0"/>
          <w:sz w:val="20"/>
        </w:rPr>
        <w:t>Regularity of the rhythm.</w:t>
      </w:r>
      <w:r>
        <w:rPr>
          <w:b w:val="0"/>
          <w:i w:val="0"/>
          <w:sz w:val="20"/>
        </w:rPr>
        <w:t xml:space="preserve"> When not obvious by eye, determine it by comparing consecutive R to R intervals with calipers, or with a marked sheet of paper.</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spacing w:after="120"/>
      </w:pPr>
      <w:r>
        <w:rPr>
          <w:b w:val="0"/>
          <w:i w:val="0"/>
        </w:rPr>
        <w:t>Also tested</w:t>
      </w:r>
    </w:p>
    <w:p>
      <w:pPr>
        <w:pStyle w:val="ListBullet"/>
        <w:spacing w:after="40"/>
      </w:pPr>
      <w:r>
        <w:rPr>
          <w:b/>
          <w:i w:val="0"/>
          <w:sz w:val="20"/>
        </w:rPr>
        <w:t>Corrected QT above 500 milliseconds.</w:t>
      </w:r>
      <w:r>
        <w:rPr>
          <w:b w:val="0"/>
          <w:i w:val="0"/>
          <w:sz w:val="20"/>
        </w:rPr>
        <w:t xml:space="preserve"> A corrected QT beyond five hundred milliseconds is high risk prolongation, above the borderline range that begins in the low four hundreds.</w:t>
      </w:r>
    </w:p>
    <w:p>
      <w:pPr>
        <w:pStyle w:val="ListBullet"/>
        <w:spacing w:after="40"/>
      </w:pPr>
      <w:r>
        <w:rPr>
          <w:b/>
          <w:i w:val="0"/>
          <w:sz w:val="20"/>
        </w:rPr>
        <w:t>Corrected QT.</w:t>
      </w:r>
      <w:r>
        <w:rPr>
          <w:b w:val="0"/>
          <w:i w:val="0"/>
          <w:sz w:val="20"/>
        </w:rPr>
        <w:t xml:space="preserve"> It is used rather than the raw QT interval because the QT interval changes with heart rate; without correcting, the same heart would show different values at different rates.</w:t>
      </w:r>
    </w:p>
    <w:p>
      <w:pPr>
        <w:pStyle w:val="ListBullet"/>
        <w:spacing w:after="40"/>
      </w:pPr>
      <w:r>
        <w:rPr>
          <w:b/>
          <w:i w:val="0"/>
          <w:sz w:val="20"/>
        </w:rPr>
        <w:t>Q wave.</w:t>
      </w:r>
      <w:r>
        <w:rPr>
          <w:b w:val="0"/>
          <w:i w:val="0"/>
          <w:sz w:val="20"/>
        </w:rPr>
        <w:t xml:space="preserve"> It represents depolarization of the interventricular septum, which travels away from lead II and so gives a downward deflection. It is not always visible.</w:t>
      </w:r>
    </w:p>
    <w:p>
      <w:pPr>
        <w:pStyle w:val="ListBullet"/>
        <w:spacing w:after="40"/>
      </w:pPr>
      <w:r>
        <w:rPr>
          <w:b/>
          <w:i w:val="0"/>
          <w:sz w:val="20"/>
        </w:rPr>
        <w:t>ST segment.</w:t>
      </w:r>
      <w:r>
        <w:rPr>
          <w:b w:val="0"/>
          <w:i w:val="0"/>
          <w:sz w:val="20"/>
        </w:rPr>
        <w:t xml:space="preserve"> It falls between ventricular depolarization and repolarization, when the ventricles hold their contraction to allow emptying; it is the part of the beat that does the ejecting.</w:t>
      </w:r>
    </w:p>
    <w:p>
      <w:pPr>
        <w:pStyle w:val="ListBullet"/>
        <w:spacing w:after="40"/>
      </w:pPr>
      <w:r>
        <w:rPr>
          <w:b/>
          <w:i w:val="0"/>
          <w:sz w:val="20"/>
        </w:rPr>
        <w:t>S wave.</w:t>
      </w:r>
      <w:r>
        <w:rPr>
          <w:b w:val="0"/>
          <w:i w:val="0"/>
          <w:sz w:val="20"/>
        </w:rPr>
        <w:t xml:space="preserve"> A deflection must extend below the baseline to count as a true S wave; if it does not, it is called an S wave pattern instead.</w:t>
      </w:r>
    </w:p>
    <w:p>
      <w:pPr>
        <w:pStyle w:val="ListBullet"/>
        <w:spacing w:after="40"/>
      </w:pPr>
      <w:r>
        <w:rPr>
          <w:b/>
          <w:i w:val="0"/>
          <w:sz w:val="20"/>
        </w:rPr>
        <w:t>Prominent U waves.</w:t>
      </w:r>
      <w:r>
        <w:rPr>
          <w:b w:val="0"/>
          <w:i w:val="0"/>
          <w:sz w:val="20"/>
        </w:rPr>
        <w:t xml:space="preserve"> They are associated with hypokalemia, hypercalcemia, prolonged QT and the period after myocardial infarction; the electrolyte associations are the practically useful ones.</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spacing w:after="120"/>
      </w:pPr>
      <w:r>
        <w:rPr>
          <w:b w:val="0"/>
          <w:i w:val="0"/>
        </w:rPr>
        <w:t>Also tested</w:t>
      </w:r>
    </w:p>
    <w:p>
      <w:pPr>
        <w:pStyle w:val="ListBullet"/>
        <w:spacing w:after="40"/>
      </w:pPr>
      <w:r>
        <w:rPr>
          <w:b/>
          <w:i w:val="0"/>
          <w:sz w:val="20"/>
        </w:rPr>
        <w:t>Chest radiography in cardiac evaluation.</w:t>
      </w:r>
      <w:r>
        <w:rPr>
          <w:b w:val="0"/>
          <w:i w:val="0"/>
          <w:sz w:val="20"/>
        </w:rPr>
        <w:t xml:space="preserve"> It is not the primary modality, but it gives useful clues when obtained; it is frequently the study already in hand, so reading it well matters.</w:t>
      </w: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spacing w:after="120"/>
      </w:pPr>
      <w:r>
        <w:rPr>
          <w:b w:val="0"/>
          <w:i w:val="0"/>
        </w:rPr>
        <w:t>Also tested</w:t>
      </w:r>
    </w:p>
    <w:p>
      <w:pPr>
        <w:pStyle w:val="ListBullet"/>
        <w:spacing w:after="40"/>
      </w:pPr>
      <w:r>
        <w:rPr>
          <w:b/>
          <w:i w:val="0"/>
          <w:sz w:val="20"/>
        </w:rPr>
        <w:t>Vascular ultrasound appearance.</w:t>
      </w:r>
      <w:r>
        <w:rPr>
          <w:b w:val="0"/>
          <w:i w:val="0"/>
          <w:sz w:val="20"/>
        </w:rPr>
        <w:t xml:space="preserve"> The denser the structure, the lighter it appears, so air is black and bone is near white. Superficial structures sit nearer the top of the screen.</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spacing w:after="120"/>
      </w:pPr>
      <w:r>
        <w:rPr>
          <w:b w:val="0"/>
          <w:i w:val="0"/>
        </w:rPr>
        <w:t>Also tested</w:t>
      </w:r>
    </w:p>
    <w:p>
      <w:pPr>
        <w:pStyle w:val="ListBullet"/>
        <w:spacing w:after="40"/>
      </w:pPr>
      <w:r>
        <w:rPr>
          <w:b/>
          <w:i w:val="0"/>
          <w:sz w:val="20"/>
        </w:rPr>
        <w:t>Transthoracic echocardiography.</w:t>
      </w:r>
      <w:r>
        <w:rPr>
          <w:b w:val="0"/>
          <w:i w:val="0"/>
          <w:sz w:val="20"/>
        </w:rPr>
        <w:t xml:space="preserve"> It is the most common echo procedure because it can be performed at the bedside and is noninvasive. Availability, not image quality, makes it the default, and the trade is detail at the back of the heart.</w:t>
      </w:r>
    </w:p>
    <w:p>
      <w:pPr>
        <w:pStyle w:val="ListBullet"/>
        <w:spacing w:after="40"/>
      </w:pPr>
      <w:r>
        <w:rPr>
          <w:b/>
          <w:i w:val="0"/>
          <w:sz w:val="20"/>
        </w:rPr>
        <w:t>Transesophageal echocardiography.</w:t>
      </w:r>
      <w:r>
        <w:rPr>
          <w:b w:val="0"/>
          <w:i w:val="0"/>
          <w:sz w:val="20"/>
        </w:rPr>
        <w:t xml:space="preserve"> Unlike the transthoracic study, it requires throat anesthesia, sedation and monitoring. It is a procedure rather than a scan, so it carries a contraindication list.</w:t>
      </w:r>
    </w:p>
    <w:p>
      <w:pPr>
        <w:pStyle w:val="ListBullet"/>
        <w:spacing w:after="40"/>
      </w:pPr>
      <w:r>
        <w:rPr>
          <w:b/>
          <w:i w:val="0"/>
          <w:sz w:val="20"/>
        </w:rPr>
        <w:t>Contraindications to a transesophageal study besides esophageal disease.</w:t>
      </w:r>
      <w:r>
        <w:rPr>
          <w:b w:val="0"/>
          <w:i w:val="0"/>
          <w:sz w:val="20"/>
        </w:rPr>
        <w:t xml:space="preserve"> An uncooperative patient or altered mental status, restricted neck movement (cervical spine arthritis with reduced range of motion), and airway risk (obstructive sleep apnea or other risk of airway compromise).</w:t>
      </w:r>
    </w:p>
    <w:p>
      <w:pPr>
        <w:pStyle w:val="ListBullet"/>
        <w:spacing w:after="40"/>
      </w:pPr>
      <w:r>
        <w:rPr>
          <w:b/>
          <w:i w:val="0"/>
          <w:sz w:val="20"/>
        </w:rPr>
        <w:t>Transesophageal study in cerebral ischemia.</w:t>
      </w:r>
      <w:r>
        <w:rPr>
          <w:b w:val="0"/>
          <w:i w:val="0"/>
          <w:sz w:val="20"/>
        </w:rPr>
        <w:t xml:space="preserve"> It can find thrombus in the left atrial appendage, looking for the source rather than the consequence; the appendage is the site the transthoracic study sees worst.</w:t>
      </w: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spacing w:after="120"/>
      </w:pPr>
      <w:r>
        <w:rPr>
          <w:b w:val="0"/>
          <w:i w:val="0"/>
        </w:rPr>
        <w:t>Also tested</w:t>
      </w:r>
    </w:p>
    <w:p>
      <w:pPr>
        <w:pStyle w:val="ListBullet"/>
        <w:spacing w:after="40"/>
      </w:pPr>
      <w:r>
        <w:rPr>
          <w:b/>
          <w:i w:val="0"/>
          <w:sz w:val="20"/>
        </w:rPr>
        <w:t>Echocardiographic stress test.</w:t>
      </w:r>
      <w:r>
        <w:rPr>
          <w:b w:val="0"/>
          <w:i w:val="0"/>
          <w:sz w:val="20"/>
        </w:rPr>
        <w:t xml:space="preserve"> It is the appropriate initial choice for a patient who can exercise but whose resting tracing is abnormal, since the electrocardiogram cannot be read for ischemia if already abnormal and imaging must carry the answer.</w:t>
      </w:r>
    </w:p>
    <w:p>
      <w:pPr>
        <w:pStyle w:val="ListBullet"/>
        <w:spacing w:after="40"/>
      </w:pPr>
      <w:r>
        <w:rPr>
          <w:b/>
          <w:i w:val="0"/>
          <w:sz w:val="20"/>
        </w:rPr>
        <w:t>Post-exercise echocardiogram.</w:t>
      </w:r>
      <w:r>
        <w:rPr>
          <w:b w:val="0"/>
          <w:i w:val="0"/>
          <w:sz w:val="20"/>
        </w:rPr>
        <w:t xml:space="preserve"> It looks for abnormal left ventricular wall motion induced by exercise. The finding is transient and resolves as the heart recovers, so the patient dismounts quickly and is imaged promptly.</w:t>
      </w: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spacing w:after="120"/>
      </w:pPr>
      <w:r>
        <w:rPr>
          <w:b w:val="0"/>
          <w:i w:val="0"/>
        </w:rPr>
        <w:t>Also tested</w:t>
      </w:r>
    </w:p>
    <w:p>
      <w:pPr>
        <w:pStyle w:val="ListBullet"/>
        <w:spacing w:after="40"/>
      </w:pPr>
      <w:r>
        <w:rPr>
          <w:b/>
          <w:i w:val="0"/>
          <w:sz w:val="20"/>
        </w:rPr>
        <w:t>Nuclear stress pattern.</w:t>
      </w:r>
      <w:r>
        <w:rPr>
          <w:b w:val="0"/>
          <w:i w:val="0"/>
          <w:sz w:val="20"/>
        </w:rPr>
        <w:t xml:space="preserve"> Tracer uptake that is normal at rest but reduced after stress indicates inducible ischemia from a coronary stenosis: the tissue is alive but cannot increase its supply when demand rises.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spacing w:after="120"/>
      </w:pPr>
      <w:r>
        <w:rPr>
          <w:b w:val="0"/>
          <w:i w:val="0"/>
        </w:rPr>
        <w:t>Also tested</w:t>
      </w:r>
    </w:p>
    <w:p>
      <w:pPr>
        <w:pStyle w:val="ListBullet"/>
        <w:spacing w:after="40"/>
      </w:pPr>
      <w:r>
        <w:rPr>
          <w:b/>
          <w:i w:val="0"/>
          <w:sz w:val="20"/>
        </w:rPr>
        <w:t>Cardiac computed tomography preparation.</w:t>
      </w:r>
      <w:r>
        <w:rPr>
          <w:b w:val="0"/>
          <w:i w:val="0"/>
          <w:sz w:val="20"/>
        </w:rPr>
        <w:t xml:space="preserve"> Cardiac medications are given to control heart rate, since the moving heart degrades the images. The study is also synchronized to an electrocardiogram so the heart can be examined at chosen points in the cycle.</w:t>
      </w:r>
    </w:p>
    <w:p>
      <w:pPr>
        <w:pStyle w:val="ListBullet"/>
        <w:spacing w:after="40"/>
      </w:pPr>
      <w:r>
        <w:rPr>
          <w:b/>
          <w:i w:val="0"/>
          <w:sz w:val="20"/>
        </w:rPr>
        <w:t>Blooming artifact.</w:t>
      </w:r>
      <w:r>
        <w:rPr>
          <w:b w:val="0"/>
          <w:i w:val="0"/>
          <w:sz w:val="20"/>
        </w:rPr>
        <w:t xml:space="preserve"> Heavy calcification appears larger than it is on cardiac computed tomography, so a stenosis looks more severe; it exaggerates the very lesion the study was ordered to assess.</w:t>
      </w:r>
    </w:p>
    <w:p>
      <w:pPr>
        <w:pStyle w:val="ListBullet"/>
        <w:spacing w:after="40"/>
      </w:pPr>
      <w:r>
        <w:rPr>
          <w:b/>
          <w:i w:val="0"/>
          <w:sz w:val="20"/>
        </w:rPr>
        <w:t>Cardiac computed tomography indications.</w:t>
      </w:r>
      <w:r>
        <w:rPr>
          <w:b w:val="0"/>
          <w:i w:val="0"/>
          <w:sz w:val="20"/>
        </w:rPr>
        <w:t xml:space="preserve"> Pre-operative planning before cardiac surgery, particularly valvular and great vessel procedures, is an indication, alongside calcium deposits, coronary anatomical anomalies and congenital disease. It is usually done immediately before the angiographic study.</w:t>
      </w: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spacing w:after="120"/>
      </w:pPr>
      <w:r>
        <w:rPr>
          <w:b w:val="0"/>
          <w:i w:val="0"/>
        </w:rPr>
        <w:t>Also tested</w:t>
      </w:r>
    </w:p>
    <w:p>
      <w:pPr>
        <w:pStyle w:val="ListBullet"/>
        <w:spacing w:after="40"/>
      </w:pPr>
      <w:r>
        <w:rPr>
          <w:b/>
          <w:i w:val="0"/>
          <w:sz w:val="20"/>
        </w:rPr>
        <w:t>Catheter ablation.</w:t>
      </w:r>
      <w:r>
        <w:rPr>
          <w:b w:val="0"/>
          <w:i w:val="0"/>
          <w:sz w:val="20"/>
        </w:rPr>
        <w:t xml:space="preserve"> During electrophysiological testing it inactivates part of the heart by destroying that tissue, not merely silencing it, which makes the treatment definitive.</w:t>
      </w:r>
    </w:p>
    <w:p>
      <w:pPr>
        <w:pStyle w:val="ListBullet"/>
        <w:spacing w:after="40"/>
      </w:pPr>
      <w:r>
        <w:rPr>
          <w:b/>
          <w:i w:val="0"/>
          <w:sz w:val="20"/>
        </w:rPr>
        <w:t>Coronary angiography.</w:t>
      </w:r>
      <w:r>
        <w:rPr>
          <w:b w:val="0"/>
          <w:i w:val="0"/>
          <w:sz w:val="20"/>
        </w:rPr>
        <w:t xml:space="preserve"> It is performed under local anesthesia with intravenous sedation, with catheters guided by fluoroscopy and contrast injected into each coronary artery; pressures are measured as the catheter goes, giving hemodynamic information alongside the pictures.</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One exception she drew in the recording: the adult LDL-C goal is not a lab range, so know its two ends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21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slide 43’s Friedewald and non-HDL-C practice: </w:t>
                  </w:r>
                  <w:r>
                    <w:rPr>
                      <w:b w:val="0"/>
                      <w:i/>
                      <w:sz w:val="18"/>
                    </w:rPr>
                    <w:t>“there will be two things that you need to calculate … for our purposes, we’re gonna practice this.”</w:t>
                  </w:r>
                  <w:r>
                    <w:rPr>
                      <w:b w:val="0"/>
                      <w:i w:val="0"/>
                      <w:sz w:val="18"/>
                    </w:rPr>
                    <w:t xml:space="preserve"> Then </w:t>
                  </w:r>
                  <w:r>
                    <w:rPr>
                      <w:b w:val="0"/>
                      <w:i/>
                      <w:sz w:val="18"/>
                    </w:rPr>
                    <w:t>“You may use calculators,”</w:t>
                  </w:r>
                  <w:r>
                    <w:rPr>
                      <w:b w:val="0"/>
                      <w:i w:val="0"/>
                      <w:sz w:val="18"/>
                    </w:rPr>
                    <w:t xml:space="preserve"> and after the answers: </w:t>
                  </w:r>
                  <w:r>
                    <w:rPr>
                      <w:b w:val="0"/>
                      <w:i/>
                      <w:sz w:val="18"/>
                    </w:rPr>
                    <w:t>“So we had to do two calculations, and then we have to interpret.”</w:t>
                  </w:r>
                  <w:r>
                    <w:rPr>
                      <w:b w:val="0"/>
                      <w:i w:val="0"/>
                      <w:sz w:val="18"/>
                    </w:rPr>
                    <w:t xml:space="preserve"> The newer equations are </w:t>
                  </w:r>
                  <w:r>
                    <w:rPr>
                      <w:b w:val="0"/>
                      <w:i/>
                      <w:sz w:val="18"/>
                    </w:rPr>
                    <w:t>“more complicated. You can use a calculator for that.”</w:t>
                  </w:r>
                  <w:r>
                    <w:rPr>
                      <w:b w:val="0"/>
                      <w:i w:val="0"/>
                      <w:sz w:val="18"/>
                    </w:rPr>
                    <w:t xml:space="preserve"> [part 3, 6:03–9:48]</w:t>
                  </w:r>
                </w:p>
              </w:tc>
              <w:tc>
                <w:tcPr>
                  <w:tcW w:type="dxa" w:w="7272"/>
                </w:tcPr>
                <w:p>
                  <w:pPr>
                    <w:spacing w:after="40"/>
                  </w:pPr>
                  <w:r>
                    <w:rPr>
                      <w:sz w:val="18"/>
                    </w:rPr>
                  </w:r>
                  <w:r>
                    <w:rPr>
                      <w:b/>
                      <w:i w:val="0"/>
                      <w:sz w:val="18"/>
                    </w:rPr>
                    <w:t>These two calculations are examinable</w:t>
                  </w:r>
                  <w:r>
                    <w:rPr>
                      <w:b w:val="0"/>
                      <w:i w:val="0"/>
                      <w:sz w:val="18"/>
                    </w:rPr>
                    <w:t>: LDL-C = total − HDL-C − triglycerides ÷ 5, and non-HDL-C = total − HDL-C, then read each against the patient’s risk tier. Martin/Hopkins and Sampson are calculator-only. Unlike filtration rate and corrected sodium, which she ruled out in Lecture 5.</w:t>
                  </w:r>
                </w:p>
              </w:tc>
            </w:tr>
            <w:tr>
              <w:tc>
                <w:tcPr>
                  <w:tcW w:type="dxa" w:w="7272"/>
                </w:tcPr>
                <w:p>
                  <w:pPr>
                    <w:spacing w:after="40"/>
                  </w:pPr>
                  <w:r>
                    <w:rPr>
                      <w:sz w:val="18"/>
                    </w:rPr>
                  </w:r>
                  <w:r>
                    <w:rPr>
                      <w:b w:val="0"/>
                      <w:i w:val="0"/>
                      <w:sz w:val="18"/>
                    </w:rPr>
                    <w:t xml:space="preserve">Asked whether a normal would always be given: there is no one normal, </w:t>
                  </w:r>
                  <w:r>
                    <w:rPr>
                      <w:b w:val="0"/>
                      <w:i/>
                      <w:sz w:val="18"/>
                    </w:rPr>
                    <w:t>“so for this, you want to kind of have an idea of the difference between somebody who’s low risk and … high risk. So for LDL, if they’re low risk, less than 100 is our goal. If they’re high risk, less than 55.”</w:t>
                  </w:r>
                  <w:r>
                    <w:rPr>
                      <w:b w:val="0"/>
                      <w:i w:val="0"/>
                      <w:sz w:val="18"/>
                    </w:rPr>
                    <w:t xml:space="preserve"> [part 3, 10:36–11:04]</w:t>
                  </w:r>
                </w:p>
              </w:tc>
              <w:tc>
                <w:tcPr>
                  <w:tcW w:type="dxa" w:w="7272"/>
                </w:tcPr>
                <w:p>
                  <w:pPr>
                    <w:spacing w:after="40"/>
                  </w:pPr>
                  <w:r>
                    <w:rPr>
                      <w:sz w:val="18"/>
                    </w:rPr>
                  </w:r>
                  <w:r>
                    <w:rPr>
                      <w:b w:val="0"/>
                      <w:i w:val="0"/>
                      <w:sz w:val="18"/>
                    </w:rPr>
                    <w:t xml:space="preserve">Know the </w:t>
                  </w:r>
                  <w:r>
                    <w:rPr>
                      <w:b/>
                      <w:i w:val="0"/>
                      <w:sz w:val="18"/>
                    </w:rPr>
                    <w:t>LDL-C goal at each end</w:t>
                  </w:r>
                  <w:r>
                    <w:rPr>
                      <w:b w:val="0"/>
                      <w:i w:val="0"/>
                      <w:sz w:val="18"/>
                    </w:rPr>
                    <w:t>: under 100 mg/dL for an average-risk adult, under 55 at the highest risk. The deck’s middle tier is under 70 (9.5). “Golf, not bowling”: the higher the risk, the lower the target.</w:t>
                  </w:r>
                </w:p>
              </w:tc>
            </w:tr>
            <w:tr>
              <w:tc>
                <w:tcPr>
                  <w:tcW w:type="dxa" w:w="7272"/>
                </w:tcPr>
                <w:p>
                  <w:pPr>
                    <w:spacing w:after="40"/>
                  </w:pPr>
                  <w:r>
                    <w:rPr>
                      <w:sz w:val="18"/>
                    </w:rPr>
                  </w:r>
                  <w:r>
                    <w:rPr>
                      <w:b w:val="0"/>
                      <w:i/>
                      <w:sz w:val="18"/>
                    </w:rPr>
                    <w:t>“LDL is the big one that we care about … for risk stratification.”</w:t>
                  </w:r>
                  <w:r>
                    <w:rPr>
                      <w:b w:val="0"/>
                      <w:i w:val="0"/>
                      <w:sz w:val="18"/>
                    </w:rPr>
                    <w:t xml:space="preserve"> [part 3, 12:48] And for lipoprotein(a), which </w:t>
                  </w:r>
                  <w:r>
                    <w:rPr>
                      <w:b w:val="0"/>
                      <w:i/>
                      <w:sz w:val="18"/>
                    </w:rPr>
                    <w:t>“is bolded for a reason”</w:t>
                  </w:r>
                  <w:r>
                    <w:rPr>
                      <w:b w:val="0"/>
                      <w:i w:val="0"/>
                      <w:sz w:val="18"/>
                    </w:rPr>
                    <w:t xml:space="preserve"> [part 2, 1:24]: </w:t>
                  </w:r>
                  <w:r>
                    <w:rPr>
                      <w:b w:val="0"/>
                      <w:i/>
                      <w:sz w:val="18"/>
                    </w:rPr>
                    <w:t>“You can’t fix this with diet”</w:t>
                  </w:r>
                  <w:r>
                    <w:rPr>
                      <w:b w:val="0"/>
                      <w:i w:val="0"/>
                      <w:sz w:val="18"/>
                    </w:rPr>
                    <w:t xml:space="preserve">; once in a lifetime; if it is high, </w:t>
                  </w:r>
                  <w:r>
                    <w:rPr>
                      <w:b w:val="0"/>
                      <w:i/>
                      <w:sz w:val="18"/>
                    </w:rPr>
                    <w:t>“all of their first-degree relatives should be screened”</w:t>
                  </w:r>
                  <w:r>
                    <w:rPr>
                      <w:b w:val="0"/>
                      <w:i w:val="0"/>
                      <w:sz w:val="18"/>
                    </w:rPr>
                    <w:t xml:space="preserve"> — </w:t>
                  </w:r>
                  <w:r>
                    <w:rPr>
                      <w:b w:val="0"/>
                      <w:i/>
                      <w:sz w:val="18"/>
                    </w:rPr>
                    <w:t>“cascading screening.”</w:t>
                  </w:r>
                  <w:r>
                    <w:rPr>
                      <w:b w:val="0"/>
                      <w:i w:val="0"/>
                      <w:sz w:val="18"/>
                    </w:rPr>
                    <w:t xml:space="preserve"> [part 2, 2:23–5:15]</w:t>
                  </w:r>
                </w:p>
              </w:tc>
              <w:tc>
                <w:tcPr>
                  <w:tcW w:type="dxa" w:w="7272"/>
                </w:tcPr>
                <w:p>
                  <w:pPr>
                    <w:spacing w:after="40"/>
                  </w:pPr>
                  <w:r>
                    <w:rPr>
                      <w:sz w:val="18"/>
                    </w:rPr>
                  </w:r>
                  <w:r>
                    <w:rPr>
                      <w:b w:val="0"/>
                      <w:i w:val="0"/>
                      <w:sz w:val="18"/>
                    </w:rPr>
                    <w:t>Lipoprotein(a): genetic, measured once, cascade-test first-degree relatives, lifestyle does not lower it (9.6).</w:t>
                  </w:r>
                </w:p>
              </w:tc>
            </w:tr>
            <w:tr>
              <w:tc>
                <w:tcPr>
                  <w:tcW w:type="dxa" w:w="7272"/>
                </w:tcPr>
                <w:p>
                  <w:pPr>
                    <w:spacing w:after="40"/>
                  </w:pPr>
                  <w:r>
                    <w:rPr>
                      <w:sz w:val="18"/>
                    </w:rPr>
                  </w:r>
                  <w:r>
                    <w:rPr>
                      <w:b w:val="0"/>
                      <w:i/>
                      <w:sz w:val="18"/>
                    </w:rPr>
                    <w:t>“When you hear CRP, think inflammation, period.”</w:t>
                  </w:r>
                  <w:r>
                    <w:rPr>
                      <w:b w:val="0"/>
                      <w:i w:val="0"/>
                      <w:sz w:val="18"/>
                    </w:rPr>
                    <w:t xml:space="preserve"> [part 1, 0:40] </w:t>
                  </w:r>
                  <w:r>
                    <w:rPr>
                      <w:b w:val="0"/>
                      <w:i/>
                      <w:sz w:val="18"/>
                    </w:rPr>
                    <w:t>“When you hear BNP … think stretch and therefore volume.”</w:t>
                  </w:r>
                  <w:r>
                    <w:rPr>
                      <w:b w:val="0"/>
                      <w:i w:val="0"/>
                      <w:sz w:val="18"/>
                    </w:rPr>
                    <w:t xml:space="preserve"> [part 1, 2:07] </w:t>
                  </w:r>
                  <w:r>
                    <w:rPr>
                      <w:b w:val="0"/>
                      <w:i/>
                      <w:sz w:val="18"/>
                    </w:rPr>
                    <w:t>“Troponin is your friend. When you’re worried about any kind of injury, any kind of ischemia to the heart, troponin is what you want to be ordering.”</w:t>
                  </w:r>
                  <w:r>
                    <w:rPr>
                      <w:b w:val="0"/>
                      <w:i w:val="0"/>
                      <w:sz w:val="18"/>
                    </w:rPr>
                    <w:t xml:space="preserve"> [part 1, 7:50]</w:t>
                  </w:r>
                </w:p>
              </w:tc>
              <w:tc>
                <w:tcPr>
                  <w:tcW w:type="dxa" w:w="7272"/>
                </w:tcPr>
                <w:p>
                  <w:pPr>
                    <w:spacing w:after="40"/>
                  </w:pPr>
                  <w:r>
                    <w:rPr>
                      <w:sz w:val="18"/>
                    </w:rPr>
                  </w:r>
                  <w:r>
                    <w:rPr>
                      <w:b w:val="0"/>
                      <w:i w:val="0"/>
                      <w:sz w:val="18"/>
                    </w:rPr>
                    <w:t>The one-word frame for each marker: inflammation, stretch, injury.</w:t>
                  </w:r>
                </w:p>
              </w:tc>
            </w:tr>
            <w:tr>
              <w:tc>
                <w:tcPr>
                  <w:tcW w:type="dxa" w:w="7272"/>
                </w:tcPr>
                <w:p>
                  <w:pPr>
                    <w:spacing w:after="40"/>
                  </w:pPr>
                  <w:r>
                    <w:rPr>
                      <w:sz w:val="18"/>
                    </w:rPr>
                  </w:r>
                  <w:r>
                    <w:rPr>
                      <w:b w:val="0"/>
                      <w:i/>
                      <w:sz w:val="18"/>
                    </w:rPr>
                    <w:t>“If you have troponin, don’t even waste your time ordering a CK.”</w:t>
                  </w:r>
                  <w:r>
                    <w:rPr>
                      <w:b w:val="0"/>
                      <w:i w:val="0"/>
                      <w:sz w:val="18"/>
                    </w:rPr>
                    <w:t xml:space="preserve"> [part 1, 31:05] Creatine kinase-MB only if troponin is unavailable; </w:t>
                  </w:r>
                  <w:r>
                    <w:rPr>
                      <w:b w:val="0"/>
                      <w:i/>
                      <w:sz w:val="18"/>
                    </w:rPr>
                    <w:t>“you will absolutely order it”</w:t>
                  </w:r>
                  <w:r>
                    <w:rPr>
                      <w:b w:val="0"/>
                      <w:i w:val="0"/>
                      <w:sz w:val="18"/>
                    </w:rPr>
                    <w:t xml:space="preserve"> for rhabdomyolysis. [part 1, 15:58–16:26]</w:t>
                  </w:r>
                </w:p>
              </w:tc>
              <w:tc>
                <w:tcPr>
                  <w:tcW w:type="dxa" w:w="7272"/>
                </w:tcPr>
                <w:p>
                  <w:pPr>
                    <w:spacing w:after="40"/>
                  </w:pPr>
                  <w:r>
                    <w:rPr>
                      <w:sz w:val="18"/>
                    </w:rPr>
                  </w:r>
                  <w:r>
                    <w:rPr>
                      <w:b w:val="0"/>
                      <w:i w:val="0"/>
                      <w:sz w:val="18"/>
                    </w:rPr>
                    <w:t>Creatine kinase is a skeletal-muscle test (9.2).</w:t>
                  </w:r>
                </w:p>
              </w:tc>
            </w:tr>
            <w:tr>
              <w:tc>
                <w:tcPr>
                  <w:tcW w:type="dxa" w:w="7272"/>
                </w:tcPr>
                <w:p>
                  <w:pPr>
                    <w:spacing w:after="40"/>
                  </w:pPr>
                  <w:r>
                    <w:rPr>
                      <w:sz w:val="18"/>
                    </w:rPr>
                  </w:r>
                  <w:r>
                    <w:rPr>
                      <w:b w:val="0"/>
                      <w:i/>
                      <w:sz w:val="18"/>
                    </w:rPr>
                    <w:t>“Make sure you know what troponin you’re talking about when you’re reading your labs.”</w:t>
                  </w:r>
                  <w:r>
                    <w:rPr>
                      <w:b w:val="0"/>
                      <w:i w:val="0"/>
                      <w:sz w:val="18"/>
                    </w:rPr>
                    <w:t xml:space="preserve"> A conventional troponin I of 22 would be alarming; a high-sensitivity value of 22 is on a different scale. [part 1, 8:41–9:18]</w:t>
                  </w:r>
                </w:p>
              </w:tc>
              <w:tc>
                <w:tcPr>
                  <w:tcW w:type="dxa" w:w="7272"/>
                </w:tcPr>
                <w:p>
                  <w:pPr>
                    <w:spacing w:after="40"/>
                  </w:pPr>
                  <w:r>
                    <w:rPr>
                      <w:sz w:val="18"/>
                    </w:rPr>
                  </w:r>
                  <w:r>
                    <w:rPr>
                      <w:b w:val="0"/>
                      <w:i w:val="0"/>
                      <w:sz w:val="18"/>
                    </w:rPr>
                    <w:t xml:space="preserve">Read a troponin against </w:t>
                  </w:r>
                  <w:r>
                    <w:rPr>
                      <w:b w:val="0"/>
                      <w:i/>
                      <w:sz w:val="18"/>
                    </w:rPr>
                    <w:t>its own</w:t>
                  </w:r>
                  <w:r>
                    <w:rPr>
                      <w:b w:val="0"/>
                      <w:i w:val="0"/>
                      <w:sz w:val="18"/>
                    </w:rPr>
                    <w:t xml:space="preserve"> assay’s limit (slide 5 gives each).</w:t>
                  </w:r>
                </w:p>
              </w:tc>
            </w:tr>
            <w:tr>
              <w:tc>
                <w:tcPr>
                  <w:tcW w:type="dxa" w:w="7272"/>
                </w:tcPr>
                <w:p>
                  <w:pPr>
                    <w:spacing w:after="40"/>
                  </w:pPr>
                  <w:r>
                    <w:rPr>
                      <w:sz w:val="18"/>
                    </w:rPr>
                  </w:r>
                  <w:r>
                    <w:rPr>
                      <w:b w:val="0"/>
                      <w:i w:val="0"/>
                      <w:sz w:val="18"/>
                    </w:rPr>
                    <w:t xml:space="preserve">Type 1 versus type 2 infarction (slide 11): type 1 is an occluded vessel, </w:t>
                  </w:r>
                  <w:r>
                    <w:rPr>
                      <w:b w:val="0"/>
                      <w:i/>
                      <w:sz w:val="18"/>
                    </w:rPr>
                    <w:t>“take them to the cath lab”</w:t>
                  </w:r>
                  <w:r>
                    <w:rPr>
                      <w:b w:val="0"/>
                      <w:i w:val="0"/>
                      <w:sz w:val="18"/>
                    </w:rPr>
                    <w:t>; type 2 is global supply failure (sepsis, hypoxia, blood loss) with a much milder troponin rise, treated by treating the cause. [part 1, 12:39–15:50]</w:t>
                  </w:r>
                </w:p>
              </w:tc>
              <w:tc>
                <w:tcPr>
                  <w:tcW w:type="dxa" w:w="7272"/>
                </w:tcPr>
                <w:p>
                  <w:pPr>
                    <w:spacing w:after="40"/>
                  </w:pPr>
                  <w:r>
                    <w:rPr>
                      <w:sz w:val="18"/>
                    </w:rPr>
                  </w:r>
                  <w:r>
                    <w:rPr>
                      <w:b w:val="0"/>
                      <w:i w:val="0"/>
                      <w:sz w:val="18"/>
                    </w:rPr>
                    <w:t>A small troponin rise in a septic, hypoxic patient is expected; the height of the rise separates the two.</w:t>
                  </w:r>
                </w:p>
              </w:tc>
            </w:tr>
            <w:tr>
              <w:tc>
                <w:tcPr>
                  <w:tcW w:type="dxa" w:w="7272"/>
                </w:tcPr>
                <w:p>
                  <w:pPr>
                    <w:spacing w:after="40"/>
                  </w:pPr>
                  <w:r>
                    <w:rPr>
                      <w:sz w:val="18"/>
                    </w:rPr>
                  </w:r>
                  <w:r>
                    <w:rPr>
                      <w:b w:val="0"/>
                      <w:i w:val="0"/>
                      <w:sz w:val="18"/>
                    </w:rPr>
                    <w:t xml:space="preserve">High-sensitivity C-reactive protein is </w:t>
                  </w:r>
                  <w:r>
                    <w:rPr>
                      <w:b w:val="0"/>
                      <w:i/>
                      <w:sz w:val="18"/>
                    </w:rPr>
                    <w:t>“our risk stratifier … not part of your STEMI, acute coronary syndrome protocol. That’s an office visit type lab.”</w:t>
                  </w:r>
                  <w:r>
                    <w:rPr>
                      <w:b w:val="0"/>
                      <w:i w:val="0"/>
                      <w:sz w:val="18"/>
                    </w:rPr>
                    <w:t xml:space="preserve"> [part 1, 31:41–31:56] Above 50 mg/dL </w:t>
                  </w:r>
                  <w:r>
                    <w:rPr>
                      <w:b w:val="0"/>
                      <w:i/>
                      <w:sz w:val="18"/>
                    </w:rPr>
                    <w:t>“is unlikely to be like a chronic inflammatory process”</w:t>
                  </w:r>
                  <w:r>
                    <w:rPr>
                      <w:b w:val="0"/>
                      <w:i w:val="0"/>
                      <w:sz w:val="18"/>
                    </w:rPr>
                    <w:t xml:space="preserve"> — that patient is septic. [part 1, 24:41]</w:t>
                  </w:r>
                </w:p>
              </w:tc>
              <w:tc>
                <w:tcPr>
                  <w:tcW w:type="dxa" w:w="7272"/>
                </w:tcPr>
                <w:p>
                  <w:pPr>
                    <w:spacing w:after="40"/>
                  </w:pPr>
                  <w:r>
                    <w:rPr>
                      <w:sz w:val="18"/>
                    </w:rPr>
                  </w:r>
                  <w:r>
                    <w:rPr>
                      <w:b w:val="0"/>
                      <w:i w:val="0"/>
                      <w:sz w:val="18"/>
                    </w:rPr>
                    <w:t>Never the answer for acute chest pain; the answer for a well visit with a family history.</w:t>
                  </w:r>
                </w:p>
              </w:tc>
            </w:tr>
            <w:tr>
              <w:tc>
                <w:tcPr>
                  <w:tcW w:type="dxa" w:w="7272"/>
                </w:tcPr>
                <w:p>
                  <w:pPr>
                    <w:spacing w:after="40"/>
                  </w:pPr>
                  <w:r>
                    <w:rPr>
                      <w:sz w:val="18"/>
                    </w:rPr>
                  </w:r>
                  <w:r>
                    <w:rPr>
                      <w:b w:val="0"/>
                      <w:i w:val="0"/>
                      <w:sz w:val="18"/>
                    </w:rPr>
                    <w:t xml:space="preserve">The chest-pain cases (slides 24–31): troponin and an EKG as soon as possible, plus a basic or comprehensive metabolic panel for kidney function, for </w:t>
                  </w:r>
                  <w:r>
                    <w:rPr>
                      <w:b w:val="0"/>
                      <w:i/>
                      <w:sz w:val="18"/>
                    </w:rPr>
                    <w:t>“at least two reasons, probably three”</w:t>
                  </w:r>
                  <w:r>
                    <w:rPr>
                      <w:b w:val="0"/>
                      <w:i w:val="0"/>
                      <w:sz w:val="18"/>
                    </w:rPr>
                    <w:t xml:space="preserve"> — to interpret the troponin, because the catheter lab means contrast, and because diabetes and hypertension damage kidneys. Her milder, older patient: </w:t>
                  </w:r>
                  <w:r>
                    <w:rPr>
                      <w:b w:val="0"/>
                      <w:i/>
                      <w:sz w:val="18"/>
                    </w:rPr>
                    <w:t>“do we think that just because her presenting symptoms are milder, that her labs are going to be better? Not necessarily.”</w:t>
                  </w:r>
                  <w:r>
                    <w:rPr>
                      <w:b w:val="0"/>
                      <w:i w:val="0"/>
                      <w:sz w:val="18"/>
                    </w:rPr>
                    <w:t xml:space="preserve"> [part 1, 33:27–38:58]</w:t>
                  </w:r>
                </w:p>
              </w:tc>
              <w:tc>
                <w:tcPr>
                  <w:tcW w:type="dxa" w:w="7272"/>
                </w:tcPr>
                <w:p>
                  <w:pPr>
                    <w:spacing w:after="40"/>
                  </w:pPr>
                  <w:r>
                    <w:rPr>
                      <w:sz w:val="18"/>
                    </w:rPr>
                  </w:r>
                  <w:r>
                    <w:rPr>
                      <w:b w:val="0"/>
                      <w:i w:val="0"/>
                      <w:sz w:val="18"/>
                    </w:rPr>
                    <w:t>The next-best-test answer for acute chest pain is troponin + EKG, with renal function alongside. At follow-up she added hs-CRP, hemoglobin A1C and a repeat EKG.</w:t>
                  </w:r>
                </w:p>
              </w:tc>
            </w:tr>
            <w:tr>
              <w:tc>
                <w:tcPr>
                  <w:tcW w:type="dxa" w:w="7272"/>
                </w:tcPr>
                <w:p>
                  <w:pPr>
                    <w:spacing w:after="40"/>
                  </w:pPr>
                  <w:r>
                    <w:rPr>
                      <w:sz w:val="18"/>
                    </w:rPr>
                  </w:r>
                  <w:r>
                    <w:rPr>
                      <w:b w:val="0"/>
                      <w:i w:val="0"/>
                      <w:sz w:val="18"/>
                    </w:rPr>
                    <w:t xml:space="preserve">Case 3 (slide 48, “diagnostic*”): </w:t>
                  </w:r>
                  <w:r>
                    <w:rPr>
                      <w:b w:val="0"/>
                      <w:i/>
                      <w:sz w:val="18"/>
                    </w:rPr>
                    <w:t>“This person’s fine … So is this really diagnostic testing? Screening.”</w:t>
                  </w:r>
                  <w:r>
                    <w:rPr>
                      <w:b w:val="0"/>
                      <w:i w:val="0"/>
                      <w:sz w:val="18"/>
                    </w:rPr>
                    <w:t xml:space="preserve"> Order a fasting lipid panel, A1C, and a lipoprotein(a) if never measured. [part 3, 16:53–17:42]</w:t>
                  </w:r>
                </w:p>
              </w:tc>
              <w:tc>
                <w:tcPr>
                  <w:tcW w:type="dxa" w:w="7272"/>
                </w:tcPr>
                <w:p>
                  <w:pPr>
                    <w:spacing w:after="40"/>
                  </w:pPr>
                  <w:r>
                    <w:rPr>
                      <w:sz w:val="18"/>
                    </w:rPr>
                  </w:r>
                  <w:r>
                    <w:rPr>
                      <w:b w:val="0"/>
                      <w:i w:val="0"/>
                      <w:sz w:val="18"/>
                    </w:rPr>
                    <w:t xml:space="preserve">The asterisk is the point: the same tests, ordered as </w:t>
                  </w:r>
                  <w:r>
                    <w:rPr>
                      <w:b w:val="0"/>
                      <w:i/>
                      <w:sz w:val="18"/>
                    </w:rPr>
                    <w:t>screening</w:t>
                  </w:r>
                  <w:r>
                    <w:rPr>
                      <w:b w:val="0"/>
                      <w:i w:val="0"/>
                      <w:sz w:val="18"/>
                    </w:rPr>
                    <w:t>. Family history of premature disease is also a fasting indication (9.3).</w:t>
                  </w:r>
                </w:p>
              </w:tc>
            </w:tr>
          </w:tbl>
          <w:p/>
          <w:p>
            <w:pPr>
              <w:spacing w:after="80"/>
            </w:pPr>
          </w:p>
          <w:p>
            <w:pPr>
              <w:spacing w:after="120"/>
            </w:pPr>
            <w:r>
              <w:rPr>
                <w:b/>
                <w:i w:val="0"/>
              </w:rPr>
              <w:t>Where the slide and the recording differ.</w:t>
            </w:r>
            <w:r>
              <w:rPr>
                <w:b w:val="0"/>
                <w:i w:val="0"/>
              </w:rPr>
              <w:t xml:space="preserve"> Four spoken statements differ from the deck; this guide teaches whichever is accurate. (1) She described trending troponin </w:t>
            </w:r>
            <w:r>
              <w:rPr>
                <w:b w:val="0"/>
                <w:i/>
              </w:rPr>
              <w:t>“every three hours through nine hours … zero, three, six, and nine”</w:t>
            </w:r>
            <w:r>
              <w:rPr>
                <w:b w:val="0"/>
                <w:i w:val="0"/>
              </w:rPr>
              <w:t xml:space="preserve"> [part 1, 18:19]; slide 7 draws </w:t>
            </w:r>
            <w:r>
              <w:rPr>
                <w:b/>
                <w:i w:val="0"/>
              </w:rPr>
              <w:t>high-sensitivity</w:t>
            </w:r>
            <w:r>
              <w:rPr>
                <w:b w:val="0"/>
                <w:i w:val="0"/>
              </w:rPr>
              <w:t xml:space="preserve"> troponin at 0 and 1–2 hours. Both are real protocols: the longer schedule belongs to conventional assays, the 0 and 1–2 hour one to high-sensitivity assays. (2) She called BNP </w:t>
            </w:r>
            <w:r>
              <w:rPr>
                <w:b w:val="0"/>
                <w:i/>
              </w:rPr>
              <w:t>“not super ideal for guiding therapy”</w:t>
            </w:r>
            <w:r>
              <w:rPr>
                <w:b w:val="0"/>
                <w:i w:val="0"/>
              </w:rPr>
              <w:t xml:space="preserve"> and not for serial trending [part 1, 19:40–19:53]; slide 14 lists guiding therapy and monitoring the course as applications. </w:t>
            </w:r>
            <w:r>
              <w:rPr>
                <w:b/>
                <w:i w:val="0"/>
              </w:rPr>
              <w:t>She is closer to the evidence on therapy:</w:t>
            </w:r>
            <w:r>
              <w:rPr>
                <w:b w:val="0"/>
                <w:i w:val="0"/>
              </w:rPr>
              <w:t xml:space="preserve"> adjusting treatment to the peptide level has not been shown to improve outcomes (2022 AHA/ACC/HFSA heart failure guideline), while tracking the course and stratifying risk are established uses. (3) She called type 2 infarction a “non-STEMI” and “injury” [part 1, 13:20; 30:38]; the deck’s own graph (slide 11) plots it as an </w:t>
            </w:r>
            <w:r>
              <w:rPr>
                <w:b w:val="0"/>
                <w:i/>
              </w:rPr>
              <w:t>infarction</w:t>
            </w:r>
            <w:r>
              <w:rPr>
                <w:b w:val="0"/>
                <w:i w:val="0"/>
              </w:rPr>
              <w:t xml:space="preserve">, and non-ST elevation is an electrocardiogram category, not a type. (4) For routine labs she would </w:t>
            </w:r>
            <w:r>
              <w:rPr>
                <w:b w:val="0"/>
                <w:i/>
              </w:rPr>
              <w:t>“just do fasting”</w:t>
            </w:r>
            <w:r>
              <w:rPr>
                <w:b w:val="0"/>
                <w:i w:val="0"/>
              </w:rPr>
              <w:t xml:space="preserve"> [part 3, 15:02]; slide 46 says nonfasting is acceptable for most. Also loose: a high-sensitivity troponin of 22 is </w:t>
            </w:r>
            <w:r>
              <w:rPr>
                <w:b w:val="0"/>
                <w:i/>
              </w:rPr>
              <w:t>at</w:t>
            </w:r>
            <w:r>
              <w:rPr>
                <w:b w:val="0"/>
                <w:i w:val="0"/>
              </w:rPr>
              <w:t>, not under, slide 5’s male limit (under 22 ng/L).</w:t>
            </w:r>
          </w:p>
          <w:p>
            <w:pPr>
              <w:spacing w:after="120"/>
            </w:pPr>
            <w:r>
              <w:rPr>
                <w:b/>
                <w:i w:val="0"/>
              </w:rPr>
              <w:t>Coverage.</w:t>
            </w:r>
            <w:r>
              <w:rPr>
                <w:b w:val="0"/>
                <w:i w:val="0"/>
              </w:rPr>
              <w:t xml:space="preserve"> Three segments, about 80 minutes: part 1 (biomarkers and cases 1–2, from slide 4; the last eleven minutes are the break), part 2 (seven minutes on apolipoproteins and lipoprotein(a)) and part 3 (the lipid panel, the calculation, case 3). The opening minutes on slides 1–3 and the first lipid slides (32–33) fall outside the recordings.</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spacing w:after="120"/>
      </w:pPr>
      <w:r>
        <w:rPr>
          <w:b w:val="0"/>
          <w:i w:val="0"/>
        </w:rPr>
        <w:t>Also tested</w:t>
      </w:r>
    </w:p>
    <w:p>
      <w:pPr>
        <w:pStyle w:val="ListBullet"/>
        <w:spacing w:after="40"/>
      </w:pPr>
      <w:r>
        <w:rPr>
          <w:b/>
          <w:i w:val="0"/>
          <w:sz w:val="20"/>
        </w:rPr>
        <w:t>Troponin subunits.</w:t>
      </w:r>
      <w:r>
        <w:rPr>
          <w:b w:val="0"/>
          <w:i w:val="0"/>
          <w:sz w:val="20"/>
        </w:rPr>
        <w:t xml:space="preserve"> Troponin I, the inhibitory component, has cardiac specificity; troponin T is primarily cardiac, but trace amounts are detected in skeletal muscle.</w:t>
      </w:r>
    </w:p>
    <w:p>
      <w:pPr>
        <w:pStyle w:val="ListBullet"/>
        <w:spacing w:after="40"/>
      </w:pPr>
      <w:r>
        <w:rPr>
          <w:b/>
          <w:i w:val="0"/>
          <w:sz w:val="20"/>
        </w:rPr>
        <w:t>Troponin versus CK-MB.</w:t>
      </w:r>
      <w:r>
        <w:rPr>
          <w:b w:val="0"/>
          <w:i w:val="0"/>
          <w:sz w:val="20"/>
        </w:rPr>
        <w:t xml:space="preserve"> Troponin is preferred because it rises sooner and stays elevated longer, expanding the window for diagnosis and treatment, which matters for a patient presenting late.</w:t>
      </w: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monitoring the course · risk stratification (cardiovascular mortality, readmission). Slide 14 also lists guiding therapy; titrating treatment to the peptide level has not been shown to improve outcomes, so learn it as the weakest of the four.</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spacing w:after="120"/>
      </w:pPr>
      <w:r>
        <w:rPr>
          <w:b w:val="0"/>
          <w:i w:val="0"/>
        </w:rPr>
        <w:t>Also tested</w:t>
      </w:r>
    </w:p>
    <w:p>
      <w:pPr>
        <w:pStyle w:val="ListBullet"/>
        <w:spacing w:after="40"/>
      </w:pPr>
      <w:r>
        <w:rPr>
          <w:b/>
          <w:i w:val="0"/>
          <w:sz w:val="20"/>
        </w:rPr>
        <w:t>Troponin beyond first diagnosis.</w:t>
      </w:r>
      <w:r>
        <w:rPr>
          <w:b w:val="0"/>
          <w:i w:val="0"/>
          <w:sz w:val="20"/>
        </w:rPr>
        <w:t xml:space="preserve"> Troponins also detect reocclusion and reinfarction, and procedure-related infarction, such as returning chest pain after a stent.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spacing w:after="120"/>
      </w:pPr>
      <w:r>
        <w:rPr>
          <w:b w:val="0"/>
          <w:i w:val="0"/>
        </w:rPr>
        <w:t>Also tested</w:t>
      </w:r>
    </w:p>
    <w:p>
      <w:pPr>
        <w:pStyle w:val="ListBullet"/>
        <w:spacing w:after="40"/>
      </w:pPr>
      <w:r>
        <w:rPr>
          <w:b/>
          <w:i w:val="0"/>
          <w:sz w:val="20"/>
        </w:rPr>
        <w:t>Apolipoprotein B monitoring.</w:t>
      </w:r>
      <w:r>
        <w:rPr>
          <w:b w:val="0"/>
          <w:i w:val="0"/>
          <w:sz w:val="20"/>
        </w:rPr>
        <w:t xml:space="preserve"> It is a modifiable, treatment-responsive marker, so it is used repeatedly to guide and monitor lipid-lowering therapy, unlike lipoprotein(a), which is fixed and measured once.</w:t>
      </w: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spacing w:after="120"/>
      </w:pPr>
      <w:r>
        <w:rPr>
          <w:b w:val="0"/>
          <w:i w:val="0"/>
        </w:rPr>
        <w:t>Also tested</w:t>
      </w:r>
    </w:p>
    <w:p>
      <w:pPr>
        <w:pStyle w:val="ListBullet"/>
        <w:spacing w:after="40"/>
      </w:pPr>
      <w:r>
        <w:rPr>
          <w:b/>
          <w:i w:val="0"/>
          <w:sz w:val="20"/>
        </w:rPr>
        <w:t>Non-HDL-C.</w:t>
      </w:r>
      <w:r>
        <w:rPr>
          <w:b w:val="0"/>
          <w:i w:val="0"/>
          <w:sz w:val="20"/>
        </w:rPr>
        <w:t xml:space="preserve"> It equals total cholesterol minus HDL-C (210 minus 50 is 160 mg/dL), is followed against a risk-based goal, and needs no triglyceride value and costs nothing extra.</w:t>
      </w: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spacing w:after="120"/>
      </w:pPr>
      <w:r>
        <w:rPr>
          <w:b w:val="0"/>
          <w:i w:val="0"/>
        </w:rPr>
        <w:t>Also tested</w:t>
      </w:r>
    </w:p>
    <w:p>
      <w:pPr>
        <w:pStyle w:val="ListBullet"/>
        <w:spacing w:after="40"/>
      </w:pPr>
      <w:r>
        <w:rPr>
          <w:b/>
          <w:i w:val="0"/>
          <w:sz w:val="20"/>
        </w:rPr>
        <w:t>Fasting for a lipid profile.</w:t>
      </w:r>
      <w:r>
        <w:rPr>
          <w:b w:val="0"/>
          <w:i w:val="0"/>
          <w:sz w:val="20"/>
        </w:rPr>
        <w:t xml:space="preserve"> Nonfasting samples are acceptable for most people. Fasting is reserved for triglycerides of 400 mg/dL or above, triglyceride disorders, or a family history of premature disease or genetic dyslipidemia.</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spacing w:after="120"/>
      </w:pPr>
      <w:r>
        <w:rPr>
          <w:b w:val="0"/>
          <w:i w:val="0"/>
        </w:rPr>
        <w:t>Also tested</w:t>
      </w:r>
    </w:p>
    <w:p>
      <w:pPr>
        <w:pStyle w:val="ListBullet"/>
        <w:spacing w:after="40"/>
      </w:pPr>
      <w:r>
        <w:rPr>
          <w:b/>
          <w:i w:val="0"/>
          <w:sz w:val="20"/>
        </w:rPr>
        <w:t>Lipoprotein(a) testing.</w:t>
      </w:r>
      <w:r>
        <w:rPr>
          <w:b w:val="0"/>
          <w:i w:val="0"/>
          <w:sz w:val="20"/>
        </w:rPr>
        <w:t xml:space="preserve"> The level is more than 90% genetically determined, so testing is indicated with a personal or family history of atherosclerotic disease and extends to first-degree relatives through cascade testing in appropriate families.</w:t>
      </w:r>
    </w:p>
    <w:p>
      <w:pPr>
        <w:pStyle w:val="ListBullet"/>
        <w:spacing w:after="40"/>
      </w:pPr>
      <w:r>
        <w:rPr>
          <w:b/>
          <w:i w:val="0"/>
          <w:sz w:val="20"/>
        </w:rPr>
        <w:t>Lipoprotein(a) measurement.</w:t>
      </w:r>
      <w:r>
        <w:rPr>
          <w:b w:val="0"/>
          <w:i w:val="0"/>
          <w:sz w:val="20"/>
        </w:rPr>
        <w:t xml:space="preserve"> It generally needs measuring once in a lifetime: it is more than 90% genetically determined and stable over life, and needs no fasting.</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xml:space="preserve">. </w:t>
            </w:r>
            <w:r>
              <w:rPr>
                <w:b/>
                <w:i w:val="0"/>
              </w:rPr>
              <w:t>This arithmetic is examinable:</w:t>
            </w:r>
            <w:r>
              <w:rPr>
                <w:b w:val="0"/>
                <w:i w:val="0"/>
              </w:rPr>
              <w:t xml:space="preserve"> she worked slide 43 in class as </w:t>
            </w:r>
            <w:r>
              <w:rPr>
                <w:b w:val="0"/>
                <w:i/>
              </w:rPr>
              <w:t>“two calculations, and then … interpret”</w:t>
            </w:r>
            <w:r>
              <w:rPr>
                <w:b w:val="0"/>
                <w:i w:val="0"/>
              </w:rPr>
              <w:t xml:space="preserve"> (178 − 62 − 18 = 98; 178 − 62 = 116; both in range for a low-risk patient, “not even close” for a high-risk one). Triglycerides of 400 mg/dL or more: </w:t>
            </w:r>
            <w:r>
              <w:rPr>
                <w:b w:val="0"/>
                <w:i/>
              </w:rPr>
              <w:t>“we cannot trust that calculation.”</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Emphasis quoted from the 21 September 2026 recording (three segments), read in both transcripts.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