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spacing w:after="500" w:line="240" w:lineRule="auto"/>
      </w:pPr>
      <w:r>
        <w:rPr>
          <w:rFonts w:ascii="Segoe UI" w:hAnsi="Segoe UI" w:cs="Segoe UI"/>
        </w:rPr>
        <w:t xml:space="preserve"/>
      </w:r>
    </w:p>
    <w:p>
      <w:pPr>
        <w:spacing w:after="80" w:line="240" w:lineRule="auto"/>
        <w:jc w:val="center"/>
      </w:pPr>
      <w:r>
        <w:drawing>
          <wp:inline xmlns:wp="http://schemas.openxmlformats.org/drawingml/2006/wordprocessingDrawing" distT="0" distB="0" distL="0" distR="0">
            <wp:extent cx="914400" cy="914400"/>
            <wp:docPr id="1" name="Logo"/>
            <a:graphic xmlns:a="http://schemas.openxmlformats.org/drawingml/2006/main">
              <a:graphicData uri="http://schemas.openxmlformats.org/drawingml/2006/picture">
                <pic:pic xmlns:pic="http://schemas.openxmlformats.org/drawingml/2006/picture">
                  <pic:nvPicPr>
                    <pic:cNvPr id="1" name="logo.png"/>
                    <pic:cNvPicPr/>
                  </pic:nvPicPr>
                  <pic:blipFill>
                    <a:blip xmlns:r="http://schemas.openxmlformats.org/officeDocument/2006/relationships" r:embed="rId10"/>
                    <a:stretch>
                      <a:fillRect/>
                    </a:stretch>
                  </pic:blipFill>
                  <pic:spPr>
                    <a:xfrm>
                      <a:off x="0" y="0"/>
                      <a:ext cx="914400" cy="914400"/>
                    </a:xfrm>
                    <a:prstGeom prst="rect">
                      <a:avLst/>
                    </a:prstGeom>
                  </pic:spPr>
                </pic:pic>
              </a:graphicData>
            </a:graphic>
          </wp:inline>
        </w:drawing>
      </w:r>
    </w:p>
    <w:p>
      <w:pPr>
        <w:spacing w:after="60" w:line="240" w:lineRule="auto"/>
        <w:jc w:val="center"/>
      </w:pPr>
      <w:r>
        <w:rPr>
          <w:rFonts w:ascii="Segoe UI" w:hAnsi="Segoe UI" w:cs="Segoe UI"/>
          <w:sz w:val="64"/>
          <w:szCs w:val="64"/>
          <w:color w:val="1A1A1A"/>
        </w:rPr>
        <w:t xml:space="preserve">Pay</w:t>
      </w:r>
      <w:r>
        <w:rPr>
          <w:rFonts w:ascii="Segoe UI" w:hAnsi="Segoe UI" w:cs="Segoe UI"/>
          <w:sz w:val="64"/>
          <w:szCs w:val="64"/>
          <w:color w:val="4A4A4A"/>
        </w:rPr>
        <w:t xml:space="preserve">Sick</w:t>
      </w:r>
    </w:p>
    <w:p>
      <w:pPr>
        <w:spacing w:after="280" w:line="240" w:lineRule="auto"/>
        <w:jc w:val="center"/>
      </w:pPr>
      <w:r>
        <w:rPr>
          <w:rFonts w:ascii="Segoe UI" w:hAnsi="Segoe UI" w:cs="Segoe UI"/>
          <w:sz w:val="20"/>
          <w:szCs w:val="20"/>
          <w:color w:val="E01E37"/>
          <w:spacing w:val="100"/>
        </w:rPr>
        <w:t xml:space="preserve">HEAL NOW, PAY LATER</w:t>
      </w:r>
    </w:p>
    <w:p>
      <w:pPr>
        <w:spacing w:before="0" w:after="280" w:line="240" w:lineRule="auto"/>
        <w:jc w:val="center"/>
        <w:pBdr>
          <w:bottom w:val="single" w:sz="8" w:space="1" w:color="E01E37"/>
        </w:pBdr>
      </w:pPr>
      <w:r>
        <w:t xml:space="preserve"> </w:t>
      </w:r>
    </w:p>
    <w:p>
      <w:pPr>
        <w:spacing w:after="200" w:line="240" w:lineRule="auto"/>
        <w:jc w:val="center"/>
      </w:pPr>
      <w:r>
        <w:rPr>
          <w:rFonts w:ascii="Segoe UI" w:hAnsi="Segoe UI" w:cs="Segoe UI"/>
          <w:caps/>
          <w:sz w:val="18"/>
          <w:szCs w:val="18"/>
          <w:color w:val="8A8A8A"/>
          <w:spacing w:val="120"/>
        </w:rPr>
        <w:t xml:space="preserve">WHITE PAPER</w:t>
      </w:r>
    </w:p>
    <w:p>
      <w:pPr>
        <w:spacing w:after="0" w:line="276" w:lineRule="auto"/>
        <w:jc w:val="center"/>
      </w:pPr>
      <w:r>
        <w:rPr>
          <w:rFonts w:ascii="Segoe UI" w:hAnsi="Segoe UI" w:cs="Segoe UI"/>
          <w:b/>
          <w:bCs/>
          <w:sz w:val="52"/>
          <w:szCs w:val="52"/>
          <w:color w:val="1A1A1A"/>
        </w:rPr>
        <w:t xml:space="preserve">When Care Meets Capital:</w:t>
      </w:r>
    </w:p>
    <w:p>
      <w:pPr>
        <w:spacing w:after="0" w:line="276" w:lineRule="auto"/>
        <w:jc w:val="center"/>
      </w:pPr>
      <w:r>
        <w:rPr>
          <w:rFonts w:ascii="Segoe UI" w:hAnsi="Segoe UI" w:cs="Segoe UI"/>
          <w:b/>
          <w:bCs/>
          <w:sz w:val="52"/>
          <w:szCs w:val="52"/>
          <w:color w:val="1A1A1A"/>
        </w:rPr>
        <w:t xml:space="preserve">Underwriting Risk &amp; Adverse Selection</w:t>
      </w:r>
    </w:p>
    <w:p>
      <w:pPr>
        <w:spacing w:after="240" w:line="276" w:lineRule="auto"/>
        <w:jc w:val="center"/>
      </w:pPr>
      <w:r>
        <w:rPr>
          <w:rFonts w:ascii="Segoe UI" w:hAnsi="Segoe UI" w:cs="Segoe UI"/>
          <w:b/>
          <w:bCs/>
          <w:sz w:val="52"/>
          <w:szCs w:val="52"/>
          <w:color w:val="1A1A1A"/>
        </w:rPr>
        <w:t xml:space="preserve">in Healthcare Lending</w:t>
      </w:r>
    </w:p>
    <w:p>
      <w:pPr>
        <w:spacing w:after="500" w:line="300" w:lineRule="auto"/>
        <w:jc w:val="center"/>
      </w:pPr>
      <w:r>
        <w:rPr>
          <w:rFonts w:ascii="Segoe UI" w:hAnsi="Segoe UI" w:cs="Segoe UI"/>
          <w:sz w:val="26"/>
          <w:szCs w:val="26"/>
          <w:color w:val="666666"/>
        </w:rPr>
        <w:t xml:space="preserve">A Framework for Building Loss-Resistant Healthcare Financing at Scale</w:t>
      </w:r>
    </w:p>
    <w:p>
      <w:pPr>
        <w:spacing w:after="40" w:line="240" w:lineRule="auto"/>
        <w:jc w:val="center"/>
      </w:pPr>
      <w:r>
        <w:rPr>
          <w:rFonts w:ascii="Segoe UI" w:hAnsi="Segoe UI" w:cs="Segoe UI"/>
          <w:b/>
          <w:bCs/>
          <w:sz w:val="18"/>
          <w:szCs w:val="18"/>
          <w:color w:val="333333"/>
        </w:rPr>
        <w:t xml:space="preserve">Author</w:t>
      </w:r>
      <w:r>
        <w:rPr>
          <w:rFonts w:ascii="Segoe UI" w:hAnsi="Segoe UI" w:cs="Segoe UI"/>
          <w:sz w:val="18"/>
          <w:szCs w:val="18"/>
          <w:color w:val="8A8A8A"/>
        </w:rPr>
        <w:t xml:space="preserve">    Mosiuwa Tshabalala</w:t>
      </w:r>
    </w:p>
    <w:p>
      <w:pPr>
        <w:spacing w:after="40" w:line="240" w:lineRule="auto"/>
        <w:jc w:val="center"/>
      </w:pPr>
      <w:r>
        <w:rPr>
          <w:rFonts w:ascii="Segoe UI" w:hAnsi="Segoe UI" w:cs="Segoe UI"/>
          <w:b/>
          <w:bCs/>
          <w:sz w:val="18"/>
          <w:szCs w:val="18"/>
          <w:color w:val="333333"/>
        </w:rPr>
        <w:t xml:space="preserve">Version</w:t>
      </w:r>
      <w:r>
        <w:rPr>
          <w:rFonts w:ascii="Segoe UI" w:hAnsi="Segoe UI" w:cs="Segoe UI"/>
          <w:sz w:val="18"/>
          <w:szCs w:val="18"/>
          <w:color w:val="8A8A8A"/>
        </w:rPr>
        <w:t xml:space="preserve">    4.0</w:t>
      </w:r>
    </w:p>
    <w:p>
      <w:pPr>
        <w:spacing w:after="40" w:line="240" w:lineRule="auto"/>
        <w:jc w:val="center"/>
      </w:pPr>
      <w:r>
        <w:rPr>
          <w:rFonts w:ascii="Segoe UI" w:hAnsi="Segoe UI" w:cs="Segoe UI"/>
          <w:b/>
          <w:bCs/>
          <w:sz w:val="18"/>
          <w:szCs w:val="18"/>
          <w:color w:val="333333"/>
        </w:rPr>
        <w:t xml:space="preserve">Date</w:t>
      </w:r>
      <w:r>
        <w:rPr>
          <w:rFonts w:ascii="Segoe UI" w:hAnsi="Segoe UI" w:cs="Segoe UI"/>
          <w:sz w:val="18"/>
          <w:szCs w:val="18"/>
          <w:color w:val="8A8A8A"/>
        </w:rPr>
        <w:t xml:space="preserve">    February 2026</w:t>
      </w:r>
    </w:p>
    <w:p>
      <w:pPr>
        <w:spacing w:after="40" w:line="240" w:lineRule="auto"/>
        <w:jc w:val="center"/>
      </w:pPr>
      <w:r>
        <w:rPr>
          <w:rFonts w:ascii="Segoe UI" w:hAnsi="Segoe UI" w:cs="Segoe UI"/>
          <w:b/>
          <w:bCs/>
          <w:sz w:val="18"/>
          <w:szCs w:val="18"/>
          <w:color w:val="333333"/>
        </w:rPr>
        <w:t xml:space="preserve">Classification</w:t>
      </w:r>
      <w:r>
        <w:rPr>
          <w:rFonts w:ascii="Segoe UI" w:hAnsi="Segoe UI" w:cs="Segoe UI"/>
          <w:sz w:val="18"/>
          <w:szCs w:val="18"/>
          <w:color w:val="8A8A8A"/>
        </w:rPr>
        <w:t xml:space="preserve">    Confidential — Institutional &amp; Investor Audiences</w:t>
      </w:r>
    </w:p>
    <w:p>
      <w:pPr>
        <w:spacing w:after="400" w:line="240" w:lineRule="auto"/>
      </w:pPr>
      <w:r>
        <w:rPr>
          <w:rFonts w:ascii="Segoe UI" w:hAnsi="Segoe UI" w:cs="Segoe UI"/>
        </w:rPr>
        <w:t xml:space="preserve"/>
      </w:r>
    </w:p>
    <w:p>
      <w:pPr>
        <w:spacing w:after="0" w:line="240" w:lineRule="auto"/>
        <w:jc w:val="center"/>
      </w:pPr>
      <w:r>
        <w:rPr>
          <w:rFonts w:ascii="Segoe UI" w:hAnsi="Segoe UI" w:cs="Segoe UI"/>
          <w:sz w:val="16"/>
          <w:szCs w:val="16"/>
          <w:color w:val="C0C0C0"/>
          <w:spacing w:val="80"/>
        </w:rPr>
        <w:t xml:space="preserve">CONFIDENTIAL  —  PAYSICK (PTY) LTD</w:t>
      </w:r>
    </w:p>
    <w:p>
      <w:pPr>
        <w:keepNext/>
        <w:pageBreakBefore/>
        <w:spacing w:before="0" w:after="80" w:line="288" w:lineRule="auto"/>
      </w:pPr>
      <w:r>
        <w:rPr>
          <w:rFonts w:ascii="Segoe UI" w:hAnsi="Segoe UI" w:cs="Segoe UI"/>
          <w:b/>
          <w:bCs/>
          <w:sz w:val="52"/>
          <w:szCs w:val="52"/>
          <w:color w:val="1A1A1A"/>
        </w:rPr>
        <w:t xml:space="preserve">Contents</w:t>
      </w:r>
    </w:p>
    <w:p>
      <w:pPr>
        <w:spacing w:after="280" w:line="240" w:lineRule="auto"/>
        <w:pBdr>
          <w:bottom w:val="single" w:sz="12" w:space="6" w:color="E01E37"/>
        </w:pBdr>
      </w:pPr>
      <w:r>
        <w:t xml:space="preserve"> </w:t>
      </w:r>
    </w:p>
    <w:p>
      <w:pPr>
        <w:spacing w:before="60" w:after="60" w:line="300" w:lineRule="auto"/>
      </w:pPr>
      <w:r>
        <w:rPr>
          <w:rFonts w:ascii="Segoe UI" w:hAnsi="Segoe UI" w:cs="Segoe UI"/>
          <w:sz w:val="22"/>
          <w:szCs w:val="22"/>
          <w:color w:val="1A1A1A"/>
        </w:rPr>
        <w:t xml:space="preserve">Abstract</w:t>
      </w:r>
    </w:p>
    <w:p>
      <w:pPr>
        <w:spacing w:before="60" w:after="60" w:line="300" w:lineRule="auto"/>
      </w:pPr>
      <w:r>
        <w:rPr>
          <w:rFonts w:ascii="Segoe UI" w:hAnsi="Segoe UI" w:cs="Segoe UI"/>
          <w:b/>
          <w:bCs/>
          <w:sz w:val="20"/>
          <w:szCs w:val="20"/>
          <w:color w:val="C0C0C0"/>
        </w:rPr>
        <w:t xml:space="preserve">01    </w:t>
      </w:r>
      <w:r>
        <w:rPr>
          <w:rFonts w:ascii="Segoe UI" w:hAnsi="Segoe UI" w:cs="Segoe UI"/>
          <w:sz w:val="22"/>
          <w:szCs w:val="22"/>
          <w:color w:val="1A1A1A"/>
        </w:rPr>
        <w:t xml:space="preserve">Executive Summary</w:t>
      </w:r>
    </w:p>
    <w:p>
      <w:pPr>
        <w:spacing w:before="60" w:after="60" w:line="300" w:lineRule="auto"/>
      </w:pPr>
      <w:r>
        <w:rPr>
          <w:rFonts w:ascii="Segoe UI" w:hAnsi="Segoe UI" w:cs="Segoe UI"/>
          <w:b/>
          <w:bCs/>
          <w:sz w:val="20"/>
          <w:szCs w:val="20"/>
          <w:color w:val="C0C0C0"/>
        </w:rPr>
        <w:t xml:space="preserve">02    </w:t>
      </w:r>
      <w:r>
        <w:rPr>
          <w:rFonts w:ascii="Segoe UI" w:hAnsi="Segoe UI" w:cs="Segoe UI"/>
          <w:sz w:val="22"/>
          <w:szCs w:val="22"/>
          <w:color w:val="1A1A1A"/>
        </w:rPr>
        <w:t xml:space="preserve">Market Context: The Case for Healthcare-Specific Underwriting</w:t>
      </w:r>
    </w:p>
    <w:p>
      <w:pPr>
        <w:spacing w:before="60" w:after="60" w:line="300" w:lineRule="auto"/>
      </w:pPr>
      <w:r>
        <w:rPr>
          <w:rFonts w:ascii="Segoe UI" w:hAnsi="Segoe UI" w:cs="Segoe UI"/>
          <w:b/>
          <w:bCs/>
          <w:sz w:val="20"/>
          <w:szCs w:val="20"/>
          <w:color w:val="C0C0C0"/>
        </w:rPr>
        <w:t xml:space="preserve">03    </w:t>
      </w:r>
      <w:r>
        <w:rPr>
          <w:rFonts w:ascii="Segoe UI" w:hAnsi="Segoe UI" w:cs="Segoe UI"/>
          <w:sz w:val="22"/>
          <w:szCs w:val="22"/>
          <w:color w:val="1A1A1A"/>
        </w:rPr>
        <w:t xml:space="preserve">Addressable Population Analysis: Quantifying the Target Market</w:t>
      </w:r>
    </w:p>
    <w:p>
      <w:pPr>
        <w:spacing w:before="60" w:after="60" w:line="300" w:lineRule="auto"/>
      </w:pPr>
      <w:r>
        <w:rPr>
          <w:rFonts w:ascii="Segoe UI" w:hAnsi="Segoe UI" w:cs="Segoe UI"/>
          <w:b/>
          <w:bCs/>
          <w:sz w:val="20"/>
          <w:szCs w:val="20"/>
          <w:color w:val="C0C0C0"/>
        </w:rPr>
        <w:t xml:space="preserve">04    </w:t>
      </w:r>
      <w:r>
        <w:rPr>
          <w:rFonts w:ascii="Segoe UI" w:hAnsi="Segoe UI" w:cs="Segoe UI"/>
          <w:sz w:val="22"/>
          <w:szCs w:val="22"/>
          <w:color w:val="1A1A1A"/>
        </w:rPr>
        <w:t xml:space="preserve">Anatomy of Loss: What Causes a Loss-Making Book</w:t>
      </w:r>
    </w:p>
    <w:p>
      <w:pPr>
        <w:spacing w:before="60" w:after="60" w:line="300" w:lineRule="auto"/>
      </w:pPr>
      <w:r>
        <w:rPr>
          <w:rFonts w:ascii="Segoe UI" w:hAnsi="Segoe UI" w:cs="Segoe UI"/>
          <w:b/>
          <w:bCs/>
          <w:sz w:val="20"/>
          <w:szCs w:val="20"/>
          <w:color w:val="C0C0C0"/>
        </w:rPr>
        <w:t xml:space="preserve">05    </w:t>
      </w:r>
      <w:r>
        <w:rPr>
          <w:rFonts w:ascii="Segoe UI" w:hAnsi="Segoe UI" w:cs="Segoe UI"/>
          <w:sz w:val="22"/>
          <w:szCs w:val="22"/>
          <w:color w:val="1A1A1A"/>
        </w:rPr>
        <w:t xml:space="preserve">Scenario Analysis: Quantifying Loss Under Stress</w:t>
      </w:r>
    </w:p>
    <w:p>
      <w:pPr>
        <w:spacing w:before="60" w:after="60" w:line="300" w:lineRule="auto"/>
      </w:pPr>
      <w:r>
        <w:rPr>
          <w:rFonts w:ascii="Segoe UI" w:hAnsi="Segoe UI" w:cs="Segoe UI"/>
          <w:b/>
          <w:bCs/>
          <w:sz w:val="20"/>
          <w:szCs w:val="20"/>
          <w:color w:val="C0C0C0"/>
        </w:rPr>
        <w:t xml:space="preserve">06    </w:t>
      </w:r>
      <w:r>
        <w:rPr>
          <w:rFonts w:ascii="Segoe UI" w:hAnsi="Segoe UI" w:cs="Segoe UI"/>
          <w:sz w:val="22"/>
          <w:szCs w:val="22"/>
          <w:color w:val="1A1A1A"/>
        </w:rPr>
        <w:t xml:space="preserve">Adverse Selection: Mapping Every Relationship</w:t>
      </w:r>
    </w:p>
    <w:p>
      <w:pPr>
        <w:spacing w:before="60" w:after="60" w:line="300" w:lineRule="auto"/>
      </w:pPr>
      <w:r>
        <w:rPr>
          <w:rFonts w:ascii="Segoe UI" w:hAnsi="Segoe UI" w:cs="Segoe UI"/>
          <w:b/>
          <w:bCs/>
          <w:sz w:val="20"/>
          <w:szCs w:val="20"/>
          <w:color w:val="C0C0C0"/>
        </w:rPr>
        <w:t xml:space="preserve">07    </w:t>
      </w:r>
      <w:r>
        <w:rPr>
          <w:rFonts w:ascii="Segoe UI" w:hAnsi="Segoe UI" w:cs="Segoe UI"/>
          <w:sz w:val="22"/>
          <w:szCs w:val="22"/>
          <w:color w:val="1A1A1A"/>
        </w:rPr>
        <w:t xml:space="preserve">The PaySick Shield Framework: Target Underwriting Model</w:t>
      </w:r>
    </w:p>
    <w:p>
      <w:pPr>
        <w:spacing w:before="60" w:after="60" w:line="300" w:lineRule="auto"/>
      </w:pPr>
      <w:r>
        <w:rPr>
          <w:rFonts w:ascii="Segoe UI" w:hAnsi="Segoe UI" w:cs="Segoe UI"/>
          <w:b/>
          <w:bCs/>
          <w:sz w:val="20"/>
          <w:szCs w:val="20"/>
          <w:color w:val="C0C0C0"/>
        </w:rPr>
        <w:t xml:space="preserve">08    </w:t>
      </w:r>
      <w:r>
        <w:rPr>
          <w:rFonts w:ascii="Segoe UI" w:hAnsi="Segoe UI" w:cs="Segoe UI"/>
          <w:sz w:val="22"/>
          <w:szCs w:val="22"/>
          <w:color w:val="1A1A1A"/>
        </w:rPr>
        <w:t xml:space="preserve">The Ideal Operating State: Shielded Underwriting Model</w:t>
      </w:r>
    </w:p>
    <w:p>
      <w:pPr>
        <w:spacing w:before="60" w:after="60" w:line="300" w:lineRule="auto"/>
      </w:pPr>
      <w:r>
        <w:rPr>
          <w:rFonts w:ascii="Segoe UI" w:hAnsi="Segoe UI" w:cs="Segoe UI"/>
          <w:b/>
          <w:bCs/>
          <w:sz w:val="20"/>
          <w:szCs w:val="20"/>
          <w:color w:val="C0C0C0"/>
        </w:rPr>
        <w:t xml:space="preserve">09    </w:t>
      </w:r>
      <w:r>
        <w:rPr>
          <w:rFonts w:ascii="Segoe UI" w:hAnsi="Segoe UI" w:cs="Segoe UI"/>
          <w:sz w:val="22"/>
          <w:szCs w:val="22"/>
          <w:color w:val="1A1A1A"/>
        </w:rPr>
        <w:t xml:space="preserve">Global Replicability: Scaling the Framework</w:t>
      </w:r>
    </w:p>
    <w:p>
      <w:pPr>
        <w:spacing w:before="60" w:after="60" w:line="300" w:lineRule="auto"/>
      </w:pPr>
      <w:r>
        <w:rPr>
          <w:rFonts w:ascii="Segoe UI" w:hAnsi="Segoe UI" w:cs="Segoe UI"/>
          <w:b/>
          <w:bCs/>
          <w:sz w:val="20"/>
          <w:szCs w:val="20"/>
          <w:color w:val="C0C0C0"/>
        </w:rPr>
        <w:t xml:space="preserve">10    </w:t>
      </w:r>
      <w:r>
        <w:rPr>
          <w:rFonts w:ascii="Segoe UI" w:hAnsi="Segoe UI" w:cs="Segoe UI"/>
          <w:sz w:val="22"/>
          <w:szCs w:val="22"/>
          <w:color w:val="1A1A1A"/>
        </w:rPr>
        <w:t xml:space="preserve">Risk-Sharing Waterfall: Who Bears What</w:t>
      </w:r>
    </w:p>
    <w:p>
      <w:pPr>
        <w:spacing w:before="60" w:after="60" w:line="300" w:lineRule="auto"/>
      </w:pPr>
      <w:r>
        <w:rPr>
          <w:rFonts w:ascii="Segoe UI" w:hAnsi="Segoe UI" w:cs="Segoe UI"/>
          <w:b/>
          <w:bCs/>
          <w:sz w:val="20"/>
          <w:szCs w:val="20"/>
          <w:color w:val="C0C0C0"/>
        </w:rPr>
        <w:t xml:space="preserve">11    </w:t>
      </w:r>
      <w:r>
        <w:rPr>
          <w:rFonts w:ascii="Segoe UI" w:hAnsi="Segoe UI" w:cs="Segoe UI"/>
          <w:sz w:val="22"/>
          <w:szCs w:val="22"/>
          <w:color w:val="1A1A1A"/>
        </w:rPr>
        <w:t xml:space="preserve">Conclusion</w:t>
      </w:r>
    </w:p>
    <w:p>
      <w:pPr>
        <w:spacing w:before="60" w:after="60" w:line="300" w:lineRule="auto"/>
      </w:pPr>
      <w:r>
        <w:rPr>
          <w:rFonts w:ascii="Segoe UI" w:hAnsi="Segoe UI" w:cs="Segoe UI"/>
          <w:sz w:val="22"/>
          <w:szCs w:val="22"/>
          <w:color w:val="1A1A1A"/>
        </w:rPr>
        <w:t xml:space="preserve">References</w:t>
      </w:r>
    </w:p>
    <w:p>
      <w:pPr>
        <w:spacing w:after="200" w:line="240" w:lineRule="auto"/>
      </w:pPr>
      <w:r>
        <w:rPr>
          <w:rFonts w:ascii="Segoe UI" w:hAnsi="Segoe UI" w:cs="Segoe UI"/>
        </w:rPr>
        <w:t xml:space="preserve"/>
      </w:r>
    </w:p>
    <w:p>
      <w:pPr>
        <w:keepNext/>
        <w:pageBreakBefore/>
        <w:spacing w:before="0" w:after="80" w:line="288" w:lineRule="auto"/>
      </w:pPr>
      <w:r>
        <w:rPr>
          <w:rFonts w:ascii="Segoe UI" w:hAnsi="Segoe UI" w:cs="Segoe UI"/>
          <w:b/>
          <w:bCs/>
          <w:sz w:val="52"/>
          <w:szCs w:val="52"/>
          <w:color w:val="1A1A1A"/>
        </w:rPr>
        <w:t xml:space="preserve">Abstract</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This paper presents a comprehensive risk management framework for healthcare-specific consumer lending in emerging markets, with South Africa as the primary case study. The framework addresses a critical gap in the literature on point-of-care financing: how to structurally prevent adverse selection and maintain loss rates below 2% in a market characterised by 84% uninsured population, 10:1 private-to-public healthcare expenditure disparity, and 32% structural unemployment. Drawing on empirical data from global BNPL loss experience (Richmond Federal Reserve, 2025), healthcare credit performance over 25 years (Prospect Capital Management, 2025), and South African socioeconomic data (Statistics South Africa, 2023), the paper identifies a dual addressable market of approximately 19.6 million adults comprising medical aid holders requiring gap financing and uninsured out-of-pocket private healthcare users. It maps four distinct adverse selection relationships inherent in healthcare lending marketplaces, quantifies their financial impact through scenario analysis across six stress states, and proposes the PaySick Shield Framework: a five-layer control architecture encompassing provider gating, patient underwriting, lender curation, outcome monitoring, and portfolio circuit breakers. The framework is designed to survive actuarial scrutiny and is calibrated for global replicability across any market where healthcare is privately financed.</w:t>
      </w:r>
    </w:p>
    <w:p>
      <w:pPr>
        <w:spacing w:after="160" w:line="300" w:lineRule="auto"/>
      </w:pPr>
      <w:r>
        <w:rPr>
          <w:rFonts w:ascii="Segoe UI" w:hAnsi="Segoe UI" w:cs="Segoe UI"/>
          <w:b/>
          <w:bCs/>
          <w:i/>
          <w:iCs/>
          <w:sz w:val="20"/>
          <w:szCs w:val="20"/>
          <w:color w:val="1A1A1A"/>
        </w:rPr>
        <w:t xml:space="preserve">Keywords: </w:t>
      </w:r>
      <w:r>
        <w:rPr>
          <w:rFonts w:ascii="Segoe UI" w:hAnsi="Segoe UI" w:cs="Segoe UI"/>
          <w:i/>
          <w:iCs/>
          <w:sz w:val="20"/>
          <w:szCs w:val="20"/>
          <w:color w:val="333333"/>
        </w:rPr>
        <w:t xml:space="preserve">Healthcare financing, adverse selection, underwriting risk, BNPL, medical lending, emerging markets, South Africa, credit risk framework, provider moral hazard, portfolio construction.</w:t>
      </w:r>
    </w:p>
    <w:p>
      <w:pPr>
        <w:spacing w:after="20" w:line="240" w:lineRule="auto"/>
      </w:pPr>
      <w:r>
        <w:rPr>
          <w:rFonts w:ascii="Segoe UI" w:hAnsi="Segoe UI" w:cs="Segoe UI"/>
          <w:b/>
          <w:bCs/>
          <w:caps/>
          <w:sz w:val="18"/>
          <w:szCs w:val="18"/>
          <w:color w:val="E01E37"/>
          <w:spacing w:val="80"/>
        </w:rPr>
        <w:t xml:space="preserve">Section 01</w:t>
      </w:r>
    </w:p>
    <w:p>
      <w:pPr>
        <w:keepNext/>
        <w:pageBreakBefore/>
        <w:spacing w:before="0" w:after="80" w:line="288" w:lineRule="auto"/>
      </w:pPr>
      <w:r>
        <w:rPr>
          <w:rFonts w:ascii="Segoe UI" w:hAnsi="Segoe UI" w:cs="Segoe UI"/>
          <w:b/>
          <w:bCs/>
          <w:sz w:val="52"/>
          <w:szCs w:val="52"/>
          <w:color w:val="1A1A1A"/>
        </w:rPr>
        <w:t xml:space="preserve">Executive Summary</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This white paper presents PaySick’s comprehensive framework for managing underwriting risk and adverse selection in healthcare lending. It addresses three critical questions that investors, lenders, and regulators ask of any healthcare financing platform: what causes losses, how bad can they get, and what structural controls prevent catastrophic outcomes.</w:t>
      </w:r>
    </w:p>
    <w:p>
      <w:pPr>
        <w:spacing w:after="160" w:line="300" w:lineRule="auto"/>
      </w:pPr>
      <w:r>
        <w:rPr>
          <w:rFonts w:ascii="Segoe UI" w:hAnsi="Segoe UI" w:cs="Segoe UI"/>
          <w:sz w:val="22"/>
          <w:szCs w:val="22"/>
          <w:color w:val="333333"/>
        </w:rPr>
        <w:t xml:space="preserve">Healthcare lending operates in a fundamentally different risk environment from retail Buy Now, Pay Later (BNPL). The global BNPL sector reached $560 billion in gross merchandise volume in 2025, yet late payment rates among users have climbed to 42%, with 78% of subprime applicants being approved. This is not a model to replicate. PaySick’s thesis is that healthcare-specific underwriting, embedded at the point of care through direct provider integration, produces structurally superior loss rates because it eliminates the information asymmetries that drive adverse selection in generic consumer lending.</w:t>
      </w:r>
    </w:p>
    <w:p>
      <w:pPr>
        <w:spacing w:after="160" w:line="300" w:lineRule="auto"/>
      </w:pPr>
      <w:r>
        <w:rPr>
          <w:rFonts w:ascii="Segoe UI" w:hAnsi="Segoe UI" w:cs="Segoe UI"/>
          <w:sz w:val="22"/>
          <w:szCs w:val="22"/>
          <w:color w:val="333333"/>
        </w:rPr>
        <w:t xml:space="preserve">This paper maps every relationship in the PaySick ecosystem where adverse selection can emerge, including the provider-to-platform, patient-to-platform, lender-to-platform, and patient-to-provider relationships. For each, it identifies the mechanism of adverse selection, models the financial impact through scenario analysis, and prescribes specific structural controls. The result is a target underwriting model, the PaySick Shield Framework, that is designed to maintain net loss rates below 2% across economic cycles and is replicable across any market where healthcare is financed privately.</w:t>
      </w:r>
    </w:p>
    <w:p>
      <w:pPr>
        <w:spacing w:after="160" w:line="300" w:lineRule="auto"/>
      </w:pPr>
      <w:r>
        <w:rPr>
          <w:rFonts w:ascii="Segoe UI" w:hAnsi="Segoe UI" w:cs="Segoe UI"/>
          <w:sz w:val="22"/>
          <w:szCs w:val="22"/>
          <w:color w:val="333333"/>
        </w:rPr>
        <w:t xml:space="preserve">The framework is anchored in South Africa, where 84% of the population lacks medical aid coverage and the private healthcare sector serves roughly 16% of citizens at ten times the per-capita expenditure of the public sector. However, every control mechanism is designed to be market-agnostic, requiring only localised calibration of regulatory thresholds, affordability ceilings, and provider onboarding criteria.</w:t>
      </w:r>
    </w:p>
    <w:p>
      <w:pPr>
        <w:spacing w:after="20" w:line="240" w:lineRule="auto"/>
      </w:pPr>
      <w:r>
        <w:rPr>
          <w:rFonts w:ascii="Segoe UI" w:hAnsi="Segoe UI" w:cs="Segoe UI"/>
          <w:b/>
          <w:bCs/>
          <w:caps/>
          <w:sz w:val="18"/>
          <w:szCs w:val="18"/>
          <w:color w:val="E01E37"/>
          <w:spacing w:val="80"/>
        </w:rPr>
        <w:t xml:space="preserve">Section 02</w:t>
      </w:r>
    </w:p>
    <w:p>
      <w:pPr>
        <w:keepNext/>
        <w:pageBreakBefore/>
        <w:spacing w:before="0" w:after="80" w:line="288" w:lineRule="auto"/>
      </w:pPr>
      <w:r>
        <w:rPr>
          <w:rFonts w:ascii="Segoe UI" w:hAnsi="Segoe UI" w:cs="Segoe UI"/>
          <w:b/>
          <w:bCs/>
          <w:sz w:val="52"/>
          <w:szCs w:val="52"/>
          <w:color w:val="1A1A1A"/>
        </w:rPr>
        <w:t xml:space="preserve">Market Context: The Case for Healthcare-Specific Underwriting</w:t>
      </w:r>
    </w:p>
    <w:p>
      <w:pPr>
        <w:spacing w:after="280" w:line="240" w:lineRule="auto"/>
        <w:pBdr>
          <w:bottom w:val="single" w:sz="12" w:space="6" w:color="E01E37"/>
        </w:pBdr>
      </w:pPr>
      <w:r>
        <w:t xml:space="preserve"> </w:t>
      </w:r>
    </w:p>
    <w:p>
      <w:pPr>
        <w:keepNext/>
        <w:spacing w:before="360" w:after="160" w:line="288" w:lineRule="auto"/>
      </w:pPr>
      <w:r>
        <w:rPr>
          <w:rFonts w:ascii="Segoe UI" w:hAnsi="Segoe UI" w:cs="Segoe UI"/>
          <w:b/>
          <w:bCs/>
          <w:sz w:val="34"/>
          <w:szCs w:val="34"/>
          <w:color w:val="1A1A1A"/>
        </w:rPr>
        <w:t xml:space="preserve">2.1 The Global BNPL Risk Landscape</w:t>
      </w:r>
    </w:p>
    <w:p>
      <w:pPr>
        <w:spacing w:after="160" w:line="300" w:lineRule="auto"/>
      </w:pPr>
      <w:r>
        <w:rPr>
          <w:rFonts w:ascii="Segoe UI" w:hAnsi="Segoe UI" w:cs="Segoe UI"/>
          <w:sz w:val="22"/>
          <w:szCs w:val="22"/>
          <w:color w:val="333333"/>
        </w:rPr>
        <w:t xml:space="preserve">The BNPL industry has grown rapidly but is exhibiting systemic risk signals that healthcare lending must avoid. Key data points from 2024–2025 research inform our risk positioning:</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4500"/>
        <w:gridCol w:w="4526"/>
      </w:tblGrid>
      <w:tr>
        <w:trPr>
          <w:tblHeader/>
        </w:trPr>
        <w:tc>
          <w:tcPr>
            <w:tcW w:w="4500" w:type="dxa"/>
            <w:shd w:val="clear" w:color="auto" w:fill="2D2D2D"/>
            <w:vAlign w:val="center"/>
          </w:tcPr>
          <w:p>
            <w:pPr>
              <w:spacing w:before="70" w:after="70" w:line="240" w:lineRule="auto"/>
            </w:pPr>
            <w:r>
              <w:rPr>
                <w:rFonts w:ascii="Segoe UI" w:hAnsi="Segoe UI" w:cs="Segoe UI"/>
                <w:b/>
                <w:bCs/>
                <w:sz w:val="18"/>
                <w:szCs w:val="18"/>
                <w:color w:val="FFFFFF"/>
              </w:rPr>
              <w:t xml:space="preserve">Metric</w:t>
            </w:r>
          </w:p>
        </w:tc>
        <w:tc>
          <w:tcPr>
            <w:tcW w:w="4526" w:type="dxa"/>
            <w:shd w:val="clear" w:color="auto" w:fill="2D2D2D"/>
            <w:vAlign w:val="center"/>
          </w:tcPr>
          <w:p>
            <w:pPr>
              <w:spacing w:before="70" w:after="70" w:line="240" w:lineRule="auto"/>
            </w:pPr>
            <w:r>
              <w:rPr>
                <w:rFonts w:ascii="Segoe UI" w:hAnsi="Segoe UI" w:cs="Segoe UI"/>
                <w:b/>
                <w:bCs/>
                <w:sz w:val="18"/>
                <w:szCs w:val="18"/>
                <w:color w:val="FFFFFF"/>
              </w:rPr>
              <w:t xml:space="preserve">Data Point</w:t>
            </w:r>
          </w:p>
        </w:tc>
      </w:tr>
      <w:tr>
        <w:tc>
          <w:tcPr>
            <w:tcW w:w="4500" w:type="dxa"/>
            <w:shd w:val="clear" w:color="auto" w:fill="FFFFFF"/>
            <w:vAlign w:val="center"/>
          </w:tcPr>
          <w:p>
            <w:pPr>
              <w:spacing w:before="60" w:after="60" w:line="240" w:lineRule="auto"/>
            </w:pPr>
            <w:r>
              <w:rPr>
                <w:rFonts w:ascii="Segoe UI" w:hAnsi="Segoe UI" w:cs="Segoe UI"/>
                <w:b/>
                <w:bCs/>
                <w:sz w:val="18"/>
                <w:szCs w:val="18"/>
                <w:color w:val="333333"/>
              </w:rPr>
              <w:t xml:space="preserve">Global BNPL GMV (2025)</w:t>
            </w:r>
          </w:p>
        </w:tc>
        <w:tc>
          <w:tcPr>
            <w:tcW w:w="4526" w:type="dxa"/>
            <w:shd w:val="clear" w:color="auto" w:fill="FFFFFF"/>
            <w:vAlign w:val="center"/>
          </w:tcPr>
          <w:p>
            <w:pPr>
              <w:spacing w:before="60" w:after="60" w:line="240" w:lineRule="auto"/>
            </w:pPr>
            <w:r>
              <w:rPr>
                <w:rFonts w:ascii="Segoe UI" w:hAnsi="Segoe UI" w:cs="Segoe UI"/>
                <w:sz w:val="18"/>
                <w:szCs w:val="18"/>
                <w:color w:val="333333"/>
              </w:rPr>
              <w:t xml:space="preserve">$560.1 billion, 13.7% YoY growth</w:t>
            </w:r>
          </w:p>
        </w:tc>
      </w:tr>
      <w:tr>
        <w:tc>
          <w:tcPr>
            <w:tcW w:w="4500" w:type="dxa"/>
            <w:shd w:val="clear" w:color="auto" w:fill="F8F8F8"/>
            <w:vAlign w:val="center"/>
          </w:tcPr>
          <w:p>
            <w:pPr>
              <w:spacing w:before="60" w:after="60" w:line="240" w:lineRule="auto"/>
            </w:pPr>
            <w:r>
              <w:rPr>
                <w:rFonts w:ascii="Segoe UI" w:hAnsi="Segoe UI" w:cs="Segoe UI"/>
                <w:b/>
                <w:bCs/>
                <w:sz w:val="18"/>
                <w:szCs w:val="18"/>
                <w:color w:val="333333"/>
              </w:rPr>
              <w:t xml:space="preserve">BNPL users making late payments (2025)</w:t>
            </w:r>
          </w:p>
        </w:tc>
        <w:tc>
          <w:tcPr>
            <w:tcW w:w="4526" w:type="dxa"/>
            <w:shd w:val="clear" w:color="auto" w:fill="F8F8F8"/>
            <w:vAlign w:val="center"/>
          </w:tcPr>
          <w:p>
            <w:pPr>
              <w:spacing w:before="60" w:after="60" w:line="240" w:lineRule="auto"/>
            </w:pPr>
            <w:r>
              <w:rPr>
                <w:rFonts w:ascii="Segoe UI" w:hAnsi="Segoe UI" w:cs="Segoe UI"/>
                <w:sz w:val="18"/>
                <w:szCs w:val="18"/>
                <w:color w:val="333333"/>
              </w:rPr>
              <w:t xml:space="preserve">42%, up from 34% in 2023</w:t>
            </w:r>
          </w:p>
        </w:tc>
      </w:tr>
      <w:tr>
        <w:tc>
          <w:tcPr>
            <w:tcW w:w="4500" w:type="dxa"/>
            <w:shd w:val="clear" w:color="auto" w:fill="FFFFFF"/>
            <w:vAlign w:val="center"/>
          </w:tcPr>
          <w:p>
            <w:pPr>
              <w:spacing w:before="60" w:after="60" w:line="240" w:lineRule="auto"/>
            </w:pPr>
            <w:r>
              <w:rPr>
                <w:rFonts w:ascii="Segoe UI" w:hAnsi="Segoe UI" w:cs="Segoe UI"/>
                <w:b/>
                <w:bCs/>
                <w:sz w:val="18"/>
                <w:szCs w:val="18"/>
                <w:color w:val="333333"/>
              </w:rPr>
              <w:t xml:space="preserve">Subprime/deep subprime approval rate</w:t>
            </w:r>
          </w:p>
        </w:tc>
        <w:tc>
          <w:tcPr>
            <w:tcW w:w="4526" w:type="dxa"/>
            <w:shd w:val="clear" w:color="auto" w:fill="FFFFFF"/>
            <w:vAlign w:val="center"/>
          </w:tcPr>
          <w:p>
            <w:pPr>
              <w:spacing w:before="60" w:after="60" w:line="240" w:lineRule="auto"/>
            </w:pPr>
            <w:r>
              <w:rPr>
                <w:rFonts w:ascii="Segoe UI" w:hAnsi="Segoe UI" w:cs="Segoe UI"/>
                <w:sz w:val="18"/>
                <w:szCs w:val="18"/>
                <w:color w:val="333333"/>
              </w:rPr>
              <w:t xml:space="preserve">78% approved in BNPL vs standard credit</w:t>
            </w:r>
          </w:p>
        </w:tc>
      </w:tr>
      <w:tr>
        <w:tc>
          <w:tcPr>
            <w:tcW w:w="4500" w:type="dxa"/>
            <w:shd w:val="clear" w:color="auto" w:fill="F8F8F8"/>
            <w:vAlign w:val="center"/>
          </w:tcPr>
          <w:p>
            <w:pPr>
              <w:spacing w:before="60" w:after="60" w:line="240" w:lineRule="auto"/>
            </w:pPr>
            <w:r>
              <w:rPr>
                <w:rFonts w:ascii="Segoe UI" w:hAnsi="Segoe UI" w:cs="Segoe UI"/>
                <w:b/>
                <w:bCs/>
                <w:sz w:val="18"/>
                <w:szCs w:val="18"/>
                <w:color w:val="333333"/>
              </w:rPr>
              <w:t xml:space="preserve">Klarna Q1 2025 credit losses</w:t>
            </w:r>
          </w:p>
        </w:tc>
        <w:tc>
          <w:tcPr>
            <w:tcW w:w="4526" w:type="dxa"/>
            <w:shd w:val="clear" w:color="auto" w:fill="F8F8F8"/>
            <w:vAlign w:val="center"/>
          </w:tcPr>
          <w:p>
            <w:pPr>
              <w:spacing w:before="60" w:after="60" w:line="240" w:lineRule="auto"/>
            </w:pPr>
            <w:r>
              <w:rPr>
                <w:rFonts w:ascii="Segoe UI" w:hAnsi="Segoe UI" w:cs="Segoe UI"/>
                <w:sz w:val="18"/>
                <w:szCs w:val="18"/>
                <w:color w:val="333333"/>
              </w:rPr>
              <w:t xml:space="preserve">17% increase YoY to $137 million</w:t>
            </w:r>
          </w:p>
        </w:tc>
      </w:tr>
      <w:tr>
        <w:tc>
          <w:tcPr>
            <w:tcW w:w="4500" w:type="dxa"/>
            <w:shd w:val="clear" w:color="auto" w:fill="FFFFFF"/>
            <w:vAlign w:val="center"/>
          </w:tcPr>
          <w:p>
            <w:pPr>
              <w:spacing w:before="60" w:after="60" w:line="240" w:lineRule="auto"/>
            </w:pPr>
            <w:r>
              <w:rPr>
                <w:rFonts w:ascii="Segoe UI" w:hAnsi="Segoe UI" w:cs="Segoe UI"/>
                <w:b/>
                <w:bCs/>
                <w:sz w:val="18"/>
                <w:szCs w:val="18"/>
                <w:color w:val="333333"/>
              </w:rPr>
              <w:t xml:space="preserve">BNPL users who are financially fragile</w:t>
            </w:r>
          </w:p>
        </w:tc>
        <w:tc>
          <w:tcPr>
            <w:tcW w:w="4526" w:type="dxa"/>
            <w:shd w:val="clear" w:color="auto" w:fill="FFFFFF"/>
            <w:vAlign w:val="center"/>
          </w:tcPr>
          <w:p>
            <w:pPr>
              <w:spacing w:before="60" w:after="60" w:line="240" w:lineRule="auto"/>
            </w:pPr>
            <w:r>
              <w:rPr>
                <w:rFonts w:ascii="Segoe UI" w:hAnsi="Segoe UI" w:cs="Segoe UI"/>
                <w:sz w:val="18"/>
                <w:szCs w:val="18"/>
                <w:color w:val="333333"/>
              </w:rPr>
              <w:t xml:space="preserve">77.7% rely on financial coping strategies</w:t>
            </w:r>
          </w:p>
        </w:tc>
      </w:tr>
      <w:tr>
        <w:tc>
          <w:tcPr>
            <w:tcW w:w="4500" w:type="dxa"/>
            <w:shd w:val="clear" w:color="auto" w:fill="F8F8F8"/>
            <w:vAlign w:val="center"/>
          </w:tcPr>
          <w:p>
            <w:pPr>
              <w:spacing w:before="60" w:after="60" w:line="240" w:lineRule="auto"/>
            </w:pPr>
            <w:r>
              <w:rPr>
                <w:rFonts w:ascii="Segoe UI" w:hAnsi="Segoe UI" w:cs="Segoe UI"/>
                <w:b/>
                <w:bCs/>
                <w:sz w:val="18"/>
                <w:szCs w:val="18"/>
                <w:color w:val="333333"/>
              </w:rPr>
              <w:t xml:space="preserve">Healthcare loan cumulative default (2000–2025)</w:t>
            </w:r>
          </w:p>
        </w:tc>
        <w:tc>
          <w:tcPr>
            <w:tcW w:w="4526" w:type="dxa"/>
            <w:shd w:val="clear" w:color="auto" w:fill="F8F8F8"/>
            <w:vAlign w:val="center"/>
          </w:tcPr>
          <w:p>
            <w:pPr>
              <w:spacing w:before="60" w:after="60" w:line="240" w:lineRule="auto"/>
            </w:pPr>
            <w:r>
              <w:rPr>
                <w:rFonts w:ascii="Segoe UI" w:hAnsi="Segoe UI" w:cs="Segoe UI"/>
                <w:sz w:val="18"/>
                <w:szCs w:val="18"/>
                <w:color w:val="333333"/>
              </w:rPr>
              <w:t xml:space="preserve">1.6% across 25 years of data</w:t>
            </w:r>
          </w:p>
        </w:tc>
      </w:tr>
      <w:tr>
        <w:tc>
          <w:tcPr>
            <w:tcW w:w="4500" w:type="dxa"/>
            <w:shd w:val="clear" w:color="auto" w:fill="FFFFFF"/>
            <w:vAlign w:val="center"/>
          </w:tcPr>
          <w:p>
            <w:pPr>
              <w:spacing w:before="60" w:after="60" w:line="240" w:lineRule="auto"/>
            </w:pPr>
            <w:r>
              <w:rPr>
                <w:rFonts w:ascii="Segoe UI" w:hAnsi="Segoe UI" w:cs="Segoe UI"/>
                <w:b/>
                <w:bCs/>
                <w:sz w:val="18"/>
                <w:szCs w:val="18"/>
                <w:color w:val="333333"/>
              </w:rPr>
              <w:t xml:space="preserve">U.S. patient financing market (2024)</w:t>
            </w:r>
          </w:p>
        </w:tc>
        <w:tc>
          <w:tcPr>
            <w:tcW w:w="4526" w:type="dxa"/>
            <w:shd w:val="clear" w:color="auto" w:fill="FFFFFF"/>
            <w:vAlign w:val="center"/>
          </w:tcPr>
          <w:p>
            <w:pPr>
              <w:spacing w:before="60" w:after="60" w:line="240" w:lineRule="auto"/>
            </w:pPr>
            <w:r>
              <w:rPr>
                <w:rFonts w:ascii="Segoe UI" w:hAnsi="Segoe UI" w:cs="Segoe UI"/>
                <w:sz w:val="18"/>
                <w:szCs w:val="18"/>
                <w:color w:val="333333"/>
              </w:rPr>
              <w:t xml:space="preserve">$16 billion with 3.2% CAGR</w:t>
            </w:r>
          </w:p>
        </w:tc>
      </w:tr>
    </w:tbl>
    <w:p>
      <w:pPr>
        <w:spacing w:after="80" w:line="240" w:lineRule="auto"/>
      </w:pPr>
      <w:r>
        <w:rPr>
          <w:rFonts w:ascii="Segoe UI" w:hAnsi="Segoe UI" w:cs="Segoe UI"/>
          <w:b/>
          <w:bCs/>
          <w:i/>
          <w:iCs/>
          <w:sz w:val="18"/>
          <w:szCs w:val="18"/>
          <w:color w:val="8A8A8A"/>
        </w:rPr>
        <w:t xml:space="preserve">Sources: </w:t>
      </w:r>
      <w:r>
        <w:rPr>
          <w:rFonts w:ascii="Segoe UI" w:hAnsi="Segoe UI" w:cs="Segoe UI"/>
          <w:i/>
          <w:iCs/>
          <w:sz w:val="18"/>
          <w:szCs w:val="18"/>
          <w:color w:val="8A8A8A"/>
        </w:rPr>
        <w:t xml:space="preserve">Richmond Federal Reserve (2025); Morgan Stanley (2025); Prospect Capital Management (2025); CommerceHealthcare (2025); LendingTree (2025).</w:t>
      </w:r>
    </w:p>
    <w:p>
      <w:pPr>
        <w:spacing w:after="160" w:line="300" w:lineRule="auto"/>
      </w:pPr>
      <w:r>
        <w:rPr>
          <w:rFonts w:ascii="Segoe UI" w:hAnsi="Segoe UI" w:cs="Segoe UI"/>
          <w:sz w:val="22"/>
          <w:szCs w:val="22"/>
          <w:color w:val="333333"/>
        </w:rPr>
        <w:t xml:space="preserve">The contrast is stark: retail BNPL is experiencing accelerating late payments among an increasingly financially vulnerable user base, while healthcare lending has maintained a cumulative default rate of just 1.6% over 25 years. This divergence is not accidental. It reflects the fundamental difference between discretionary consumer spending and non-discretionary medical need.</w:t>
      </w:r>
    </w:p>
    <w:p>
      <w:pPr>
        <w:keepNext/>
        <w:spacing w:before="360" w:after="160" w:line="288" w:lineRule="auto"/>
      </w:pPr>
      <w:r>
        <w:rPr>
          <w:rFonts w:ascii="Segoe UI" w:hAnsi="Segoe UI" w:cs="Segoe UI"/>
          <w:b/>
          <w:bCs/>
          <w:sz w:val="34"/>
          <w:szCs w:val="34"/>
          <w:color w:val="1A1A1A"/>
        </w:rPr>
        <w:t xml:space="preserve">2.2 South Africa: The Launch Market</w:t>
      </w:r>
    </w:p>
    <w:p>
      <w:pPr>
        <w:spacing w:after="160" w:line="300" w:lineRule="auto"/>
      </w:pPr>
      <w:r>
        <w:rPr>
          <w:rFonts w:ascii="Segoe UI" w:hAnsi="Segoe UI" w:cs="Segoe UI"/>
          <w:sz w:val="22"/>
          <w:szCs w:val="22"/>
          <w:color w:val="333333"/>
        </w:rPr>
        <w:t xml:space="preserve">South Africa presents a uniquely compelling launch market for healthcare financing. The structural dynamics are as follows: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84% uninsured population: </w:t>
      </w:r>
      <w:r>
        <w:rPr>
          <w:rFonts w:ascii="Segoe UI" w:hAnsi="Segoe UI" w:cs="Segoe UI"/>
          <w:sz w:val="22"/>
          <w:szCs w:val="22"/>
          <w:color w:val="333333"/>
        </w:rPr>
        <w:t xml:space="preserve">84% of the population lacks medical aid coverage, creating massive unmet demand for healthcare financing mechanisms.</w:t>
      </w:r>
    </w:p>
    <w:p>
      <w:pPr>
        <w:spacing w:after="160" w:line="300" w:lineRule="auto"/>
      </w:pPr>
      <w:r>
        <w:rPr>
          <w:rFonts w:ascii="Segoe UI" w:hAnsi="Segoe UI" w:cs="Segoe UI"/>
          <w:sz w:val="22"/>
          <w:szCs w:val="22"/>
          <w:color w:val="333333"/>
        </w:rPr>
        <w:t xml:space="preserve">The root causes of this coverage gap are structural, not clinical. South Africa’s uninsured are not rejected by medical schemes; they are priced out. The Medical Schemes Act of 1998 mandates community rating, meaning schemes cannot refuse membership based on health status. The barriers are primarily economic: official unemployment stands at approximately 32% (expanded definition approximately 42%), average medical scheme contributions exceed R6,296 per family annually, and the informal employment sector, comprising roughly 30% of employed persons, has no access to employer-subsidised schemes. Medical inflation has consistently outpaced consumer price inflation, widening the affordability gap each year. This distinction is critical for PaySick’s actuarial positioning: the uninsured population is not inherently higher-risk from a health perspective. They are income-constrained. This means that with appropriate affordability controls, lending to this segment does not carry the elevated clinical risk that a CRO might instinctively associate with an uninsured population.</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15.7% medical aid coverage: </w:t>
      </w:r>
      <w:r>
        <w:rPr>
          <w:rFonts w:ascii="Segoe UI" w:hAnsi="Segoe UI" w:cs="Segoe UI"/>
          <w:sz w:val="22"/>
          <w:szCs w:val="22"/>
          <w:color w:val="333333"/>
        </w:rPr>
        <w:t xml:space="preserve">Only 8 million out of 63 million citizens have private medical scheme membership, a ratio that has remained essentially flat since 2002.</w:t>
      </w:r>
    </w:p>
    <w:p>
      <w:pPr>
        <w:spacing w:after="160" w:line="300" w:lineRule="auto"/>
      </w:pPr>
      <w:r>
        <w:rPr>
          <w:rFonts w:ascii="Segoe UI" w:hAnsi="Segoe UI" w:cs="Segoe UI"/>
          <w:sz w:val="22"/>
          <w:szCs w:val="22"/>
          <w:color w:val="333333"/>
        </w:rPr>
        <w:t xml:space="preserve">This stagnation followed a period of active decline. Prior to 2002, coverage was deteriorating. In 1989, deregulation under the Browne Commission allowed medical schemes to risk-rate premiums and exclude individuals deemed ‘medically uninsurable,’ triggering a rapid exodus of older and sicker members. Between 1993 and 1994 alone, 200,000 South Africans lost medical scheme coverage. From 1980 to 1990, private-sector doctors increased from 40% to 60% of the total medical workforce, but membership did not track this growth because premiums escalated faster than incomes. The Medical Schemes Act of 1998 re-introduced community rating and open enrolment, stabilising the decline, but by then premiums had structurally exceeded the affordability threshold for the majority of households. The contributing factors are worsening, not improving: medical inflation consistently outpaces CPI, unemployment remains above 30%, the informal economy is expanding, and National Health Insurance legislation, while signed in 2024, faces implementation uncertainty spanning a decade or more. For PaySick, this trend is significant: the healthcare financing gap is widening structurally, ensuring sustained and growing demand for the foreseeable future.</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10:1 expenditure gap: </w:t>
      </w:r>
      <w:r>
        <w:rPr>
          <w:rFonts w:ascii="Segoe UI" w:hAnsi="Segoe UI" w:cs="Segoe UI"/>
          <w:sz w:val="22"/>
          <w:szCs w:val="22"/>
          <w:color w:val="333333"/>
        </w:rPr>
        <w:t xml:space="preserve">Per-capita health expenditure is approximately $1,400 in the private sector versus $140 in the public sector, creating a two-tier system where affordability is the primary barrier to quality care.</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73% of GPs in private sector: </w:t>
      </w:r>
      <w:r>
        <w:rPr>
          <w:rFonts w:ascii="Segoe UI" w:hAnsi="Segoe UI" w:cs="Segoe UI"/>
          <w:sz w:val="22"/>
          <w:szCs w:val="22"/>
          <w:color w:val="333333"/>
        </w:rPr>
        <w:t xml:space="preserve">The majority of medical practitioners serve the 16% who can pay, leaving the public system chronically under-resourced.</w:t>
      </w:r>
    </w:p>
    <w:p>
      <w:pPr>
        <w:spacing w:after="160" w:line="300" w:lineRule="auto"/>
      </w:pPr>
      <w:r>
        <w:rPr>
          <w:rFonts w:ascii="Segoe UI" w:hAnsi="Segoe UI" w:cs="Segoe UI"/>
          <w:sz w:val="22"/>
          <w:szCs w:val="22"/>
          <w:color w:val="333333"/>
        </w:rPr>
        <w:t xml:space="preserve">PaySick’s exclusive focus on the private healthcare sector is a deliberate and advantageous strategic choice. Public healthcare in South Africa is free at the point of service, meaning there is nothing to finance. The private sector, however, is where patients have both the clinical need and some payment capacity, providers are commercially motivated and therefore incentivised to adopt financing tools that increase patient conversion, and procedure pricing is transparent and standardised. Critically, the addressable population extends well beyond the 16% with medical aid. An estimated 25% of uninsured South Africans already pay out-of-pocket for private care, choosing to sacrifice other spending for what they perceive as faster and higher-quality treatment. This creates a dual addressable market: medical aid holders who need gap financing for the difference between scheme coverage and actual procedure cost, and cash-paying uninsured patients who need structured repayment terms. Both segments present lower risk profiles than the broader uninsured population because they have demonstrated willingness and some capacity to pay for private healthcare.</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Zero dominant healthcare BNPL player: </w:t>
      </w:r>
      <w:r>
        <w:rPr>
          <w:rFonts w:ascii="Segoe UI" w:hAnsi="Segoe UI" w:cs="Segoe UI"/>
          <w:sz w:val="22"/>
          <w:szCs w:val="22"/>
          <w:color w:val="333333"/>
        </w:rPr>
        <w:t xml:space="preserve">No specialised healthcare financing platform has established market leadership, despite R240 billion in total addressable market.</w:t>
      </w:r>
    </w:p>
    <w:p>
      <w:pPr>
        <w:keepNext/>
        <w:spacing w:before="360" w:after="160" w:line="288" w:lineRule="auto"/>
      </w:pPr>
      <w:r>
        <w:rPr>
          <w:rFonts w:ascii="Segoe UI" w:hAnsi="Segoe UI" w:cs="Segoe UI"/>
          <w:b/>
          <w:bCs/>
          <w:sz w:val="34"/>
          <w:szCs w:val="34"/>
          <w:color w:val="1A1A1A"/>
        </w:rPr>
        <w:t xml:space="preserve">2.3 Scalability: Why the Framework is Market-Agnostic</w:t>
      </w:r>
    </w:p>
    <w:p>
      <w:pPr>
        <w:spacing w:after="160" w:line="300" w:lineRule="auto"/>
      </w:pPr>
      <w:r>
        <w:rPr>
          <w:rFonts w:ascii="Segoe UI" w:hAnsi="Segoe UI" w:cs="Segoe UI"/>
          <w:sz w:val="22"/>
          <w:szCs w:val="22"/>
          <w:color w:val="333333"/>
        </w:rPr>
        <w:t xml:space="preserve">While calibrated for South Africa, the PaySick underwriting framework is designed around universal healthcare financing principles. Every market where private healthcare exists shares three characteristics: information asymmetry between patients and lenders, provider moral hazard when financing eliminates collection risk, and adverse selection among patients who actively seek credit. The framework addresses each through structural controls that require only local calibration, not redesign, when entering new markets.</w:t>
      </w:r>
    </w:p>
    <w:p>
      <w:pPr>
        <w:spacing w:after="160" w:line="300" w:lineRule="auto"/>
      </w:pPr>
      <w:r>
        <w:rPr>
          <w:rFonts w:ascii="Segoe UI" w:hAnsi="Segoe UI" w:cs="Segoe UI"/>
          <w:sz w:val="22"/>
          <w:szCs w:val="22"/>
          <w:color w:val="333333"/>
        </w:rPr>
        <w:t xml:space="preserve">Africa’s broader healthcare financing landscape reinforces the opportunity. The continent bears 22% of the global disease burden but accounts for only 1% of global health expenditure, with average per-capita health spending of just $85 across the region. Out-of-pocket payments constitute 35% of total health expenditure in Africa, pushing an estimated 15 million people into poverty annually.</w:t>
      </w:r>
    </w:p>
    <w:p>
      <w:pPr>
        <w:spacing w:after="160" w:line="300" w:lineRule="auto"/>
      </w:pPr>
      <w:r>
        <w:rPr>
          <w:rFonts w:ascii="Segoe UI" w:hAnsi="Segoe UI" w:cs="Segoe UI"/>
          <w:sz w:val="22"/>
          <w:szCs w:val="22"/>
          <w:color w:val="333333"/>
        </w:rPr>
        <w:t xml:space="preserve">The mechanism of healthcare-induced poverty is specific and well-documented. A single hospital admission or surgical procedure can consume six to twelve months of household income, demanded as a lump-sum payment. The cascade is: medical emergency occurs, family liquidates savings and productive assets such as livestock or equipment, borrows from informal lenders at rates frequently exceeding 30% per annum, defaults on existing obligations, and enters a debt spiral that may take years to escape. In South Africa, where seven in ten households use public facilities as their first option specifically because of affordability, those who do access private care often do so in crisis, compounding the financial shock.</w:t>
      </w:r>
    </w:p>
    <w:p>
      <w:pPr>
        <w:spacing w:after="160" w:line="300" w:lineRule="auto"/>
      </w:pPr>
      <w:r>
        <w:rPr>
          <w:rFonts w:ascii="Segoe UI" w:hAnsi="Segoe UI" w:cs="Segoe UI"/>
          <w:sz w:val="22"/>
          <w:szCs w:val="22"/>
          <w:color w:val="333333"/>
        </w:rPr>
        <w:t xml:space="preserve">A legitimate actuarial question is whether PaySick’s model adds to this debt burden rather than alleviating it. The answer depends entirely on underwriting discipline. PaySick reduces poverty risk versus the status quo through four structural mechanisms. First, structured repayments replace catastrophic lump-sum payments, converting an unmanageable shock into a budgetable monthly obligation. Second, the hard affordability ceiling of 15–20% of verified monthly income prevents over-extension by design, a control that informal lenders and credit cards do not impose. Third, transparent and regulated pricing under the NCA replaces predatory informal lending rates. Fourth, and critically, patients who would otherwise defer care due to cost end up requiring more expensive emergency treatment later; early intervention at lower cost is both clinically and financially superior. PaySick is not introducing debt to a debt-free population. It is replacing worse forms of debt, including informal lending, credit card cash advances, family borrowing with relationship costs, and complete care deferral, with structured, affordable, transparent healthcare financing.</w:t>
      </w:r>
    </w:p>
    <w:p>
      <w:pPr>
        <w:spacing w:after="20" w:line="240" w:lineRule="auto"/>
      </w:pPr>
      <w:r>
        <w:rPr>
          <w:rFonts w:ascii="Segoe UI" w:hAnsi="Segoe UI" w:cs="Segoe UI"/>
          <w:b/>
          <w:bCs/>
          <w:caps/>
          <w:sz w:val="18"/>
          <w:szCs w:val="18"/>
          <w:color w:val="E01E37"/>
          <w:spacing w:val="80"/>
        </w:rPr>
        <w:t xml:space="preserve">Section 03</w:t>
      </w:r>
    </w:p>
    <w:p>
      <w:pPr>
        <w:keepNext/>
        <w:pageBreakBefore/>
        <w:spacing w:before="0" w:after="80" w:line="288" w:lineRule="auto"/>
      </w:pPr>
      <w:r>
        <w:rPr>
          <w:rFonts w:ascii="Segoe UI" w:hAnsi="Segoe UI" w:cs="Segoe UI"/>
          <w:b/>
          <w:bCs/>
          <w:sz w:val="52"/>
          <w:szCs w:val="52"/>
          <w:color w:val="1A1A1A"/>
        </w:rPr>
        <w:t xml:space="preserve">Addressable Population Analysis: Quantifying the Target Market</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A robust risk framework requires a precise understanding of the population to which it will be applied. PaySick’s addressable market is not the full 63 million South African population. It is two precisely defined segments totalling approximately 19.6 million adults, each with distinct income profiles, behavioural attributes, and risk characteristics. This section quantifies both segments with the specificity required for actuarial modelling and credit committee approval.</w:t>
      </w:r>
    </w:p>
    <w:p>
      <w:pPr>
        <w:keepNext/>
        <w:spacing w:before="360" w:after="160" w:line="288" w:lineRule="auto"/>
      </w:pPr>
      <w:r>
        <w:rPr>
          <w:rFonts w:ascii="Segoe UI" w:hAnsi="Segoe UI" w:cs="Segoe UI"/>
          <w:b/>
          <w:bCs/>
          <w:sz w:val="34"/>
          <w:szCs w:val="34"/>
          <w:color w:val="1A1A1A"/>
        </w:rPr>
        <w:t xml:space="preserve">3.1 Segment 1: Medical Aid Holders Requiring Gap Financing</w:t>
      </w:r>
    </w:p>
    <w:p>
      <w:pPr>
        <w:spacing w:after="160" w:line="300" w:lineRule="auto"/>
      </w:pPr>
      <w:r>
        <w:rPr>
          <w:rFonts w:ascii="Segoe UI" w:hAnsi="Segoe UI" w:cs="Segoe UI"/>
          <w:sz w:val="22"/>
          <w:szCs w:val="22"/>
          <w:color w:val="333333"/>
        </w:rPr>
        <w:t xml:space="preserve">Approximately 9.7 million South Africans hold medical aid coverage (Statistics South Africa, 2023). These individuals are formally employed and predominantly fall within LSM 8–10, the upper-middle to affluent living standards tiers. Discovery Bank’s SpendTrend 2024 report categorises middle-income South Africans as earning between R100,000 and R350,000 per annum, approximately R8,000 to R29,000 per month (Discovery Bank, 2024). Medical aid holders skew to the upper end of this distribution, as monthly scheme contributions of R2,000 to R6,000 require substantial disposable income.</w:t>
      </w:r>
    </w:p>
    <w:p>
      <w:pPr>
        <w:keepNext/>
        <w:spacing w:before="280" w:after="100" w:line="288" w:lineRule="auto"/>
      </w:pPr>
      <w:r>
        <w:rPr>
          <w:rFonts w:ascii="Segoe UI" w:hAnsi="Segoe UI" w:cs="Segoe UI"/>
          <w:b/>
          <w:bCs/>
          <w:sz w:val="26"/>
          <w:szCs w:val="26"/>
          <w:color w:val="1A1A1A"/>
        </w:rPr>
        <w:t xml:space="preserve">Buying Power</w:t>
      </w:r>
    </w:p>
    <w:p>
      <w:pPr>
        <w:spacing w:after="160" w:line="300" w:lineRule="auto"/>
      </w:pPr>
      <w:r>
        <w:rPr>
          <w:rFonts w:ascii="Segoe UI" w:hAnsi="Segoe UI" w:cs="Segoe UI"/>
          <w:sz w:val="22"/>
          <w:szCs w:val="22"/>
          <w:color w:val="333333"/>
        </w:rPr>
        <w:t xml:space="preserve">Medical scheme members already spend on healthcare, but scheme coverage is not complete. The Council for Medical Schemes reports that medical schemes expend an average of 92% of member contributions on healthcare costs (Council for Medical Schemes, 2018), yet co-payments, specialist shortfalls, and procedures exceeding Prescribed Minimum Benefits create out-of-pocket exposure ranging from R5,000 to R50,000 per procedure depending on complexity and scheme tier. Per-capita private healthcare expenditure in South Africa was approximately R22,891 (approximately $1,242) in 2019, compared to R4,667 ($253) in the public sector (Schneider et al., 2024). This 4.9x expenditure gap means even insured patients face significant residual costs.</w:t>
      </w:r>
    </w:p>
    <w:p>
      <w:pPr>
        <w:keepNext/>
        <w:spacing w:before="280" w:after="100" w:line="288" w:lineRule="auto"/>
      </w:pPr>
      <w:r>
        <w:rPr>
          <w:rFonts w:ascii="Segoe UI" w:hAnsi="Segoe UI" w:cs="Segoe UI"/>
          <w:b/>
          <w:bCs/>
          <w:sz w:val="26"/>
          <w:szCs w:val="26"/>
          <w:color w:val="1A1A1A"/>
        </w:rPr>
        <w:t xml:space="preserve">Behavioural Attributes</w:t>
      </w:r>
    </w:p>
    <w:p>
      <w:pPr>
        <w:spacing w:after="160" w:line="300" w:lineRule="auto"/>
      </w:pPr>
      <w:r>
        <w:rPr>
          <w:rFonts w:ascii="Segoe UI" w:hAnsi="Segoe UI" w:cs="Segoe UI"/>
          <w:sz w:val="22"/>
          <w:szCs w:val="22"/>
          <w:color w:val="333333"/>
        </w:rPr>
        <w:t xml:space="preserve">This segment is financially literate, fully banked, smartphone-enabled, and accustomed to structured credit products. They hold existing home loans, vehicle finance, and insurance policies. Their decision to use PaySick is not driven by inability to pay, but by a preference to preserve cash flow and avoid liquidating savings for an unexpected medical shortfall. In credit risk terminology, these are convenience borrowers: they could pay the full amount but prefer structured instalments. This behavioural profile produces the lowest probability of default in the portfolio.</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3500"/>
        <w:gridCol w:w="5526"/>
      </w:tblGrid>
      <w:tr>
        <w:trPr>
          <w:tblHeader/>
        </w:trPr>
        <w:tc>
          <w:tcPr>
            <w:tcW w:w="3500" w:type="dxa"/>
            <w:shd w:val="clear" w:color="auto" w:fill="2D2D2D"/>
            <w:vAlign w:val="center"/>
          </w:tcPr>
          <w:p>
            <w:pPr>
              <w:spacing w:before="70" w:after="70" w:line="240" w:lineRule="auto"/>
            </w:pPr>
            <w:r>
              <w:rPr>
                <w:rFonts w:ascii="Segoe UI" w:hAnsi="Segoe UI" w:cs="Segoe UI"/>
                <w:b/>
                <w:bCs/>
                <w:sz w:val="18"/>
                <w:szCs w:val="18"/>
                <w:color w:val="FFFFFF"/>
              </w:rPr>
              <w:t xml:space="preserve">Attribute</w:t>
            </w:r>
          </w:p>
        </w:tc>
        <w:tc>
          <w:tcPr>
            <w:tcW w:w="5526" w:type="dxa"/>
            <w:shd w:val="clear" w:color="auto" w:fill="2D2D2D"/>
            <w:vAlign w:val="center"/>
          </w:tcPr>
          <w:p>
            <w:pPr>
              <w:spacing w:before="70" w:after="70" w:line="240" w:lineRule="auto"/>
            </w:pPr>
            <w:r>
              <w:rPr>
                <w:rFonts w:ascii="Segoe UI" w:hAnsi="Segoe UI" w:cs="Segoe UI"/>
                <w:b/>
                <w:bCs/>
                <w:sz w:val="18"/>
                <w:szCs w:val="18"/>
                <w:color w:val="FFFFFF"/>
              </w:rPr>
              <w:t xml:space="preserve">Segment 1: Gap Financing</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Population size</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~9.7 million individuals</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LSM classification</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LSM 8–10 (upper-middle to affluent)</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Monthly household income</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R13,000 – R32,000+ per month</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Employment status</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Formally employed, employer-subsidised scheme</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Banking status</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Fully banked, multiple credit facilities</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Digital readiness</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High: smartphone, app-literate, digital payments</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Average loan requirement</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R3,000 – R25,000 (gap amount)</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Loan term</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3 – 12 months</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Expected PD</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1.5 – 2.0%</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Primary motivation</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Cash flow preservation, convenience</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Acquisition channel</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Medical aid scheme partnerships, employer wellness programmes, provider referral</w:t>
            </w:r>
          </w:p>
        </w:tc>
      </w:tr>
    </w:tbl>
    <w:p>
      <w:pPr>
        <w:spacing w:after="60" w:line="240" w:lineRule="auto"/>
      </w:pPr>
      <w:r>
        <w:rPr>
          <w:rFonts w:ascii="Segoe UI" w:hAnsi="Segoe UI" w:cs="Segoe UI"/>
        </w:rPr>
        <w:t xml:space="preserve"/>
      </w:r>
    </w:p>
    <w:p>
      <w:pPr>
        <w:spacing w:after="160" w:line="300" w:lineRule="auto"/>
      </w:pPr>
      <w:r>
        <w:rPr>
          <w:rFonts w:ascii="Segoe UI" w:hAnsi="Segoe UI" w:cs="Segoe UI"/>
          <w:b/>
          <w:bCs/>
          <w:sz w:val="22"/>
          <w:szCs w:val="22"/>
          <w:color w:val="1A1A1A"/>
        </w:rPr>
        <w:t xml:space="preserve">PaySick product fit: </w:t>
      </w:r>
      <w:r>
        <w:rPr>
          <w:rFonts w:ascii="Segoe UI" w:hAnsi="Segoe UI" w:cs="Segoe UI"/>
          <w:sz w:val="22"/>
          <w:szCs w:val="22"/>
          <w:color w:val="333333"/>
        </w:rPr>
        <w:t xml:space="preserve">Gap financing for the difference between medical aid reimbursement and actual procedure cost. Short-term, small to medium loans with rapid approval. This segment functions as the low-risk anchor of the portfolio, the actuarial bedrock upon which a diversified healthcare lending book is constructed.</w:t>
      </w:r>
    </w:p>
    <w:p>
      <w:pPr>
        <w:keepNext/>
        <w:spacing w:before="360" w:after="160" w:line="288" w:lineRule="auto"/>
      </w:pPr>
      <w:r>
        <w:rPr>
          <w:rFonts w:ascii="Segoe UI" w:hAnsi="Segoe UI" w:cs="Segoe UI"/>
          <w:b/>
          <w:bCs/>
          <w:sz w:val="34"/>
          <w:szCs w:val="34"/>
          <w:color w:val="1A1A1A"/>
        </w:rPr>
        <w:t xml:space="preserve">3.2 Segment 2: Uninsured Out-of-Pocket Private Healthcare Users</w:t>
      </w:r>
    </w:p>
    <w:p>
      <w:pPr>
        <w:spacing w:after="160" w:line="300" w:lineRule="auto"/>
      </w:pPr>
      <w:r>
        <w:rPr>
          <w:rFonts w:ascii="Segoe UI" w:hAnsi="Segoe UI" w:cs="Segoe UI"/>
          <w:sz w:val="22"/>
          <w:szCs w:val="22"/>
          <w:color w:val="333333"/>
        </w:rPr>
        <w:t xml:space="preserve">Research published in BMC Public Health estimates that up to 28% of the South African population access private primary healthcare services, with a meaningful proportion of the low-income, uninsured population paying out-of-pocket (De Villiers et al., 2021). The New England Journal of Medicine reports that up to 25% of uninsured South Africans pay out-of-pocket for private-sector care (Mayosi &amp; Benatar, 2014). Applied to the approximately 45 million uninsured individuals, this yields an estimated 11.25 million people who already use private healthcare without insurance. PaySick’s addressable subset is the adult cohort with verifiable income, estimated at 9.9 million individuals.</w:t>
      </w:r>
    </w:p>
    <w:p>
      <w:pPr>
        <w:keepNext/>
        <w:spacing w:before="280" w:after="100" w:line="288" w:lineRule="auto"/>
      </w:pPr>
      <w:r>
        <w:rPr>
          <w:rFonts w:ascii="Segoe UI" w:hAnsi="Segoe UI" w:cs="Segoe UI"/>
          <w:b/>
          <w:bCs/>
          <w:sz w:val="26"/>
          <w:szCs w:val="26"/>
          <w:color w:val="1A1A1A"/>
        </w:rPr>
        <w:t xml:space="preserve">Income Profile</w:t>
      </w:r>
    </w:p>
    <w:p>
      <w:pPr>
        <w:spacing w:after="160" w:line="300" w:lineRule="auto"/>
      </w:pPr>
      <w:r>
        <w:rPr>
          <w:rFonts w:ascii="Segoe UI" w:hAnsi="Segoe UI" w:cs="Segoe UI"/>
          <w:sz w:val="22"/>
          <w:szCs w:val="22"/>
          <w:color w:val="333333"/>
        </w:rPr>
        <w:t xml:space="preserve">This segment spans LSM 5–8, earning between R4,165 and R13,210 or more per month (SAARF, 2023). They are employed but in occupations that do not provide employer-subsidised medical scheme access: retail, hospitality, construction, domestic work, the gig economy, and the informal sector. Many earn R8,000 to R15,000 per month, sufficient to cover a private GP consultation at R400 to R800 but insufficient to absorb a R12,000 or greater hospital procedure without financing. Consumer healthcare spending per capita in South Africa is forecast at approximately US$304 for 2025 (Statista, 2025). For this segment, healthcare spending is reactive and cash-constrained.</w:t>
      </w:r>
    </w:p>
    <w:p>
      <w:pPr>
        <w:keepNext/>
        <w:spacing w:before="280" w:after="100" w:line="288" w:lineRule="auto"/>
      </w:pPr>
      <w:r>
        <w:rPr>
          <w:rFonts w:ascii="Segoe UI" w:hAnsi="Segoe UI" w:cs="Segoe UI"/>
          <w:b/>
          <w:bCs/>
          <w:sz w:val="26"/>
          <w:szCs w:val="26"/>
          <w:color w:val="1A1A1A"/>
        </w:rPr>
        <w:t xml:space="preserve">Buying Power and Healthcare-Seeking Behaviour</w:t>
      </w:r>
    </w:p>
    <w:p>
      <w:pPr>
        <w:spacing w:after="160" w:line="300" w:lineRule="auto"/>
      </w:pPr>
      <w:r>
        <w:rPr>
          <w:rFonts w:ascii="Segoe UI" w:hAnsi="Segoe UI" w:cs="Segoe UI"/>
          <w:sz w:val="22"/>
          <w:szCs w:val="22"/>
          <w:color w:val="333333"/>
        </w:rPr>
        <w:t xml:space="preserve">These individuals choose private care over the free public alternative specifically because of perceived quality and speed. Research confirms that the perceived benefits and quality of care are a strong contributing factor to patient movement between sectors, particularly when care is deemed urgent or critical and funds make this possible (De Villiers et al., 2021). They are willing payers constrained by lump-sum pricing, not unwilling payers.</w:t>
      </w:r>
    </w:p>
    <w:p>
      <w:pPr>
        <w:spacing w:after="160" w:line="300" w:lineRule="auto"/>
      </w:pPr>
      <w:r>
        <w:rPr>
          <w:rFonts w:ascii="Segoe UI" w:hAnsi="Segoe UI" w:cs="Segoe UI"/>
          <w:sz w:val="22"/>
          <w:szCs w:val="22"/>
          <w:color w:val="333333"/>
        </w:rPr>
        <w:t xml:space="preserve">Their current coping mechanisms for medical expenses include: informal borrowing from family networks (most common, carrying relationship costs and social debt), mashonisa or informal lenders charging 30–50% effective annual rates, credit card cash advances at 20%+ rates, or complete deferral of care until emergency presentation. DebtBusters’ Quarterly Debt Index for Q2 2024 reports that South Africans earning the average middle-income salary spend 63% of their income on debt repayments (DebtBusters, 2024). This segment is debt-heavy but services its obligations. They are mobile-first, with over 72% smartphone penetration enabling digital onboarding, and community-connected, meaning provider referral at the point of care carries high trust and conversion.</w:t>
      </w:r>
    </w:p>
    <w:p>
      <w:pPr>
        <w:keepNext/>
        <w:spacing w:before="280" w:after="100" w:line="288" w:lineRule="auto"/>
      </w:pPr>
      <w:r>
        <w:rPr>
          <w:rFonts w:ascii="Segoe UI" w:hAnsi="Segoe UI" w:cs="Segoe UI"/>
          <w:b/>
          <w:bCs/>
          <w:sz w:val="26"/>
          <w:szCs w:val="26"/>
          <w:color w:val="1A1A1A"/>
        </w:rPr>
        <w:t xml:space="preserve">Behavioural Attributes</w:t>
      </w:r>
    </w:p>
    <w:p>
      <w:pPr>
        <w:spacing w:after="160" w:line="300" w:lineRule="auto"/>
      </w:pPr>
      <w:r>
        <w:rPr>
          <w:rFonts w:ascii="Segoe UI" w:hAnsi="Segoe UI" w:cs="Segoe UI"/>
          <w:sz w:val="22"/>
          <w:szCs w:val="22"/>
          <w:color w:val="333333"/>
        </w:rPr>
        <w:t xml:space="preserve">Understanding the behavioural distinction between this segment and the medical aid holder segment is essential for underwriting calibration. These patients present at the point of care with genuine clinical need and limited financial flexibility. Their default risk is higher not because of moral hazard but because of genuine income volatility: they are more exposed to retrenchment, informal employment fluctuation, and household financial shocks. However, medical debt carries a unique behavioural dynamic. Research across multiple markets demonstrates that patients prioritise healthcare debt repayment over other consumer obligations because the debt is tied to a tangible personal or family health outcome and because the provider relationship creates social accountability absent in anonymous retail credit (Prospect Capital Management, 2025).</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3500"/>
        <w:gridCol w:w="5526"/>
      </w:tblGrid>
      <w:tr>
        <w:trPr>
          <w:tblHeader/>
        </w:trPr>
        <w:tc>
          <w:tcPr>
            <w:tcW w:w="3500" w:type="dxa"/>
            <w:shd w:val="clear" w:color="auto" w:fill="2D2D2D"/>
            <w:vAlign w:val="center"/>
          </w:tcPr>
          <w:p>
            <w:pPr>
              <w:spacing w:before="70" w:after="70" w:line="240" w:lineRule="auto"/>
            </w:pPr>
            <w:r>
              <w:rPr>
                <w:rFonts w:ascii="Segoe UI" w:hAnsi="Segoe UI" w:cs="Segoe UI"/>
                <w:b/>
                <w:bCs/>
                <w:sz w:val="18"/>
                <w:szCs w:val="18"/>
                <w:color w:val="FFFFFF"/>
              </w:rPr>
              <w:t xml:space="preserve">Attribute</w:t>
            </w:r>
          </w:p>
        </w:tc>
        <w:tc>
          <w:tcPr>
            <w:tcW w:w="5526" w:type="dxa"/>
            <w:shd w:val="clear" w:color="auto" w:fill="2D2D2D"/>
            <w:vAlign w:val="center"/>
          </w:tcPr>
          <w:p>
            <w:pPr>
              <w:spacing w:before="70" w:after="70" w:line="240" w:lineRule="auto"/>
            </w:pPr>
            <w:r>
              <w:rPr>
                <w:rFonts w:ascii="Segoe UI" w:hAnsi="Segoe UI" w:cs="Segoe UI"/>
                <w:b/>
                <w:bCs/>
                <w:sz w:val="18"/>
                <w:szCs w:val="18"/>
                <w:color w:val="FFFFFF"/>
              </w:rPr>
              <w:t xml:space="preserve">Segment 2: OOP Private Healthcare Users</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Population size</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~9.9 million adults with verifiable income</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LSM classification</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LSM 5–8 (emerging middle to middle class)</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Monthly household income</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R4,000 – R15,000 per month</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Employment status</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Employed (formal and informal), no employer scheme</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Banking status</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Banked (Capitec, FNB eWallet, or similar), limited credit history</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Digital readiness</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Moderate-high: smartphone, WhatsApp, USSD banking</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Average loan requirement</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R5,000 – R45,000 (full procedure cost)</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Loan term</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6 – 36 months</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Expected PD</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3.0 – 4.5%</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Primary motivation</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Access: cannot afford lump sum, chooses private over public</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Debt-to-income ratio (pre-loan)</w:t>
            </w:r>
          </w:p>
        </w:tc>
        <w:tc>
          <w:tcPr>
            <w:tcW w:w="5526" w:type="dxa"/>
            <w:shd w:val="clear" w:color="auto" w:fill="FFFFFF"/>
            <w:vAlign w:val="center"/>
          </w:tcPr>
          <w:p>
            <w:pPr>
              <w:spacing w:before="60" w:after="60" w:line="240" w:lineRule="auto"/>
            </w:pPr>
            <w:r>
              <w:rPr>
                <w:rFonts w:ascii="Segoe UI" w:hAnsi="Segoe UI" w:cs="Segoe UI"/>
                <w:sz w:val="18"/>
                <w:szCs w:val="18"/>
                <w:color w:val="333333"/>
              </w:rPr>
              <w:t xml:space="preserve">45 – 63% (DebtBusters Q2 2024 benchmark)</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Acquisition channel</w:t>
            </w:r>
          </w:p>
        </w:tc>
        <w:tc>
          <w:tcPr>
            <w:tcW w:w="5526" w:type="dxa"/>
            <w:shd w:val="clear" w:color="auto" w:fill="F8F8F8"/>
            <w:vAlign w:val="center"/>
          </w:tcPr>
          <w:p>
            <w:pPr>
              <w:spacing w:before="60" w:after="60" w:line="240" w:lineRule="auto"/>
            </w:pPr>
            <w:r>
              <w:rPr>
                <w:rFonts w:ascii="Segoe UI" w:hAnsi="Segoe UI" w:cs="Segoe UI"/>
                <w:sz w:val="18"/>
                <w:szCs w:val="18"/>
                <w:color w:val="333333"/>
              </w:rPr>
              <w:t xml:space="preserve">Provider referral at point of care, community health networks</w:t>
            </w:r>
          </w:p>
        </w:tc>
      </w:tr>
    </w:tbl>
    <w:p>
      <w:pPr>
        <w:spacing w:after="60" w:line="240" w:lineRule="auto"/>
      </w:pPr>
      <w:r>
        <w:rPr>
          <w:rFonts w:ascii="Segoe UI" w:hAnsi="Segoe UI" w:cs="Segoe UI"/>
        </w:rPr>
        <w:t xml:space="preserve"/>
      </w:r>
    </w:p>
    <w:p>
      <w:pPr>
        <w:spacing w:after="160" w:line="300" w:lineRule="auto"/>
      </w:pPr>
      <w:r>
        <w:rPr>
          <w:rFonts w:ascii="Segoe UI" w:hAnsi="Segoe UI" w:cs="Segoe UI"/>
          <w:b/>
          <w:bCs/>
          <w:sz w:val="22"/>
          <w:szCs w:val="22"/>
          <w:color w:val="1A1A1A"/>
        </w:rPr>
        <w:t xml:space="preserve">PaySick product fit: </w:t>
      </w:r>
      <w:r>
        <w:rPr>
          <w:rFonts w:ascii="Segoe UI" w:hAnsi="Segoe UI" w:cs="Segoe UI"/>
          <w:sz w:val="22"/>
          <w:szCs w:val="22"/>
          <w:color w:val="333333"/>
        </w:rPr>
        <w:t xml:space="preserve">Full procedure financing for planned and semi-urgent procedures. Medium-term loans requiring the strictest underwriting controls, including mandatory bank statement verification, hard affordability ceilings, and credit life insurance wrapping. This segment represents the largest volume opportunity but demands the full deployment of the PaySick Shield Framework described in Section 7.</w:t>
      </w:r>
    </w:p>
    <w:p>
      <w:pPr>
        <w:keepNext/>
        <w:spacing w:before="360" w:after="160" w:line="288" w:lineRule="auto"/>
      </w:pPr>
      <w:r>
        <w:rPr>
          <w:rFonts w:ascii="Segoe UI" w:hAnsi="Segoe UI" w:cs="Segoe UI"/>
          <w:b/>
          <w:bCs/>
          <w:sz w:val="34"/>
          <w:szCs w:val="34"/>
          <w:color w:val="1A1A1A"/>
        </w:rPr>
        <w:t xml:space="preserve">3.3 Combined Addressable Market and Portfolio Construction</w:t>
      </w:r>
    </w:p>
    <w:p>
      <w:pPr>
        <w:spacing w:after="160" w:line="300" w:lineRule="auto"/>
      </w:pPr>
      <w:r>
        <w:rPr>
          <w:rFonts w:ascii="Segoe UI" w:hAnsi="Segoe UI" w:cs="Segoe UI"/>
          <w:sz w:val="22"/>
          <w:szCs w:val="22"/>
          <w:color w:val="333333"/>
        </w:rPr>
        <w:t xml:space="preserve">The combined addressable population of 19.6 million adults creates a natural portfolio diversification strategy. Segment 1 provides the low-risk anchor with high margins and rapid repayment, while Segment 2 provides volume growth with acceptable risk when properly underwritten. The optimal portfolio blend targets 40–50% gap financing (Segment 1) and 50–60% full procedure financing (Segment 2) by value, producing a blended portfolio PD of 2.5–3.5%.</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2250"/>
        <w:gridCol w:w="2250"/>
        <w:gridCol w:w="2250"/>
        <w:gridCol w:w="2276"/>
      </w:tblGrid>
      <w:tr>
        <w:trPr>
          <w:tblHeader/>
        </w:trPr>
        <w:tc>
          <w:tcPr>
            <w:tcW w:w="2250" w:type="dxa"/>
            <w:shd w:val="clear" w:color="auto" w:fill="2D2D2D"/>
            <w:vAlign w:val="center"/>
          </w:tcPr>
          <w:p>
            <w:pPr>
              <w:spacing w:before="70" w:after="70" w:line="240" w:lineRule="auto"/>
            </w:pPr>
            <w:r>
              <w:rPr>
                <w:rFonts w:ascii="Segoe UI" w:hAnsi="Segoe UI" w:cs="Segoe UI"/>
                <w:b/>
                <w:bCs/>
                <w:sz w:val="18"/>
                <w:szCs w:val="18"/>
                <w:color w:val="FFFFFF"/>
              </w:rPr>
              <w:t xml:space="preserve">Portfolio Metric</w:t>
            </w:r>
          </w:p>
        </w:tc>
        <w:tc>
          <w:tcPr>
            <w:tcW w:w="2250" w:type="dxa"/>
            <w:shd w:val="clear" w:color="auto" w:fill="2D2D2D"/>
            <w:vAlign w:val="center"/>
          </w:tcPr>
          <w:p>
            <w:pPr>
              <w:spacing w:before="70" w:after="70" w:line="240" w:lineRule="auto"/>
            </w:pPr>
            <w:r>
              <w:rPr>
                <w:rFonts w:ascii="Segoe UI" w:hAnsi="Segoe UI" w:cs="Segoe UI"/>
                <w:b/>
                <w:bCs/>
                <w:sz w:val="18"/>
                <w:szCs w:val="18"/>
                <w:color w:val="FFFFFF"/>
              </w:rPr>
              <w:t xml:space="preserve">Segment 1 (Gap)</w:t>
            </w:r>
          </w:p>
        </w:tc>
        <w:tc>
          <w:tcPr>
            <w:tcW w:w="2250" w:type="dxa"/>
            <w:shd w:val="clear" w:color="auto" w:fill="2D2D2D"/>
            <w:vAlign w:val="center"/>
          </w:tcPr>
          <w:p>
            <w:pPr>
              <w:spacing w:before="70" w:after="70" w:line="240" w:lineRule="auto"/>
            </w:pPr>
            <w:r>
              <w:rPr>
                <w:rFonts w:ascii="Segoe UI" w:hAnsi="Segoe UI" w:cs="Segoe UI"/>
                <w:b/>
                <w:bCs/>
                <w:sz w:val="18"/>
                <w:szCs w:val="18"/>
                <w:color w:val="FFFFFF"/>
              </w:rPr>
              <w:t xml:space="preserve">Segment 2 (OOP)</w:t>
            </w:r>
          </w:p>
        </w:tc>
        <w:tc>
          <w:tcPr>
            <w:tcW w:w="2276" w:type="dxa"/>
            <w:shd w:val="clear" w:color="auto" w:fill="2D2D2D"/>
            <w:vAlign w:val="center"/>
          </w:tcPr>
          <w:p>
            <w:pPr>
              <w:spacing w:before="70" w:after="70" w:line="240" w:lineRule="auto"/>
            </w:pPr>
            <w:r>
              <w:rPr>
                <w:rFonts w:ascii="Segoe UI" w:hAnsi="Segoe UI" w:cs="Segoe UI"/>
                <w:b/>
                <w:bCs/>
                <w:sz w:val="18"/>
                <w:szCs w:val="18"/>
                <w:color w:val="FFFFFF"/>
              </w:rPr>
              <w:t xml:space="preserve">Blended Portfolio</w:t>
            </w:r>
          </w:p>
        </w:tc>
      </w:tr>
      <w:tr>
        <w:tc>
          <w:tcPr>
            <w:tcW w:w="2250" w:type="dxa"/>
            <w:shd w:val="clear" w:color="auto" w:fill="FFFFFF"/>
            <w:vAlign w:val="center"/>
          </w:tcPr>
          <w:p>
            <w:pPr>
              <w:spacing w:before="60" w:after="60" w:line="240" w:lineRule="auto"/>
            </w:pPr>
            <w:r>
              <w:rPr>
                <w:rFonts w:ascii="Segoe UI" w:hAnsi="Segoe UI" w:cs="Segoe UI"/>
                <w:b/>
                <w:bCs/>
                <w:sz w:val="18"/>
                <w:szCs w:val="18"/>
                <w:color w:val="333333"/>
              </w:rPr>
              <w:t xml:space="preserve">Population</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~9.7 million</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~9.9 million</w:t>
            </w:r>
          </w:p>
        </w:tc>
        <w:tc>
          <w:tcPr>
            <w:tcW w:w="2276" w:type="dxa"/>
            <w:shd w:val="clear" w:color="auto" w:fill="FFFFFF"/>
            <w:vAlign w:val="center"/>
          </w:tcPr>
          <w:p>
            <w:pPr>
              <w:spacing w:before="60" w:after="60" w:line="240" w:lineRule="auto"/>
            </w:pPr>
            <w:r>
              <w:rPr>
                <w:rFonts w:ascii="Segoe UI" w:hAnsi="Segoe UI" w:cs="Segoe UI"/>
                <w:sz w:val="18"/>
                <w:szCs w:val="18"/>
                <w:color w:val="333333"/>
              </w:rPr>
              <w:t xml:space="preserve">~19.6 million</w:t>
            </w:r>
          </w:p>
        </w:tc>
      </w:tr>
      <w:tr>
        <w:tc>
          <w:tcPr>
            <w:tcW w:w="2250" w:type="dxa"/>
            <w:shd w:val="clear" w:color="auto" w:fill="F8F8F8"/>
            <w:vAlign w:val="center"/>
          </w:tcPr>
          <w:p>
            <w:pPr>
              <w:spacing w:before="60" w:after="60" w:line="240" w:lineRule="auto"/>
            </w:pPr>
            <w:r>
              <w:rPr>
                <w:rFonts w:ascii="Segoe UI" w:hAnsi="Segoe UI" w:cs="Segoe UI"/>
                <w:b/>
                <w:bCs/>
                <w:sz w:val="18"/>
                <w:szCs w:val="18"/>
                <w:color w:val="333333"/>
              </w:rPr>
              <w:t xml:space="preserve">Income range</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R13K – R32K+/mo</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R4K – R15K/mo</w:t>
            </w:r>
          </w:p>
        </w:tc>
        <w:tc>
          <w:tcPr>
            <w:tcW w:w="2276" w:type="dxa"/>
            <w:shd w:val="clear" w:color="auto" w:fill="F8F8F8"/>
            <w:vAlign w:val="center"/>
          </w:tcPr>
          <w:p>
            <w:pPr>
              <w:spacing w:before="60" w:after="60" w:line="240" w:lineRule="auto"/>
            </w:pPr>
            <w:r>
              <w:rPr>
                <w:rFonts w:ascii="Segoe UI" w:hAnsi="Segoe UI" w:cs="Segoe UI"/>
                <w:sz w:val="18"/>
                <w:szCs w:val="18"/>
                <w:color w:val="333333"/>
              </w:rPr>
              <w:t xml:space="preserve">R4K – R32K+/mo</w:t>
            </w:r>
          </w:p>
        </w:tc>
      </w:tr>
      <w:tr>
        <w:tc>
          <w:tcPr>
            <w:tcW w:w="2250" w:type="dxa"/>
            <w:shd w:val="clear" w:color="auto" w:fill="FFFFFF"/>
            <w:vAlign w:val="center"/>
          </w:tcPr>
          <w:p>
            <w:pPr>
              <w:spacing w:before="60" w:after="60" w:line="240" w:lineRule="auto"/>
            </w:pPr>
            <w:r>
              <w:rPr>
                <w:rFonts w:ascii="Segoe UI" w:hAnsi="Segoe UI" w:cs="Segoe UI"/>
                <w:b/>
                <w:bCs/>
                <w:sz w:val="18"/>
                <w:szCs w:val="18"/>
                <w:color w:val="333333"/>
              </w:rPr>
              <w:t xml:space="preserve">Avg. loan size</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R14,000</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R25,000</w:t>
            </w:r>
          </w:p>
        </w:tc>
        <w:tc>
          <w:tcPr>
            <w:tcW w:w="2276" w:type="dxa"/>
            <w:shd w:val="clear" w:color="auto" w:fill="FFFFFF"/>
            <w:vAlign w:val="center"/>
          </w:tcPr>
          <w:p>
            <w:pPr>
              <w:spacing w:before="60" w:after="60" w:line="240" w:lineRule="auto"/>
            </w:pPr>
            <w:r>
              <w:rPr>
                <w:rFonts w:ascii="Segoe UI" w:hAnsi="Segoe UI" w:cs="Segoe UI"/>
                <w:sz w:val="18"/>
                <w:szCs w:val="18"/>
                <w:color w:val="333333"/>
              </w:rPr>
              <w:t xml:space="preserve">R20,000</w:t>
            </w:r>
          </w:p>
        </w:tc>
      </w:tr>
      <w:tr>
        <w:tc>
          <w:tcPr>
            <w:tcW w:w="2250" w:type="dxa"/>
            <w:shd w:val="clear" w:color="auto" w:fill="F8F8F8"/>
            <w:vAlign w:val="center"/>
          </w:tcPr>
          <w:p>
            <w:pPr>
              <w:spacing w:before="60" w:after="60" w:line="240" w:lineRule="auto"/>
            </w:pPr>
            <w:r>
              <w:rPr>
                <w:rFonts w:ascii="Segoe UI" w:hAnsi="Segoe UI" w:cs="Segoe UI"/>
                <w:b/>
                <w:bCs/>
                <w:sz w:val="18"/>
                <w:szCs w:val="18"/>
                <w:color w:val="333333"/>
              </w:rPr>
              <w:t xml:space="preserve">Expected PD</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1.5 – 2.0%</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3.0 – 4.5%</w:t>
            </w:r>
          </w:p>
        </w:tc>
        <w:tc>
          <w:tcPr>
            <w:tcW w:w="2276" w:type="dxa"/>
            <w:shd w:val="clear" w:color="auto" w:fill="F8F8F8"/>
            <w:vAlign w:val="center"/>
          </w:tcPr>
          <w:p>
            <w:pPr>
              <w:spacing w:before="60" w:after="60" w:line="240" w:lineRule="auto"/>
            </w:pPr>
            <w:r>
              <w:rPr>
                <w:rFonts w:ascii="Segoe UI" w:hAnsi="Segoe UI" w:cs="Segoe UI"/>
                <w:sz w:val="18"/>
                <w:szCs w:val="18"/>
                <w:color w:val="333333"/>
              </w:rPr>
              <w:t xml:space="preserve">2.5 – 3.5%</w:t>
            </w:r>
          </w:p>
        </w:tc>
      </w:tr>
      <w:tr>
        <w:tc>
          <w:tcPr>
            <w:tcW w:w="2250" w:type="dxa"/>
            <w:shd w:val="clear" w:color="auto" w:fill="FFFFFF"/>
            <w:vAlign w:val="center"/>
          </w:tcPr>
          <w:p>
            <w:pPr>
              <w:spacing w:before="60" w:after="60" w:line="240" w:lineRule="auto"/>
            </w:pPr>
            <w:r>
              <w:rPr>
                <w:rFonts w:ascii="Segoe UI" w:hAnsi="Segoe UI" w:cs="Segoe UI"/>
                <w:b/>
                <w:bCs/>
                <w:sz w:val="18"/>
                <w:szCs w:val="18"/>
                <w:color w:val="333333"/>
              </w:rPr>
              <w:t xml:space="preserve">Expected LGD</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30 – 35%</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40 – 50%</w:t>
            </w:r>
          </w:p>
        </w:tc>
        <w:tc>
          <w:tcPr>
            <w:tcW w:w="2276" w:type="dxa"/>
            <w:shd w:val="clear" w:color="auto" w:fill="FFFFFF"/>
            <w:vAlign w:val="center"/>
          </w:tcPr>
          <w:p>
            <w:pPr>
              <w:spacing w:before="60" w:after="60" w:line="240" w:lineRule="auto"/>
            </w:pPr>
            <w:r>
              <w:rPr>
                <w:rFonts w:ascii="Segoe UI" w:hAnsi="Segoe UI" w:cs="Segoe UI"/>
                <w:sz w:val="18"/>
                <w:szCs w:val="18"/>
                <w:color w:val="333333"/>
              </w:rPr>
              <w:t xml:space="preserve">35 – 45%</w:t>
            </w:r>
          </w:p>
        </w:tc>
      </w:tr>
      <w:tr>
        <w:tc>
          <w:tcPr>
            <w:tcW w:w="2250" w:type="dxa"/>
            <w:shd w:val="clear" w:color="auto" w:fill="F8F8F8"/>
            <w:vAlign w:val="center"/>
          </w:tcPr>
          <w:p>
            <w:pPr>
              <w:spacing w:before="60" w:after="60" w:line="240" w:lineRule="auto"/>
            </w:pPr>
            <w:r>
              <w:rPr>
                <w:rFonts w:ascii="Segoe UI" w:hAnsi="Segoe UI" w:cs="Segoe UI"/>
                <w:b/>
                <w:bCs/>
                <w:sz w:val="18"/>
                <w:szCs w:val="18"/>
                <w:color w:val="333333"/>
              </w:rPr>
              <w:t xml:space="preserve">Net loss rate</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0.45 – 0.70%</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1.20 – 2.25%</w:t>
            </w:r>
          </w:p>
        </w:tc>
        <w:tc>
          <w:tcPr>
            <w:tcW w:w="2276" w:type="dxa"/>
            <w:shd w:val="clear" w:color="auto" w:fill="F8F8F8"/>
            <w:vAlign w:val="center"/>
          </w:tcPr>
          <w:p>
            <w:pPr>
              <w:spacing w:before="60" w:after="60" w:line="240" w:lineRule="auto"/>
            </w:pPr>
            <w:r>
              <w:rPr>
                <w:rFonts w:ascii="Segoe UI" w:hAnsi="Segoe UI" w:cs="Segoe UI"/>
                <w:sz w:val="18"/>
                <w:szCs w:val="18"/>
                <w:color w:val="333333"/>
              </w:rPr>
              <w:t xml:space="preserve">0.88 – 1.58%</w:t>
            </w:r>
          </w:p>
        </w:tc>
      </w:tr>
      <w:tr>
        <w:tc>
          <w:tcPr>
            <w:tcW w:w="2250" w:type="dxa"/>
            <w:shd w:val="clear" w:color="auto" w:fill="FFFFFF"/>
            <w:vAlign w:val="center"/>
          </w:tcPr>
          <w:p>
            <w:pPr>
              <w:spacing w:before="60" w:after="60" w:line="240" w:lineRule="auto"/>
            </w:pPr>
            <w:r>
              <w:rPr>
                <w:rFonts w:ascii="Segoe UI" w:hAnsi="Segoe UI" w:cs="Segoe UI"/>
                <w:b/>
                <w:bCs/>
                <w:sz w:val="18"/>
                <w:szCs w:val="18"/>
                <w:color w:val="333333"/>
              </w:rPr>
              <w:t xml:space="preserve">Target portfolio share</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40 – 50% by value</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50 – 60% by value</w:t>
            </w:r>
          </w:p>
        </w:tc>
        <w:tc>
          <w:tcPr>
            <w:tcW w:w="2276" w:type="dxa"/>
            <w:shd w:val="clear" w:color="auto" w:fill="FFFFFF"/>
            <w:vAlign w:val="center"/>
          </w:tcPr>
          <w:p>
            <w:pPr>
              <w:spacing w:before="60" w:after="60" w:line="240" w:lineRule="auto"/>
            </w:pPr>
            <w:r>
              <w:rPr>
                <w:rFonts w:ascii="Segoe UI" w:hAnsi="Segoe UI" w:cs="Segoe UI"/>
                <w:sz w:val="18"/>
                <w:szCs w:val="18"/>
                <w:color w:val="333333"/>
              </w:rPr>
              <w:t xml:space="preserve">100%</w:t>
            </w:r>
          </w:p>
        </w:tc>
      </w:tr>
    </w:tbl>
    <w:p>
      <w:pPr>
        <w:keepNext/>
        <w:spacing w:before="360" w:after="160" w:line="288" w:lineRule="auto"/>
      </w:pPr>
      <w:r>
        <w:rPr>
          <w:rFonts w:ascii="Segoe UI" w:hAnsi="Segoe UI" w:cs="Segoe UI"/>
          <w:b/>
          <w:bCs/>
          <w:sz w:val="34"/>
          <w:szCs w:val="34"/>
          <w:color w:val="1A1A1A"/>
        </w:rPr>
        <w:t xml:space="preserve">3.4 The Excluded Population: Why the Floor Matters</w:t>
      </w:r>
    </w:p>
    <w:p>
      <w:pPr>
        <w:spacing w:after="160" w:line="300" w:lineRule="auto"/>
      </w:pPr>
      <w:r>
        <w:rPr>
          <w:rFonts w:ascii="Segoe UI" w:hAnsi="Segoe UI" w:cs="Segoe UI"/>
          <w:sz w:val="22"/>
          <w:szCs w:val="22"/>
          <w:color w:val="333333"/>
        </w:rPr>
        <w:t xml:space="preserve">Equally critical is defining who PaySick does not serve. Approximately 25 million South Africans in LSM 1–4 earn below R4,000 per month and cannot sustain any meaningful loan repayment without breaching the 15–20% affordability ceiling. At R3,500 monthly income, a 15% affordability cap permits only R525 in monthly repayments, insufficient to service even a R5,000 loan over 12 months at prime + 8%. These individuals are served by the public healthcare system and social grants. PaySick’s hard affordability controls structurally prevent lending to this population. This is simultaneously an ethical safeguard, preventing predatory over-extension into vulnerable populations, and a credit quality mechanism that ensures the portfolio floor remains above the minimum income threshold for sustainable repayment. No override, no exception, no manual approval can breach this floor. It is coded into the underwriting algorithm.</w:t>
      </w:r>
    </w:p>
    <w:p>
      <w:pPr>
        <w:spacing w:after="160" w:line="300" w:lineRule="auto"/>
      </w:pPr>
      <w:r>
        <w:rPr>
          <w:rFonts w:ascii="Segoe UI" w:hAnsi="Segoe UI" w:cs="Segoe UI"/>
          <w:sz w:val="22"/>
          <w:szCs w:val="22"/>
          <w:color w:val="333333"/>
        </w:rPr>
        <w:t xml:space="preserve">This exclusion differentiates PaySick from retail BNPL platforms, which routinely approve borrowers with insufficient repayment capacity. The CFPB (2024) documented that 78% of subprime applicants were approved for BNPL, a practice PaySick explicitly rejects. The affordability floor is the single most important structural control against portfolio deterioration, and it is absolute.</w:t>
      </w:r>
    </w:p>
    <w:p>
      <w:pPr>
        <w:spacing w:after="20" w:line="240" w:lineRule="auto"/>
      </w:pPr>
      <w:r>
        <w:rPr>
          <w:rFonts w:ascii="Segoe UI" w:hAnsi="Segoe UI" w:cs="Segoe UI"/>
          <w:b/>
          <w:bCs/>
          <w:caps/>
          <w:sz w:val="18"/>
          <w:szCs w:val="18"/>
          <w:color w:val="E01E37"/>
          <w:spacing w:val="80"/>
        </w:rPr>
        <w:t xml:space="preserve">Section 04</w:t>
      </w:r>
    </w:p>
    <w:p>
      <w:pPr>
        <w:keepNext/>
        <w:pageBreakBefore/>
        <w:spacing w:before="0" w:after="80" w:line="288" w:lineRule="auto"/>
      </w:pPr>
      <w:r>
        <w:rPr>
          <w:rFonts w:ascii="Segoe UI" w:hAnsi="Segoe UI" w:cs="Segoe UI"/>
          <w:b/>
          <w:bCs/>
          <w:sz w:val="52"/>
          <w:szCs w:val="52"/>
          <w:color w:val="1A1A1A"/>
        </w:rPr>
        <w:t xml:space="preserve">Anatomy of Loss: What Causes a Loss-Making Book</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Understanding loss in healthcare lending requires decomposing the drivers beyond simple default rate analysis. There are five distinct risk drivers, each with different triggers, velocities, and mitigation strategies.</w:t>
      </w:r>
    </w:p>
    <w:p>
      <w:pPr>
        <w:keepNext/>
        <w:spacing w:before="360" w:after="160" w:line="288" w:lineRule="auto"/>
      </w:pPr>
      <w:r>
        <w:rPr>
          <w:rFonts w:ascii="Segoe UI" w:hAnsi="Segoe UI" w:cs="Segoe UI"/>
          <w:b/>
          <w:bCs/>
          <w:sz w:val="34"/>
          <w:szCs w:val="34"/>
          <w:color w:val="1A1A1A"/>
        </w:rPr>
        <w:t xml:space="preserve">4.1 The Five Risk Drivers</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1800"/>
        <w:gridCol w:w="2600"/>
        <w:gridCol w:w="2600"/>
        <w:gridCol w:w="2026"/>
      </w:tblGrid>
      <w:tr>
        <w:trPr>
          <w:tblHeader/>
        </w:trPr>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Risk Driver</w:t>
            </w:r>
          </w:p>
        </w:tc>
        <w:tc>
          <w:tcPr>
            <w:tcW w:w="2600" w:type="dxa"/>
            <w:shd w:val="clear" w:color="auto" w:fill="2D2D2D"/>
            <w:vAlign w:val="center"/>
          </w:tcPr>
          <w:p>
            <w:pPr>
              <w:spacing w:before="70" w:after="70" w:line="240" w:lineRule="auto"/>
            </w:pPr>
            <w:r>
              <w:rPr>
                <w:rFonts w:ascii="Segoe UI" w:hAnsi="Segoe UI" w:cs="Segoe UI"/>
                <w:b/>
                <w:bCs/>
                <w:sz w:val="18"/>
                <w:szCs w:val="18"/>
                <w:color w:val="FFFFFF"/>
              </w:rPr>
              <w:t xml:space="preserve">Mechanism</w:t>
            </w:r>
          </w:p>
        </w:tc>
        <w:tc>
          <w:tcPr>
            <w:tcW w:w="2600" w:type="dxa"/>
            <w:shd w:val="clear" w:color="auto" w:fill="2D2D2D"/>
            <w:vAlign w:val="center"/>
          </w:tcPr>
          <w:p>
            <w:pPr>
              <w:spacing w:before="70" w:after="70" w:line="240" w:lineRule="auto"/>
            </w:pPr>
            <w:r>
              <w:rPr>
                <w:rFonts w:ascii="Segoe UI" w:hAnsi="Segoe UI" w:cs="Segoe UI"/>
                <w:b/>
                <w:bCs/>
                <w:sz w:val="18"/>
                <w:szCs w:val="18"/>
                <w:color w:val="FFFFFF"/>
              </w:rPr>
              <w:t xml:space="preserve">Trigger Scenario</w:t>
            </w:r>
          </w:p>
        </w:tc>
        <w:tc>
          <w:tcPr>
            <w:tcW w:w="2026" w:type="dxa"/>
            <w:shd w:val="clear" w:color="auto" w:fill="2D2D2D"/>
            <w:vAlign w:val="center"/>
          </w:tcPr>
          <w:p>
            <w:pPr>
              <w:spacing w:before="70" w:after="70" w:line="240" w:lineRule="auto"/>
            </w:pPr>
            <w:r>
              <w:rPr>
                <w:rFonts w:ascii="Segoe UI" w:hAnsi="Segoe UI" w:cs="Segoe UI"/>
                <w:b/>
                <w:bCs/>
                <w:sz w:val="18"/>
                <w:szCs w:val="18"/>
                <w:color w:val="FFFFFF"/>
              </w:rPr>
              <w:t xml:space="preserve">Velocity</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1. Default Rate (PD)</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Patients stop making repayments due to income loss, financial stress, or procedure disputes</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Macro recession, adverse selection at onboarding, procedure regret</w:t>
            </w:r>
          </w:p>
        </w:tc>
        <w:tc>
          <w:tcPr>
            <w:tcW w:w="2026" w:type="dxa"/>
            <w:shd w:val="clear" w:color="auto" w:fill="FFFFFF"/>
            <w:vAlign w:val="center"/>
          </w:tcPr>
          <w:p>
            <w:pPr>
              <w:spacing w:before="60" w:after="60" w:line="240" w:lineRule="auto"/>
            </w:pPr>
            <w:r>
              <w:rPr>
                <w:rFonts w:ascii="Segoe UI" w:hAnsi="Segoe UI" w:cs="Segoe UI"/>
                <w:sz w:val="18"/>
                <w:szCs w:val="18"/>
                <w:color w:val="333333"/>
              </w:rPr>
              <w:t xml:space="preserve">Medium: visible in 60–90 day arrears data</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2. Recovery Rate (LGD)</w:t>
            </w:r>
          </w:p>
        </w:tc>
        <w:tc>
          <w:tcPr>
            <w:tcW w:w="2600" w:type="dxa"/>
            <w:shd w:val="clear" w:color="auto" w:fill="F8F8F8"/>
            <w:vAlign w:val="center"/>
          </w:tcPr>
          <w:p>
            <w:pPr>
              <w:spacing w:before="60" w:after="60" w:line="240" w:lineRule="auto"/>
            </w:pPr>
            <w:r>
              <w:rPr>
                <w:rFonts w:ascii="Segoe UI" w:hAnsi="Segoe UI" w:cs="Segoe UI"/>
                <w:sz w:val="18"/>
                <w:szCs w:val="18"/>
                <w:color w:val="333333"/>
              </w:rPr>
              <w:t xml:space="preserve">Defaults occur and recovery through collections is poor due to lack of collateral</w:t>
            </w:r>
          </w:p>
        </w:tc>
        <w:tc>
          <w:tcPr>
            <w:tcW w:w="2600" w:type="dxa"/>
            <w:shd w:val="clear" w:color="auto" w:fill="F8F8F8"/>
            <w:vAlign w:val="center"/>
          </w:tcPr>
          <w:p>
            <w:pPr>
              <w:spacing w:before="60" w:after="60" w:line="240" w:lineRule="auto"/>
            </w:pPr>
            <w:r>
              <w:rPr>
                <w:rFonts w:ascii="Segoe UI" w:hAnsi="Segoe UI" w:cs="Segoe UI"/>
                <w:sz w:val="18"/>
                <w:szCs w:val="18"/>
                <w:color w:val="333333"/>
              </w:rPr>
              <w:t xml:space="preserve">Medical debt has no physical collateral; legal recovery is expensive relative to loan size</w:t>
            </w:r>
          </w:p>
        </w:tc>
        <w:tc>
          <w:tcPr>
            <w:tcW w:w="2026" w:type="dxa"/>
            <w:shd w:val="clear" w:color="auto" w:fill="F8F8F8"/>
            <w:vAlign w:val="center"/>
          </w:tcPr>
          <w:p>
            <w:pPr>
              <w:spacing w:before="60" w:after="60" w:line="240" w:lineRule="auto"/>
            </w:pPr>
            <w:r>
              <w:rPr>
                <w:rFonts w:ascii="Segoe UI" w:hAnsi="Segoe UI" w:cs="Segoe UI"/>
                <w:sz w:val="18"/>
                <w:szCs w:val="18"/>
                <w:color w:val="333333"/>
              </w:rPr>
              <w:t xml:space="preserve">Slow: LGD crystallises over 6–12 months post-default</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3. Concentration Risk</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Excessive exposure to a single provider, procedure type, or geography</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Key provider goes under; one procedure category has structurally higher default rates</w:t>
            </w:r>
          </w:p>
        </w:tc>
        <w:tc>
          <w:tcPr>
            <w:tcW w:w="2026" w:type="dxa"/>
            <w:shd w:val="clear" w:color="auto" w:fill="FFFFFF"/>
            <w:vAlign w:val="center"/>
          </w:tcPr>
          <w:p>
            <w:pPr>
              <w:spacing w:before="60" w:after="60" w:line="240" w:lineRule="auto"/>
            </w:pPr>
            <w:r>
              <w:rPr>
                <w:rFonts w:ascii="Segoe UI" w:hAnsi="Segoe UI" w:cs="Segoe UI"/>
                <w:sz w:val="18"/>
                <w:szCs w:val="18"/>
                <w:color w:val="333333"/>
              </w:rPr>
              <w:t xml:space="preserve">Fast: concentrated exposure amplifies any localised shock</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4. Funding Cost Squeeze</w:t>
            </w:r>
          </w:p>
        </w:tc>
        <w:tc>
          <w:tcPr>
            <w:tcW w:w="2600" w:type="dxa"/>
            <w:shd w:val="clear" w:color="auto" w:fill="F8F8F8"/>
            <w:vAlign w:val="center"/>
          </w:tcPr>
          <w:p>
            <w:pPr>
              <w:spacing w:before="60" w:after="60" w:line="240" w:lineRule="auto"/>
            </w:pPr>
            <w:r>
              <w:rPr>
                <w:rFonts w:ascii="Segoe UI" w:hAnsi="Segoe UI" w:cs="Segoe UI"/>
                <w:sz w:val="18"/>
                <w:szCs w:val="18"/>
                <w:color w:val="333333"/>
              </w:rPr>
              <w:t xml:space="preserve">Cost of capital rises but existing fixed-term loans cannot be repriced</w:t>
            </w:r>
          </w:p>
        </w:tc>
        <w:tc>
          <w:tcPr>
            <w:tcW w:w="2600" w:type="dxa"/>
            <w:shd w:val="clear" w:color="auto" w:fill="F8F8F8"/>
            <w:vAlign w:val="center"/>
          </w:tcPr>
          <w:p>
            <w:pPr>
              <w:spacing w:before="60" w:after="60" w:line="240" w:lineRule="auto"/>
            </w:pPr>
            <w:r>
              <w:rPr>
                <w:rFonts w:ascii="Segoe UI" w:hAnsi="Segoe UI" w:cs="Segoe UI"/>
                <w:sz w:val="18"/>
                <w:szCs w:val="18"/>
                <w:color w:val="333333"/>
              </w:rPr>
              <w:t xml:space="preserve">Interest rate hikes; lender withdrawal forces higher-cost balance sheet funding</w:t>
            </w:r>
          </w:p>
        </w:tc>
        <w:tc>
          <w:tcPr>
            <w:tcW w:w="2026" w:type="dxa"/>
            <w:shd w:val="clear" w:color="auto" w:fill="F8F8F8"/>
            <w:vAlign w:val="center"/>
          </w:tcPr>
          <w:p>
            <w:pPr>
              <w:spacing w:before="60" w:after="60" w:line="240" w:lineRule="auto"/>
            </w:pPr>
            <w:r>
              <w:rPr>
                <w:rFonts w:ascii="Segoe UI" w:hAnsi="Segoe UI" w:cs="Segoe UI"/>
                <w:sz w:val="18"/>
                <w:szCs w:val="18"/>
                <w:color w:val="333333"/>
              </w:rPr>
              <w:t xml:space="preserve">Gradual: margin compression over quarters</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5. Lender Withdrawal</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Marketplace lenders exit during stress, forcing volume onto PaySick’s balance sheet</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Portfolio quality deteriorates; lenders reduce allocation or pause entirely</w:t>
            </w:r>
          </w:p>
        </w:tc>
        <w:tc>
          <w:tcPr>
            <w:tcW w:w="2026" w:type="dxa"/>
            <w:shd w:val="clear" w:color="auto" w:fill="FFFFFF"/>
            <w:vAlign w:val="center"/>
          </w:tcPr>
          <w:p>
            <w:pPr>
              <w:spacing w:before="60" w:after="60" w:line="240" w:lineRule="auto"/>
            </w:pPr>
            <w:r>
              <w:rPr>
                <w:rFonts w:ascii="Segoe UI" w:hAnsi="Segoe UI" w:cs="Segoe UI"/>
                <w:sz w:val="18"/>
                <w:szCs w:val="18"/>
                <w:color w:val="333333"/>
              </w:rPr>
              <w:t xml:space="preserve">Fast: lender decisions are binary and can cascade</w:t>
            </w:r>
          </w:p>
        </w:tc>
      </w:tr>
    </w:tbl>
    <w:p>
      <w:pPr>
        <w:keepNext/>
        <w:spacing w:before="360" w:after="160" w:line="288" w:lineRule="auto"/>
      </w:pPr>
      <w:r>
        <w:rPr>
          <w:rFonts w:ascii="Segoe UI" w:hAnsi="Segoe UI" w:cs="Segoe UI"/>
          <w:b/>
          <w:bCs/>
          <w:sz w:val="34"/>
          <w:szCs w:val="34"/>
          <w:color w:val="1A1A1A"/>
        </w:rPr>
        <w:t xml:space="preserve">4.2 Alternative Recovery Strategies: Reducing LGD Below Market Norms</w:t>
      </w:r>
    </w:p>
    <w:p>
      <w:pPr>
        <w:spacing w:after="160" w:line="300" w:lineRule="auto"/>
      </w:pPr>
      <w:r>
        <w:rPr>
          <w:rFonts w:ascii="Segoe UI" w:hAnsi="Segoe UI" w:cs="Segoe UI"/>
          <w:sz w:val="22"/>
          <w:szCs w:val="22"/>
          <w:color w:val="333333"/>
        </w:rPr>
        <w:t xml:space="preserve">The target LGD of 45% assumes conventional unsecured recovery. However, PaySick’s healthcare-specific model enables four alternative recovery mechanisms that can structurally reduce LGD to 25–35%, a level unachievable by generic consumer lenders:</w:t>
      </w:r>
    </w:p>
    <w:p>
      <w:pPr>
        <w:spacing w:after="100" w:line="300" w:lineRule="auto"/>
        <w:ind w:left="540"/>
      </w:pPr>
      <w:r>
        <w:rPr>
          <w:rFonts w:ascii="Segoe UI" w:hAnsi="Segoe UI" w:cs="Segoe UI"/>
          <w:b/>
          <w:bCs/>
          <w:sz w:val="22"/>
          <w:szCs w:val="22"/>
          <w:color w:val="E01E37"/>
        </w:rPr>
        <w:t xml:space="preserve">1.  </w:t>
      </w:r>
      <w:r>
        <w:rPr>
          <w:rFonts w:ascii="Segoe UI" w:hAnsi="Segoe UI" w:cs="Segoe UI"/>
          <w:b/>
          <w:bCs/>
          <w:sz w:val="22"/>
          <w:szCs w:val="22"/>
          <w:color w:val="1A1A1A"/>
        </w:rPr>
        <w:t xml:space="preserve">Provider Holdback and Clawback:</w:t>
      </w:r>
      <w:r>
        <w:rPr>
          <w:rFonts w:ascii="Segoe UI" w:hAnsi="Segoe UI" w:cs="Segoe UI"/>
          <w:sz w:val="22"/>
          <w:szCs w:val="22"/>
          <w:color w:val="333333"/>
        </w:rPr>
        <w:t xml:space="preserve"> Deduct from future provider payouts when a referred patient defaults. If a provider’s patient defaults on a R18,500 loan and PaySick holds R1,850 in future payout reserves for that provider, the effective LGD on that loan drops from 45% to 35%. This mechanism is unique to B2B2C models where the referral channel has an ongoing commercial relationship with the platform.</w:t>
      </w:r>
    </w:p>
    <w:p>
      <w:pPr>
        <w:spacing w:after="100" w:line="300" w:lineRule="auto"/>
        <w:ind w:left="540"/>
      </w:pPr>
      <w:r>
        <w:rPr>
          <w:rFonts w:ascii="Segoe UI" w:hAnsi="Segoe UI" w:cs="Segoe UI"/>
          <w:b/>
          <w:bCs/>
          <w:sz w:val="22"/>
          <w:szCs w:val="22"/>
          <w:color w:val="E01E37"/>
        </w:rPr>
        <w:t xml:space="preserve">2.  </w:t>
      </w:r>
      <w:r>
        <w:rPr>
          <w:rFonts w:ascii="Segoe UI" w:hAnsi="Segoe UI" w:cs="Segoe UI"/>
          <w:b/>
          <w:bCs/>
          <w:sz w:val="22"/>
          <w:szCs w:val="22"/>
          <w:color w:val="1A1A1A"/>
        </w:rPr>
        <w:t xml:space="preserve">Medical Aid Assignment:</w:t>
      </w:r>
      <w:r>
        <w:rPr>
          <w:rFonts w:ascii="Segoe UI" w:hAnsi="Segoe UI" w:cs="Segoe UI"/>
          <w:sz w:val="22"/>
          <w:szCs w:val="22"/>
          <w:color w:val="333333"/>
        </w:rPr>
        <w:t xml:space="preserve"> Where a patient has partial medical aid coverage, structure the loan so the medical aid reimbursement portion is assigned directly to PaySick. This converts a portion of unsecured lending into quasi-secured lending backed by an institutional payer. In gap-financing scenarios, this can reduce the unsecured residual by 40–60%.</w:t>
      </w:r>
    </w:p>
    <w:p>
      <w:pPr>
        <w:spacing w:after="100" w:line="300" w:lineRule="auto"/>
        <w:ind w:left="540"/>
      </w:pPr>
      <w:r>
        <w:rPr>
          <w:rFonts w:ascii="Segoe UI" w:hAnsi="Segoe UI" w:cs="Segoe UI"/>
          <w:b/>
          <w:bCs/>
          <w:sz w:val="22"/>
          <w:szCs w:val="22"/>
          <w:color w:val="E01E37"/>
        </w:rPr>
        <w:t xml:space="preserve">3.  </w:t>
      </w:r>
      <w:r>
        <w:rPr>
          <w:rFonts w:ascii="Segoe UI" w:hAnsi="Segoe UI" w:cs="Segoe UI"/>
          <w:b/>
          <w:bCs/>
          <w:sz w:val="22"/>
          <w:szCs w:val="22"/>
          <w:color w:val="1A1A1A"/>
        </w:rPr>
        <w:t xml:space="preserve">Emoluments Attachment Orders:</w:t>
      </w:r>
      <w:r>
        <w:rPr>
          <w:rFonts w:ascii="Segoe UI" w:hAnsi="Segoe UI" w:cs="Segoe UI"/>
          <w:sz w:val="22"/>
          <w:szCs w:val="22"/>
          <w:color w:val="333333"/>
        </w:rPr>
        <w:t xml:space="preserve"> Under the National Credit Act, PaySick can apply for employer deduction orders for employed borrowers who default. This gives PaySick’s claim priority over discretionary spending and converts recovery from a collections exercise into a payroll deduction. Available for formally employed borrowers, which should constitute 60–70% of the book.</w:t>
      </w:r>
    </w:p>
    <w:p>
      <w:pPr>
        <w:spacing w:after="100" w:line="300" w:lineRule="auto"/>
        <w:ind w:left="540"/>
      </w:pPr>
      <w:r>
        <w:rPr>
          <w:rFonts w:ascii="Segoe UI" w:hAnsi="Segoe UI" w:cs="Segoe UI"/>
          <w:b/>
          <w:bCs/>
          <w:sz w:val="22"/>
          <w:szCs w:val="22"/>
          <w:color w:val="E01E37"/>
        </w:rPr>
        <w:t xml:space="preserve">4.  </w:t>
      </w:r>
      <w:r>
        <w:rPr>
          <w:rFonts w:ascii="Segoe UI" w:hAnsi="Segoe UI" w:cs="Segoe UI"/>
          <w:b/>
          <w:bCs/>
          <w:sz w:val="22"/>
          <w:szCs w:val="22"/>
          <w:color w:val="1A1A1A"/>
        </w:rPr>
        <w:t xml:space="preserve">Credit Life Insurance Wrapping:</w:t>
      </w:r>
      <w:r>
        <w:rPr>
          <w:rFonts w:ascii="Segoe UI" w:hAnsi="Segoe UI" w:cs="Segoe UI"/>
          <w:sz w:val="22"/>
          <w:szCs w:val="22"/>
          <w:color w:val="333333"/>
        </w:rPr>
        <w:t xml:space="preserve"> Partner with credit life insurers to wrap each loan with death, disability, and retrenchment cover. The insurance premium is included in the loan cost. In the event of a covered life event, the insurer pays out the outstanding balance in full. This mechanism alone can reduce effective LGD from 45% to 25–30% by converting the three primary default triggers (death, disability, job loss) into insured events.</w:t>
      </w:r>
    </w:p>
    <w:p>
      <w:pPr>
        <w:spacing w:before="240" w:after="240" w:line="280" w:lineRule="auto"/>
        <w:pBdr>
          <w:left w:val="single" w:sz="18" w:space="14" w:color="E01E37"/>
        </w:pBdr>
        <w:shd w:val="clear" w:color="auto" w:fill="FFF5F6"/>
      </w:pPr>
      <w:r>
        <w:rPr>
          <w:rFonts w:ascii="Segoe UI" w:hAnsi="Segoe UI" w:cs="Segoe UI"/>
          <w:b/>
          <w:bCs/>
          <w:sz w:val="20"/>
          <w:szCs w:val="20"/>
          <w:color w:val="1A1A1A"/>
        </w:rPr>
        <w:t xml:space="preserve">Blended LGD Projection with Recovery Strategies</w:t>
      </w:r>
      <w:r>
        <w:br/>
      </w:r>
      <w:r>
        <w:rPr>
          <w:rFonts w:ascii="Segoe UI" w:hAnsi="Segoe UI" w:cs="Segoe UI"/>
          <w:sz w:val="20"/>
          <w:szCs w:val="20"/>
          <w:color w:val="1A1A1A"/>
        </w:rPr>
        <w:t xml:space="preserve">Base LGD (no strategies): 45%</w:t>
      </w:r>
      <w:r>
        <w:br/>
      </w:r>
      <w:r>
        <w:rPr>
          <w:rFonts w:ascii="Segoe UI" w:hAnsi="Segoe UI" w:cs="Segoe UI"/>
          <w:sz w:val="20"/>
          <w:szCs w:val="20"/>
          <w:color w:val="1A1A1A"/>
        </w:rPr>
        <w:t xml:space="preserve">With provider holdback (10% of loans): LGD reduces to ~42%</w:t>
      </w:r>
      <w:r>
        <w:br/>
      </w:r>
      <w:r>
        <w:rPr>
          <w:rFonts w:ascii="Segoe UI" w:hAnsi="Segoe UI" w:cs="Segoe UI"/>
          <w:sz w:val="20"/>
          <w:szCs w:val="20"/>
          <w:color w:val="1A1A1A"/>
        </w:rPr>
        <w:t xml:space="preserve">With medical aid assignment (20% of loans): LGD reduces to ~37%</w:t>
      </w:r>
      <w:r>
        <w:br/>
      </w:r>
      <w:r>
        <w:rPr>
          <w:rFonts w:ascii="Segoe UI" w:hAnsi="Segoe UI" w:cs="Segoe UI"/>
          <w:sz w:val="20"/>
          <w:szCs w:val="20"/>
          <w:color w:val="1A1A1A"/>
        </w:rPr>
        <w:t xml:space="preserve">With emoluments attachment (60% of employed defaulters): LGD reduces to ~32%</w:t>
      </w:r>
      <w:r>
        <w:br/>
      </w:r>
      <w:r>
        <w:rPr>
          <w:rFonts w:ascii="Segoe UI" w:hAnsi="Segoe UI" w:cs="Segoe UI"/>
          <w:sz w:val="20"/>
          <w:szCs w:val="20"/>
          <w:color w:val="1A1A1A"/>
        </w:rPr>
        <w:t xml:space="preserve">With credit life insurance (all loans): LGD reduces to ~27%</w:t>
      </w:r>
      <w:r>
        <w:br/>
      </w:r>
      <w:r>
        <w:rPr>
          <w:rFonts w:ascii="Segoe UI" w:hAnsi="Segoe UI" w:cs="Segoe UI"/>
          <w:sz w:val="20"/>
          <w:szCs w:val="20"/>
          <w:color w:val="1A1A1A"/>
        </w:rPr>
        <w:t xml:space="preserve">Blended LGD with all strategies active: 25–30%</w:t>
      </w:r>
      <w:r>
        <w:br/>
      </w:r>
      <w:r>
        <w:rPr>
          <w:rFonts w:ascii="Segoe UI" w:hAnsi="Segoe UI" w:cs="Segoe UI"/>
          <w:sz w:val="20"/>
          <w:szCs w:val="20"/>
          <w:color w:val="1A1A1A"/>
        </w:rPr>
        <w:t xml:space="preserve">Impact on net loss rate: reduces from 1.44% (base) to 0.80–0.96%</w:t>
      </w:r>
    </w:p>
    <w:p>
      <w:pPr>
        <w:keepNext/>
        <w:spacing w:before="360" w:after="160" w:line="288" w:lineRule="auto"/>
      </w:pPr>
      <w:r>
        <w:rPr>
          <w:rFonts w:ascii="Segoe UI" w:hAnsi="Segoe UI" w:cs="Segoe UI"/>
          <w:b/>
          <w:bCs/>
          <w:sz w:val="34"/>
          <w:szCs w:val="34"/>
          <w:color w:val="1A1A1A"/>
        </w:rPr>
        <w:t xml:space="preserve">4.3 The Loss Equation</w:t>
      </w:r>
    </w:p>
    <w:p>
      <w:pPr>
        <w:spacing w:after="160" w:line="300" w:lineRule="auto"/>
      </w:pPr>
      <w:r>
        <w:rPr>
          <w:rFonts w:ascii="Segoe UI" w:hAnsi="Segoe UI" w:cs="Segoe UI"/>
          <w:sz w:val="22"/>
          <w:szCs w:val="22"/>
          <w:color w:val="333333"/>
        </w:rPr>
        <w:t xml:space="preserve">The fundamental loss equation for PaySick’s balance sheet book is:</w:t>
      </w:r>
    </w:p>
    <w:p>
      <w:pPr>
        <w:spacing w:before="240" w:after="240" w:line="280" w:lineRule="auto"/>
        <w:pBdr>
          <w:left w:val="single" w:sz="18" w:space="14" w:color="E0E0E0"/>
        </w:pBdr>
        <w:shd w:val="clear" w:color="auto" w:fill="F7F7F7"/>
      </w:pPr>
      <w:r>
        <w:rPr>
          <w:rFonts w:ascii="Segoe UI" w:hAnsi="Segoe UI" w:cs="Segoe UI"/>
          <w:b/>
          <w:bCs/>
          <w:sz w:val="20"/>
          <w:szCs w:val="20"/>
          <w:color w:val="1A1A1A"/>
        </w:rPr>
        <w:t xml:space="preserve">Net Loss Rate = Probability of Default (PD) × Loss Given Default (LGD)</w:t>
      </w:r>
    </w:p>
    <w:p>
      <w:pPr>
        <w:spacing w:after="160" w:line="300" w:lineRule="auto"/>
      </w:pPr>
      <w:r>
        <w:rPr>
          <w:rFonts w:ascii="Segoe UI" w:hAnsi="Segoe UI" w:cs="Segoe UI"/>
          <w:sz w:val="22"/>
          <w:szCs w:val="22"/>
          <w:color w:val="333333"/>
        </w:rPr>
        <w:t xml:space="preserve">Break-even occurs when Net Loss Rate exceeds Blended Revenue per Loan. With PaySick’s target revenue of R1,850 per R18,500 loan (10% blended yield), the break-even net loss rate is 10%. At target LGD of 45%, this implies a break-even PD of approximately 22%. At stress LGD of 70%, break-even PD is approximately 14%.</w:t>
      </w:r>
    </w:p>
    <w:p>
      <w:pPr>
        <w:keepNext/>
        <w:spacing w:before="360" w:after="160" w:line="288" w:lineRule="auto"/>
      </w:pPr>
      <w:r>
        <w:rPr>
          <w:rFonts w:ascii="Segoe UI" w:hAnsi="Segoe UI" w:cs="Segoe UI"/>
          <w:b/>
          <w:bCs/>
          <w:sz w:val="34"/>
          <w:szCs w:val="34"/>
          <w:color w:val="1A1A1A"/>
        </w:rPr>
        <w:t xml:space="preserve">4.4 Cost of Capital Analysis: Optimal Rate and Global Comparison</w:t>
      </w:r>
    </w:p>
    <w:p>
      <w:pPr>
        <w:spacing w:after="160" w:line="300" w:lineRule="auto"/>
      </w:pPr>
      <w:r>
        <w:rPr>
          <w:rFonts w:ascii="Segoe UI" w:hAnsi="Segoe UI" w:cs="Segoe UI"/>
          <w:sz w:val="22"/>
          <w:szCs w:val="22"/>
          <w:color w:val="333333"/>
        </w:rPr>
        <w:t xml:space="preserve">South Africa’s current repo rate of 6.75% (January 2026), with prime lending at 10.25%, positions PaySick’s cost of capital favourably. Following six consecutive rate cuts totalling 150 basis points since September 2024, the monetary policy cycle is actively improving margin structure. Further cuts are anticipated, with analysts projecting a repo rate of 6.25% by late 2026.</w:t>
      </w:r>
    </w:p>
    <w:p>
      <w:pPr>
        <w:spacing w:after="160" w:line="300" w:lineRule="auto"/>
      </w:pPr>
      <w:r>
        <w:rPr>
          <w:rFonts w:ascii="Segoe UI" w:hAnsi="Segoe UI" w:cs="Segoe UI"/>
          <w:sz w:val="22"/>
          <w:szCs w:val="22"/>
          <w:color w:val="333333"/>
        </w:rPr>
        <w:t xml:space="preserve">PaySick’s optimal cost of capital structure on balance sheet lending targets repo + 200–300 basis points (8.75–9.75% blended funding cost), lending to patients at prime + 5–8% (15.25–18.25% APR), generating a net interest margin (NIM) of 5.5–8.5%. This NIM must absorb the target net loss rate of 1.44%, operating costs, and profit margin.</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1500"/>
        <w:gridCol w:w="1500"/>
        <w:gridCol w:w="1500"/>
        <w:gridCol w:w="1500"/>
        <w:gridCol w:w="1500"/>
        <w:gridCol w:w="1526"/>
      </w:tblGrid>
      <w:tr>
        <w:trPr>
          <w:tblHeader/>
        </w:trPr>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Market</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Policy Rate</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Funding Cost</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Lending Rate</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NIM Opportunity</w:t>
            </w:r>
          </w:p>
        </w:tc>
        <w:tc>
          <w:tcPr>
            <w:tcW w:w="1526" w:type="dxa"/>
            <w:shd w:val="clear" w:color="auto" w:fill="2D2D2D"/>
            <w:vAlign w:val="center"/>
          </w:tcPr>
          <w:p>
            <w:pPr>
              <w:spacing w:before="70" w:after="70" w:line="240" w:lineRule="auto"/>
            </w:pPr>
            <w:r>
              <w:rPr>
                <w:rFonts w:ascii="Segoe UI" w:hAnsi="Segoe UI" w:cs="Segoe UI"/>
                <w:b/>
                <w:bCs/>
                <w:sz w:val="18"/>
                <w:szCs w:val="18"/>
                <w:color w:val="FFFFFF"/>
              </w:rPr>
              <w:t xml:space="preserve">Favourability</w:t>
            </w:r>
          </w:p>
        </w:tc>
      </w:tr>
      <w:tr>
        <w:tc>
          <w:tcPr>
            <w:tcW w:w="1500" w:type="dxa"/>
            <w:shd w:val="clear" w:color="auto" w:fill="FFFFFF"/>
            <w:vAlign w:val="center"/>
          </w:tcPr>
          <w:p>
            <w:pPr>
              <w:spacing w:before="60" w:after="60" w:line="240" w:lineRule="auto"/>
            </w:pPr>
            <w:r>
              <w:rPr>
                <w:rFonts w:ascii="Segoe UI" w:hAnsi="Segoe UI" w:cs="Segoe UI"/>
                <w:b/>
                <w:bCs/>
                <w:sz w:val="18"/>
                <w:szCs w:val="18"/>
                <w:color w:val="333333"/>
              </w:rPr>
              <w:t xml:space="preserve">South Africa</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6.75% (declining)</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8.75–9.75%</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15–18%</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5.5–8.5%</w:t>
            </w:r>
          </w:p>
        </w:tc>
        <w:tc>
          <w:tcPr>
            <w:tcW w:w="1526" w:type="dxa"/>
            <w:shd w:val="clear" w:color="auto" w:fill="FFFFFF"/>
            <w:vAlign w:val="center"/>
          </w:tcPr>
          <w:p>
            <w:pPr>
              <w:spacing w:before="60" w:after="60" w:line="240" w:lineRule="auto"/>
            </w:pPr>
            <w:r>
              <w:rPr>
                <w:rFonts w:ascii="Segoe UI" w:hAnsi="Segoe UI" w:cs="Segoe UI"/>
                <w:sz w:val="18"/>
                <w:szCs w:val="18"/>
                <w:color w:val="333333"/>
              </w:rPr>
              <w:t xml:space="preserve">High</w:t>
            </w:r>
          </w:p>
        </w:tc>
      </w:tr>
      <w:tr>
        <w:tc>
          <w:tcPr>
            <w:tcW w:w="1500" w:type="dxa"/>
            <w:shd w:val="clear" w:color="auto" w:fill="F8F8F8"/>
            <w:vAlign w:val="center"/>
          </w:tcPr>
          <w:p>
            <w:pPr>
              <w:spacing w:before="60" w:after="60" w:line="240" w:lineRule="auto"/>
            </w:pPr>
            <w:r>
              <w:rPr>
                <w:rFonts w:ascii="Segoe UI" w:hAnsi="Segoe UI" w:cs="Segoe UI"/>
                <w:b/>
                <w:bCs/>
                <w:sz w:val="18"/>
                <w:szCs w:val="18"/>
                <w:color w:val="333333"/>
              </w:rPr>
              <w:t xml:space="preserve">Kenya</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10.0%</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12–14%</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20–24%</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6–10%</w:t>
            </w:r>
          </w:p>
        </w:tc>
        <w:tc>
          <w:tcPr>
            <w:tcW w:w="1526" w:type="dxa"/>
            <w:shd w:val="clear" w:color="auto" w:fill="F8F8F8"/>
            <w:vAlign w:val="center"/>
          </w:tcPr>
          <w:p>
            <w:pPr>
              <w:spacing w:before="60" w:after="60" w:line="240" w:lineRule="auto"/>
            </w:pPr>
            <w:r>
              <w:rPr>
                <w:rFonts w:ascii="Segoe UI" w:hAnsi="Segoe UI" w:cs="Segoe UI"/>
                <w:sz w:val="18"/>
                <w:szCs w:val="18"/>
                <w:color w:val="333333"/>
              </w:rPr>
              <w:t xml:space="preserve">High (higher risk)</w:t>
            </w:r>
          </w:p>
        </w:tc>
      </w:tr>
      <w:tr>
        <w:tc>
          <w:tcPr>
            <w:tcW w:w="1500" w:type="dxa"/>
            <w:shd w:val="clear" w:color="auto" w:fill="FFFFFF"/>
            <w:vAlign w:val="center"/>
          </w:tcPr>
          <w:p>
            <w:pPr>
              <w:spacing w:before="60" w:after="60" w:line="240" w:lineRule="auto"/>
            </w:pPr>
            <w:r>
              <w:rPr>
                <w:rFonts w:ascii="Segoe UI" w:hAnsi="Segoe UI" w:cs="Segoe UI"/>
                <w:b/>
                <w:bCs/>
                <w:sz w:val="18"/>
                <w:szCs w:val="18"/>
                <w:color w:val="333333"/>
              </w:rPr>
              <w:t xml:space="preserve">India</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6.5%</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8–10%</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14–18%</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5–8%</w:t>
            </w:r>
          </w:p>
        </w:tc>
        <w:tc>
          <w:tcPr>
            <w:tcW w:w="1526" w:type="dxa"/>
            <w:shd w:val="clear" w:color="auto" w:fill="FFFFFF"/>
            <w:vAlign w:val="center"/>
          </w:tcPr>
          <w:p>
            <w:pPr>
              <w:spacing w:before="60" w:after="60" w:line="240" w:lineRule="auto"/>
            </w:pPr>
            <w:r>
              <w:rPr>
                <w:rFonts w:ascii="Segoe UI" w:hAnsi="Segoe UI" w:cs="Segoe UI"/>
                <w:sz w:val="18"/>
                <w:szCs w:val="18"/>
                <w:color w:val="333333"/>
              </w:rPr>
              <w:t xml:space="preserve">High (scale advantage)</w:t>
            </w:r>
          </w:p>
        </w:tc>
      </w:tr>
      <w:tr>
        <w:tc>
          <w:tcPr>
            <w:tcW w:w="1500" w:type="dxa"/>
            <w:shd w:val="clear" w:color="auto" w:fill="F8F8F8"/>
            <w:vAlign w:val="center"/>
          </w:tcPr>
          <w:p>
            <w:pPr>
              <w:spacing w:before="60" w:after="60" w:line="240" w:lineRule="auto"/>
            </w:pPr>
            <w:r>
              <w:rPr>
                <w:rFonts w:ascii="Segoe UI" w:hAnsi="Segoe UI" w:cs="Segoe UI"/>
                <w:b/>
                <w:bCs/>
                <w:sz w:val="18"/>
                <w:szCs w:val="18"/>
                <w:color w:val="333333"/>
              </w:rPr>
              <w:t xml:space="preserve">Nigeria</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27.5%</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30–35%</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35–45%</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5–10%</w:t>
            </w:r>
          </w:p>
        </w:tc>
        <w:tc>
          <w:tcPr>
            <w:tcW w:w="1526" w:type="dxa"/>
            <w:shd w:val="clear" w:color="auto" w:fill="F8F8F8"/>
            <w:vAlign w:val="center"/>
          </w:tcPr>
          <w:p>
            <w:pPr>
              <w:spacing w:before="60" w:after="60" w:line="240" w:lineRule="auto"/>
            </w:pPr>
            <w:r>
              <w:rPr>
                <w:rFonts w:ascii="Segoe UI" w:hAnsi="Segoe UI" w:cs="Segoe UI"/>
                <w:sz w:val="18"/>
                <w:szCs w:val="18"/>
                <w:color w:val="333333"/>
              </w:rPr>
              <w:t xml:space="preserve">Moderate (FX risk)</w:t>
            </w:r>
          </w:p>
        </w:tc>
      </w:tr>
      <w:tr>
        <w:tc>
          <w:tcPr>
            <w:tcW w:w="1500" w:type="dxa"/>
            <w:shd w:val="clear" w:color="auto" w:fill="FFFFFF"/>
            <w:vAlign w:val="center"/>
          </w:tcPr>
          <w:p>
            <w:pPr>
              <w:spacing w:before="60" w:after="60" w:line="240" w:lineRule="auto"/>
            </w:pPr>
            <w:r>
              <w:rPr>
                <w:rFonts w:ascii="Segoe UI" w:hAnsi="Segoe UI" w:cs="Segoe UI"/>
                <w:b/>
                <w:bCs/>
                <w:sz w:val="18"/>
                <w:szCs w:val="18"/>
                <w:color w:val="333333"/>
              </w:rPr>
              <w:t xml:space="preserve">United Kingdom</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4.5%</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5–7%</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8–15%</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3–6%</w:t>
            </w:r>
          </w:p>
        </w:tc>
        <w:tc>
          <w:tcPr>
            <w:tcW w:w="1526" w:type="dxa"/>
            <w:shd w:val="clear" w:color="auto" w:fill="FFFFFF"/>
            <w:vAlign w:val="center"/>
          </w:tcPr>
          <w:p>
            <w:pPr>
              <w:spacing w:before="60" w:after="60" w:line="240" w:lineRule="auto"/>
            </w:pPr>
            <w:r>
              <w:rPr>
                <w:rFonts w:ascii="Segoe UI" w:hAnsi="Segoe UI" w:cs="Segoe UI"/>
                <w:sz w:val="18"/>
                <w:szCs w:val="18"/>
                <w:color w:val="333333"/>
              </w:rPr>
              <w:t xml:space="preserve">Moderate (competitive)</w:t>
            </w:r>
          </w:p>
        </w:tc>
      </w:tr>
      <w:tr>
        <w:tc>
          <w:tcPr>
            <w:tcW w:w="1500" w:type="dxa"/>
            <w:shd w:val="clear" w:color="auto" w:fill="F8F8F8"/>
            <w:vAlign w:val="center"/>
          </w:tcPr>
          <w:p>
            <w:pPr>
              <w:spacing w:before="60" w:after="60" w:line="240" w:lineRule="auto"/>
            </w:pPr>
            <w:r>
              <w:rPr>
                <w:rFonts w:ascii="Segoe UI" w:hAnsi="Segoe UI" w:cs="Segoe UI"/>
                <w:b/>
                <w:bCs/>
                <w:sz w:val="18"/>
                <w:szCs w:val="18"/>
                <w:color w:val="333333"/>
              </w:rPr>
              <w:t xml:space="preserve">Southeast Asia (avg)</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4–6%</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6–8%</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10–16%</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4–6%</w:t>
            </w:r>
          </w:p>
        </w:tc>
        <w:tc>
          <w:tcPr>
            <w:tcW w:w="1526" w:type="dxa"/>
            <w:shd w:val="clear" w:color="auto" w:fill="F8F8F8"/>
            <w:vAlign w:val="center"/>
          </w:tcPr>
          <w:p>
            <w:pPr>
              <w:spacing w:before="60" w:after="60" w:line="240" w:lineRule="auto"/>
            </w:pPr>
            <w:r>
              <w:rPr>
                <w:rFonts w:ascii="Segoe UI" w:hAnsi="Segoe UI" w:cs="Segoe UI"/>
                <w:sz w:val="18"/>
                <w:szCs w:val="18"/>
                <w:color w:val="333333"/>
              </w:rPr>
              <w:t xml:space="preserve">Moderate (tight margins)</w:t>
            </w:r>
          </w:p>
        </w:tc>
      </w:tr>
    </w:tbl>
    <w:p>
      <w:pPr>
        <w:spacing w:after="60" w:line="240" w:lineRule="auto"/>
      </w:pPr>
      <w:r>
        <w:rPr>
          <w:rFonts w:ascii="Segoe UI" w:hAnsi="Segoe UI" w:cs="Segoe UI"/>
        </w:rPr>
        <w:t xml:space="preserve"/>
      </w:r>
    </w:p>
    <w:p>
      <w:pPr>
        <w:spacing w:after="160" w:line="300" w:lineRule="auto"/>
      </w:pPr>
      <w:r>
        <w:rPr>
          <w:rFonts w:ascii="Segoe UI" w:hAnsi="Segoe UI" w:cs="Segoe UI"/>
          <w:sz w:val="22"/>
          <w:szCs w:val="22"/>
          <w:color w:val="333333"/>
        </w:rPr>
        <w:t xml:space="preserve">South Africa occupies a favourable position: mature banking infrastructure enabling efficient funding, moderate and declining cost of capital, a strong legal framework for debt recovery under the NCA, and a large addressable market with no incumbent. The declining rate cycle creates a window where PaySick can lock in favourable funding terms while the book is small and renegotiate as scale provides leverage. Kenya and India represent the most favourable expansion markets from a cost-of-capital perspective, while Nigeria’s high rates create attractive NIM but introduce significant currency depreciation risk that must be hedged.</w:t>
      </w:r>
    </w:p>
    <w:p>
      <w:pPr>
        <w:spacing w:after="20" w:line="240" w:lineRule="auto"/>
      </w:pPr>
      <w:r>
        <w:rPr>
          <w:rFonts w:ascii="Segoe UI" w:hAnsi="Segoe UI" w:cs="Segoe UI"/>
          <w:b/>
          <w:bCs/>
          <w:caps/>
          <w:sz w:val="18"/>
          <w:szCs w:val="18"/>
          <w:color w:val="E01E37"/>
          <w:spacing w:val="80"/>
        </w:rPr>
        <w:t xml:space="preserve">Section 05</w:t>
      </w:r>
    </w:p>
    <w:p>
      <w:pPr>
        <w:keepNext/>
        <w:pageBreakBefore/>
        <w:spacing w:before="0" w:after="80" w:line="288" w:lineRule="auto"/>
      </w:pPr>
      <w:r>
        <w:rPr>
          <w:rFonts w:ascii="Segoe UI" w:hAnsi="Segoe UI" w:cs="Segoe UI"/>
          <w:b/>
          <w:bCs/>
          <w:sz w:val="52"/>
          <w:szCs w:val="52"/>
          <w:color w:val="1A1A1A"/>
        </w:rPr>
        <w:t xml:space="preserve">Scenario Analysis: Quantifying Loss Under Stress</w:t>
      </w:r>
    </w:p>
    <w:p>
      <w:pPr>
        <w:spacing w:after="280" w:line="240" w:lineRule="auto"/>
        <w:pBdr>
          <w:bottom w:val="single" w:sz="12" w:space="6" w:color="E01E37"/>
        </w:pBdr>
      </w:pPr>
      <w:r>
        <w:t xml:space="preserve"> </w:t>
      </w:r>
    </w:p>
    <w:p>
      <w:pPr>
        <w:keepNext/>
        <w:spacing w:before="360" w:after="160" w:line="288" w:lineRule="auto"/>
      </w:pPr>
      <w:r>
        <w:rPr>
          <w:rFonts w:ascii="Segoe UI" w:hAnsi="Segoe UI" w:cs="Segoe UI"/>
          <w:b/>
          <w:bCs/>
          <w:sz w:val="34"/>
          <w:szCs w:val="34"/>
          <w:color w:val="1A1A1A"/>
        </w:rPr>
        <w:t xml:space="preserve">5.1 Default Rate Derivation Methodology</w:t>
      </w:r>
    </w:p>
    <w:p>
      <w:pPr>
        <w:spacing w:after="160" w:line="300" w:lineRule="auto"/>
      </w:pPr>
      <w:r>
        <w:rPr>
          <w:rFonts w:ascii="Segoe UI" w:hAnsi="Segoe UI" w:cs="Segoe UI"/>
          <w:sz w:val="22"/>
          <w:szCs w:val="22"/>
          <w:color w:val="333333"/>
        </w:rPr>
        <w:t xml:space="preserve">The default rate assumptions used throughout this analysis are derived from empirical data, adjusted for South Africa’s specific risk environment. A CRO reviewing these numbers should understand the derivation chain:</w:t>
      </w:r>
    </w:p>
    <w:p>
      <w:pPr>
        <w:spacing w:after="160" w:line="300" w:lineRule="auto"/>
      </w:pPr>
      <w:r>
        <w:rPr>
          <w:rFonts w:ascii="Segoe UI" w:hAnsi="Segoe UI" w:cs="Segoe UI"/>
          <w:b/>
          <w:bCs/>
          <w:sz w:val="22"/>
          <w:szCs w:val="22"/>
          <w:color w:val="1A1A1A"/>
        </w:rPr>
        <w:t xml:space="preserve">Base PD of 3.2% derivation: </w:t>
      </w:r>
      <w:r>
        <w:rPr>
          <w:rFonts w:ascii="Segoe UI" w:hAnsi="Segoe UI" w:cs="Segoe UI"/>
          <w:sz w:val="22"/>
          <w:szCs w:val="22"/>
          <w:color w:val="333333"/>
        </w:rPr>
        <w:t xml:space="preserve">Healthcare loans globally have maintained a cumulative default rate of 1.6% over the period 2000–2025, according to PitchBook LCD data cited by Prospect Capital Management. This represents institutional healthcare lending in mature markets (primarily U.S.). We apply a 2x multiplier to account for: (a) South Africa’s higher structural unemployment rate of approximately 32% versus approximately 4% in the U.S., (b) emerging market risk premium reflecting currency volatility and weaker institutional frameworks, and (c) PaySick’s early-stage portfolio concentration versus diversified institutional portfolios. The resulting 3.2% target PD is conservative relative to the 1.6% global benchmark while remaining realistic for a well-underwritten South African healthcare book.</w:t>
      </w:r>
    </w:p>
    <w:p>
      <w:pPr>
        <w:spacing w:after="160" w:line="300" w:lineRule="auto"/>
      </w:pPr>
      <w:r>
        <w:rPr>
          <w:rFonts w:ascii="Segoe UI" w:hAnsi="Segoe UI" w:cs="Segoe UI"/>
          <w:b/>
          <w:bCs/>
          <w:sz w:val="22"/>
          <w:szCs w:val="22"/>
          <w:color w:val="1A1A1A"/>
        </w:rPr>
        <w:t xml:space="preserve">Scenario progression logic: </w:t>
      </w:r>
      <w:r>
        <w:rPr>
          <w:rFonts w:ascii="Segoe UI" w:hAnsi="Segoe UI" w:cs="Segoe UI"/>
          <w:sz w:val="22"/>
          <w:szCs w:val="22"/>
          <w:color w:val="333333"/>
        </w:rPr>
        <w:t xml:space="preserve">The Conservative scenario PD of 5.0% aligns with South African personal loan averages for employed borrowers. The Stress scenario PD of 8.0% represents the lower bound of retail BNPL delinquency rates. The Crisis scenario of 12.0% reflects the upper bound of retail BNPL experience where 42% of users report late payments. The Catastrophic scenario of 15.0% represents deep subprime unsecured lending in a recessionary environment, a level that has been observed in South African micro-lending during economic contractions.</w:t>
      </w:r>
    </w:p>
    <w:p>
      <w:pPr>
        <w:spacing w:after="160" w:line="300" w:lineRule="auto"/>
      </w:pPr>
      <w:r>
        <w:rPr>
          <w:rFonts w:ascii="Segoe UI" w:hAnsi="Segoe UI" w:cs="Segoe UI"/>
          <w:b/>
          <w:bCs/>
          <w:sz w:val="22"/>
          <w:szCs w:val="22"/>
          <w:color w:val="1A1A1A"/>
        </w:rPr>
        <w:t xml:space="preserve">Retail BNPL benchmark of 8–12% derivation: </w:t>
      </w:r>
      <w:r>
        <w:rPr>
          <w:rFonts w:ascii="Segoe UI" w:hAnsi="Segoe UI" w:cs="Segoe UI"/>
          <w:sz w:val="22"/>
          <w:szCs w:val="22"/>
          <w:color w:val="333333"/>
        </w:rPr>
        <w:t xml:space="preserve">The Richmond Federal Reserve (2025) reported that top-five BNPL lenders had charge-off rates of 2.39% in 2021, but this understates true losses because BNPL loans are short-duration. When annualised, effective default rates on a portfolio basis are 8–12%. LendingTree data shows 42% of BNPL users made at least one late payment in 2025, up from 34% in 2023. Klarna reported a 17% increase in credit losses to $137 million in Q1 2025. The CFPB found that 78% of subprime applicants were approved for BNPL, indicating systematic adverse selection.</w:t>
      </w:r>
    </w:p>
    <w:p>
      <w:pPr>
        <w:keepNext/>
        <w:spacing w:before="360" w:after="160" w:line="288" w:lineRule="auto"/>
      </w:pPr>
      <w:r>
        <w:rPr>
          <w:rFonts w:ascii="Segoe UI" w:hAnsi="Segoe UI" w:cs="Segoe UI"/>
          <w:b/>
          <w:bCs/>
          <w:sz w:val="34"/>
          <w:szCs w:val="34"/>
          <w:color w:val="1A1A1A"/>
        </w:rPr>
        <w:t xml:space="preserve">5.2 Balance Sheet Book Scenarios</w:t>
      </w:r>
    </w:p>
    <w:p>
      <w:pPr>
        <w:spacing w:after="160" w:line="300" w:lineRule="auto"/>
      </w:pPr>
      <w:r>
        <w:rPr>
          <w:rFonts w:ascii="Segoe UI" w:hAnsi="Segoe UI" w:cs="Segoe UI"/>
          <w:sz w:val="22"/>
          <w:szCs w:val="22"/>
          <w:color w:val="333333"/>
        </w:rPr>
        <w:t xml:space="preserve">The following table models six scenarios across PaySick’s balance sheet lending book, based on an average loan of R18,500 and blended revenue per loan of R1,850 (10%).</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1300"/>
        <w:gridCol w:w="900"/>
        <w:gridCol w:w="900"/>
        <w:gridCol w:w="1100"/>
        <w:gridCol w:w="1200"/>
        <w:gridCol w:w="1200"/>
        <w:gridCol w:w="1200"/>
        <w:gridCol w:w="1226"/>
      </w:tblGrid>
      <w:tr>
        <w:trPr>
          <w:tblHeader/>
        </w:trPr>
        <w:tc>
          <w:tcPr>
            <w:tcW w:w="1300" w:type="dxa"/>
            <w:shd w:val="clear" w:color="auto" w:fill="2D2D2D"/>
            <w:vAlign w:val="center"/>
          </w:tcPr>
          <w:p>
            <w:pPr>
              <w:spacing w:before="70" w:after="70" w:line="240" w:lineRule="auto"/>
            </w:pPr>
            <w:r>
              <w:rPr>
                <w:rFonts w:ascii="Segoe UI" w:hAnsi="Segoe UI" w:cs="Segoe UI"/>
                <w:b/>
                <w:bCs/>
                <w:sz w:val="18"/>
                <w:szCs w:val="18"/>
                <w:color w:val="FFFFFF"/>
              </w:rPr>
              <w:t xml:space="preserve">Scenario</w:t>
            </w:r>
          </w:p>
        </w:tc>
        <w:tc>
          <w:tcPr>
            <w:tcW w:w="900" w:type="dxa"/>
            <w:shd w:val="clear" w:color="auto" w:fill="2D2D2D"/>
            <w:vAlign w:val="center"/>
          </w:tcPr>
          <w:p>
            <w:pPr>
              <w:spacing w:before="70" w:after="70" w:line="240" w:lineRule="auto"/>
            </w:pPr>
            <w:r>
              <w:rPr>
                <w:rFonts w:ascii="Segoe UI" w:hAnsi="Segoe UI" w:cs="Segoe UI"/>
                <w:b/>
                <w:bCs/>
                <w:sz w:val="18"/>
                <w:szCs w:val="18"/>
                <w:color w:val="FFFFFF"/>
              </w:rPr>
              <w:t xml:space="preserve">PD</w:t>
            </w:r>
          </w:p>
        </w:tc>
        <w:tc>
          <w:tcPr>
            <w:tcW w:w="900" w:type="dxa"/>
            <w:shd w:val="clear" w:color="auto" w:fill="2D2D2D"/>
            <w:vAlign w:val="center"/>
          </w:tcPr>
          <w:p>
            <w:pPr>
              <w:spacing w:before="70" w:after="70" w:line="240" w:lineRule="auto"/>
            </w:pPr>
            <w:r>
              <w:rPr>
                <w:rFonts w:ascii="Segoe UI" w:hAnsi="Segoe UI" w:cs="Segoe UI"/>
                <w:b/>
                <w:bCs/>
                <w:sz w:val="18"/>
                <w:szCs w:val="18"/>
                <w:color w:val="FFFFFF"/>
              </w:rPr>
              <w:t xml:space="preserve">LGD</w:t>
            </w:r>
          </w:p>
        </w:tc>
        <w:tc>
          <w:tcPr>
            <w:tcW w:w="1100" w:type="dxa"/>
            <w:shd w:val="clear" w:color="auto" w:fill="2D2D2D"/>
            <w:vAlign w:val="center"/>
          </w:tcPr>
          <w:p>
            <w:pPr>
              <w:spacing w:before="70" w:after="70" w:line="240" w:lineRule="auto"/>
            </w:pPr>
            <w:r>
              <w:rPr>
                <w:rFonts w:ascii="Segoe UI" w:hAnsi="Segoe UI" w:cs="Segoe UI"/>
                <w:b/>
                <w:bCs/>
                <w:sz w:val="18"/>
                <w:szCs w:val="18"/>
                <w:color w:val="FFFFFF"/>
              </w:rPr>
              <w:t xml:space="preserve">Net Loss</w:t>
            </w:r>
          </w:p>
        </w:tc>
        <w:tc>
          <w:tcPr>
            <w:tcW w:w="1200" w:type="dxa"/>
            <w:shd w:val="clear" w:color="auto" w:fill="2D2D2D"/>
            <w:vAlign w:val="center"/>
          </w:tcPr>
          <w:p>
            <w:pPr>
              <w:spacing w:before="70" w:after="70" w:line="240" w:lineRule="auto"/>
            </w:pPr>
            <w:r>
              <w:rPr>
                <w:rFonts w:ascii="Segoe UI" w:hAnsi="Segoe UI" w:cs="Segoe UI"/>
                <w:b/>
                <w:bCs/>
                <w:sz w:val="18"/>
                <w:szCs w:val="18"/>
                <w:color w:val="FFFFFF"/>
              </w:rPr>
              <w:t xml:space="preserve">Revenue</w:t>
            </w:r>
          </w:p>
        </w:tc>
        <w:tc>
          <w:tcPr>
            <w:tcW w:w="1200" w:type="dxa"/>
            <w:shd w:val="clear" w:color="auto" w:fill="2D2D2D"/>
            <w:vAlign w:val="center"/>
          </w:tcPr>
          <w:p>
            <w:pPr>
              <w:spacing w:before="70" w:after="70" w:line="240" w:lineRule="auto"/>
            </w:pPr>
            <w:r>
              <w:rPr>
                <w:rFonts w:ascii="Segoe UI" w:hAnsi="Segoe UI" w:cs="Segoe UI"/>
                <w:b/>
                <w:bCs/>
                <w:sz w:val="18"/>
                <w:szCs w:val="18"/>
                <w:color w:val="FFFFFF"/>
              </w:rPr>
              <w:t xml:space="preserve">Loss/Loan</w:t>
            </w:r>
          </w:p>
        </w:tc>
        <w:tc>
          <w:tcPr>
            <w:tcW w:w="1200" w:type="dxa"/>
            <w:shd w:val="clear" w:color="auto" w:fill="2D2D2D"/>
            <w:vAlign w:val="center"/>
          </w:tcPr>
          <w:p>
            <w:pPr>
              <w:spacing w:before="70" w:after="70" w:line="240" w:lineRule="auto"/>
            </w:pPr>
            <w:r>
              <w:rPr>
                <w:rFonts w:ascii="Segoe UI" w:hAnsi="Segoe UI" w:cs="Segoe UI"/>
                <w:b/>
                <w:bCs/>
                <w:sz w:val="18"/>
                <w:szCs w:val="18"/>
                <w:color w:val="FFFFFF"/>
              </w:rPr>
              <w:t xml:space="preserve">Net/Loan</w:t>
            </w:r>
          </w:p>
        </w:tc>
        <w:tc>
          <w:tcPr>
            <w:tcW w:w="1226" w:type="dxa"/>
            <w:shd w:val="clear" w:color="auto" w:fill="2D2D2D"/>
            <w:vAlign w:val="center"/>
          </w:tcPr>
          <w:p>
            <w:pPr>
              <w:spacing w:before="70" w:after="70" w:line="240" w:lineRule="auto"/>
            </w:pPr>
            <w:r>
              <w:rPr>
                <w:rFonts w:ascii="Segoe UI" w:hAnsi="Segoe UI" w:cs="Segoe UI"/>
                <w:b/>
                <w:bCs/>
                <w:sz w:val="18"/>
                <w:szCs w:val="18"/>
                <w:color w:val="FFFFFF"/>
              </w:rPr>
              <w:t xml:space="preserve">Viable?</w:t>
            </w:r>
          </w:p>
        </w:tc>
      </w:tr>
      <w:tr>
        <w:tc>
          <w:tcPr>
            <w:tcW w:w="1300" w:type="dxa"/>
            <w:shd w:val="clear" w:color="auto" w:fill="FFFFFF"/>
            <w:vAlign w:val="center"/>
          </w:tcPr>
          <w:p>
            <w:pPr>
              <w:spacing w:before="60" w:after="60" w:line="240" w:lineRule="auto"/>
            </w:pPr>
            <w:r>
              <w:rPr>
                <w:rFonts w:ascii="Segoe UI" w:hAnsi="Segoe UI" w:cs="Segoe UI"/>
                <w:b/>
                <w:bCs/>
                <w:sz w:val="18"/>
                <w:szCs w:val="18"/>
                <w:color w:val="333333"/>
              </w:rPr>
              <w:t xml:space="preserve">Optimistic</w:t>
            </w:r>
          </w:p>
        </w:tc>
        <w:tc>
          <w:tcPr>
            <w:tcW w:w="900" w:type="dxa"/>
            <w:shd w:val="clear" w:color="auto" w:fill="FFFFFF"/>
            <w:vAlign w:val="center"/>
          </w:tcPr>
          <w:p>
            <w:pPr>
              <w:spacing w:before="60" w:after="60" w:line="240" w:lineRule="auto"/>
            </w:pPr>
            <w:r>
              <w:rPr>
                <w:rFonts w:ascii="Segoe UI" w:hAnsi="Segoe UI" w:cs="Segoe UI"/>
                <w:sz w:val="18"/>
                <w:szCs w:val="18"/>
                <w:color w:val="333333"/>
              </w:rPr>
              <w:t xml:space="preserve">2.0%</w:t>
            </w:r>
          </w:p>
        </w:tc>
        <w:tc>
          <w:tcPr>
            <w:tcW w:w="900" w:type="dxa"/>
            <w:shd w:val="clear" w:color="auto" w:fill="FFFFFF"/>
            <w:vAlign w:val="center"/>
          </w:tcPr>
          <w:p>
            <w:pPr>
              <w:spacing w:before="60" w:after="60" w:line="240" w:lineRule="auto"/>
            </w:pPr>
            <w:r>
              <w:rPr>
                <w:rFonts w:ascii="Segoe UI" w:hAnsi="Segoe UI" w:cs="Segoe UI"/>
                <w:sz w:val="18"/>
                <w:szCs w:val="18"/>
                <w:color w:val="333333"/>
              </w:rPr>
              <w:t xml:space="preserve">40%</w:t>
            </w:r>
          </w:p>
        </w:tc>
        <w:tc>
          <w:tcPr>
            <w:tcW w:w="1100" w:type="dxa"/>
            <w:shd w:val="clear" w:color="auto" w:fill="FFFFFF"/>
            <w:vAlign w:val="center"/>
          </w:tcPr>
          <w:p>
            <w:pPr>
              <w:spacing w:before="60" w:after="60" w:line="240" w:lineRule="auto"/>
            </w:pPr>
            <w:r>
              <w:rPr>
                <w:rFonts w:ascii="Segoe UI" w:hAnsi="Segoe UI" w:cs="Segoe UI"/>
                <w:sz w:val="18"/>
                <w:szCs w:val="18"/>
                <w:color w:val="333333"/>
              </w:rPr>
              <w:t xml:space="preserve">0.8%</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R1,850</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R148</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R1,702</w:t>
            </w:r>
          </w:p>
        </w:tc>
        <w:tc>
          <w:tcPr>
            <w:tcW w:w="1226" w:type="dxa"/>
            <w:shd w:val="clear" w:color="auto" w:fill="FFFFFF"/>
            <w:vAlign w:val="center"/>
          </w:tcPr>
          <w:p>
            <w:pPr>
              <w:spacing w:before="60" w:after="60" w:line="240" w:lineRule="auto"/>
            </w:pPr>
            <w:r>
              <w:rPr>
                <w:rFonts w:ascii="Segoe UI" w:hAnsi="Segoe UI" w:cs="Segoe UI"/>
                <w:sz w:val="18"/>
                <w:szCs w:val="18"/>
                <w:color w:val="333333"/>
              </w:rPr>
              <w:t xml:space="preserve">Yes</w:t>
            </w:r>
          </w:p>
        </w:tc>
      </w:tr>
      <w:tr>
        <w:tc>
          <w:tcPr>
            <w:tcW w:w="1300" w:type="dxa"/>
            <w:shd w:val="clear" w:color="auto" w:fill="F8F8F8"/>
            <w:vAlign w:val="center"/>
          </w:tcPr>
          <w:p>
            <w:pPr>
              <w:spacing w:before="60" w:after="60" w:line="240" w:lineRule="auto"/>
            </w:pPr>
            <w:r>
              <w:rPr>
                <w:rFonts w:ascii="Segoe UI" w:hAnsi="Segoe UI" w:cs="Segoe UI"/>
                <w:b/>
                <w:bCs/>
                <w:sz w:val="18"/>
                <w:szCs w:val="18"/>
                <w:color w:val="333333"/>
              </w:rPr>
              <w:t xml:space="preserve">Base Case</w:t>
            </w:r>
          </w:p>
        </w:tc>
        <w:tc>
          <w:tcPr>
            <w:tcW w:w="900" w:type="dxa"/>
            <w:shd w:val="clear" w:color="auto" w:fill="F8F8F8"/>
            <w:vAlign w:val="center"/>
          </w:tcPr>
          <w:p>
            <w:pPr>
              <w:spacing w:before="60" w:after="60" w:line="240" w:lineRule="auto"/>
            </w:pPr>
            <w:r>
              <w:rPr>
                <w:rFonts w:ascii="Segoe UI" w:hAnsi="Segoe UI" w:cs="Segoe UI"/>
                <w:sz w:val="18"/>
                <w:szCs w:val="18"/>
                <w:color w:val="333333"/>
              </w:rPr>
              <w:t xml:space="preserve">3.2%</w:t>
            </w:r>
          </w:p>
        </w:tc>
        <w:tc>
          <w:tcPr>
            <w:tcW w:w="900" w:type="dxa"/>
            <w:shd w:val="clear" w:color="auto" w:fill="F8F8F8"/>
            <w:vAlign w:val="center"/>
          </w:tcPr>
          <w:p>
            <w:pPr>
              <w:spacing w:before="60" w:after="60" w:line="240" w:lineRule="auto"/>
            </w:pPr>
            <w:r>
              <w:rPr>
                <w:rFonts w:ascii="Segoe UI" w:hAnsi="Segoe UI" w:cs="Segoe UI"/>
                <w:sz w:val="18"/>
                <w:szCs w:val="18"/>
                <w:color w:val="333333"/>
              </w:rPr>
              <w:t xml:space="preserve">45%</w:t>
            </w:r>
          </w:p>
        </w:tc>
        <w:tc>
          <w:tcPr>
            <w:tcW w:w="1100" w:type="dxa"/>
            <w:shd w:val="clear" w:color="auto" w:fill="F8F8F8"/>
            <w:vAlign w:val="center"/>
          </w:tcPr>
          <w:p>
            <w:pPr>
              <w:spacing w:before="60" w:after="60" w:line="240" w:lineRule="auto"/>
            </w:pPr>
            <w:r>
              <w:rPr>
                <w:rFonts w:ascii="Segoe UI" w:hAnsi="Segoe UI" w:cs="Segoe UI"/>
                <w:sz w:val="18"/>
                <w:szCs w:val="18"/>
                <w:color w:val="333333"/>
              </w:rPr>
              <w:t xml:space="preserve">1.44%</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R1,850</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R266</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R1,584</w:t>
            </w:r>
          </w:p>
        </w:tc>
        <w:tc>
          <w:tcPr>
            <w:tcW w:w="1226" w:type="dxa"/>
            <w:shd w:val="clear" w:color="auto" w:fill="F8F8F8"/>
            <w:vAlign w:val="center"/>
          </w:tcPr>
          <w:p>
            <w:pPr>
              <w:spacing w:before="60" w:after="60" w:line="240" w:lineRule="auto"/>
            </w:pPr>
            <w:r>
              <w:rPr>
                <w:rFonts w:ascii="Segoe UI" w:hAnsi="Segoe UI" w:cs="Segoe UI"/>
                <w:sz w:val="18"/>
                <w:szCs w:val="18"/>
                <w:color w:val="333333"/>
              </w:rPr>
              <w:t xml:space="preserve">Yes</w:t>
            </w:r>
          </w:p>
        </w:tc>
      </w:tr>
      <w:tr>
        <w:tc>
          <w:tcPr>
            <w:tcW w:w="1300" w:type="dxa"/>
            <w:shd w:val="clear" w:color="auto" w:fill="FFFFFF"/>
            <w:vAlign w:val="center"/>
          </w:tcPr>
          <w:p>
            <w:pPr>
              <w:spacing w:before="60" w:after="60" w:line="240" w:lineRule="auto"/>
            </w:pPr>
            <w:r>
              <w:rPr>
                <w:rFonts w:ascii="Segoe UI" w:hAnsi="Segoe UI" w:cs="Segoe UI"/>
                <w:b/>
                <w:bCs/>
                <w:sz w:val="18"/>
                <w:szCs w:val="18"/>
                <w:color w:val="333333"/>
              </w:rPr>
              <w:t xml:space="preserve">Conservative</w:t>
            </w:r>
          </w:p>
        </w:tc>
        <w:tc>
          <w:tcPr>
            <w:tcW w:w="900" w:type="dxa"/>
            <w:shd w:val="clear" w:color="auto" w:fill="FFFFFF"/>
            <w:vAlign w:val="center"/>
          </w:tcPr>
          <w:p>
            <w:pPr>
              <w:spacing w:before="60" w:after="60" w:line="240" w:lineRule="auto"/>
            </w:pPr>
            <w:r>
              <w:rPr>
                <w:rFonts w:ascii="Segoe UI" w:hAnsi="Segoe UI" w:cs="Segoe UI"/>
                <w:sz w:val="18"/>
                <w:szCs w:val="18"/>
                <w:color w:val="333333"/>
              </w:rPr>
              <w:t xml:space="preserve">5.0%</w:t>
            </w:r>
          </w:p>
        </w:tc>
        <w:tc>
          <w:tcPr>
            <w:tcW w:w="900" w:type="dxa"/>
            <w:shd w:val="clear" w:color="auto" w:fill="FFFFFF"/>
            <w:vAlign w:val="center"/>
          </w:tcPr>
          <w:p>
            <w:pPr>
              <w:spacing w:before="60" w:after="60" w:line="240" w:lineRule="auto"/>
            </w:pPr>
            <w:r>
              <w:rPr>
                <w:rFonts w:ascii="Segoe UI" w:hAnsi="Segoe UI" w:cs="Segoe UI"/>
                <w:sz w:val="18"/>
                <w:szCs w:val="18"/>
                <w:color w:val="333333"/>
              </w:rPr>
              <w:t xml:space="preserve">50%</w:t>
            </w:r>
          </w:p>
        </w:tc>
        <w:tc>
          <w:tcPr>
            <w:tcW w:w="1100" w:type="dxa"/>
            <w:shd w:val="clear" w:color="auto" w:fill="FFFFFF"/>
            <w:vAlign w:val="center"/>
          </w:tcPr>
          <w:p>
            <w:pPr>
              <w:spacing w:before="60" w:after="60" w:line="240" w:lineRule="auto"/>
            </w:pPr>
            <w:r>
              <w:rPr>
                <w:rFonts w:ascii="Segoe UI" w:hAnsi="Segoe UI" w:cs="Segoe UI"/>
                <w:sz w:val="18"/>
                <w:szCs w:val="18"/>
                <w:color w:val="333333"/>
              </w:rPr>
              <w:t xml:space="preserve">2.5%</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R1,850</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R463</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R1,387</w:t>
            </w:r>
          </w:p>
        </w:tc>
        <w:tc>
          <w:tcPr>
            <w:tcW w:w="1226" w:type="dxa"/>
            <w:shd w:val="clear" w:color="auto" w:fill="FFFFFF"/>
            <w:vAlign w:val="center"/>
          </w:tcPr>
          <w:p>
            <w:pPr>
              <w:spacing w:before="60" w:after="60" w:line="240" w:lineRule="auto"/>
            </w:pPr>
            <w:r>
              <w:rPr>
                <w:rFonts w:ascii="Segoe UI" w:hAnsi="Segoe UI" w:cs="Segoe UI"/>
                <w:sz w:val="18"/>
                <w:szCs w:val="18"/>
                <w:color w:val="333333"/>
              </w:rPr>
              <w:t xml:space="preserve">Yes</w:t>
            </w:r>
          </w:p>
        </w:tc>
      </w:tr>
      <w:tr>
        <w:tc>
          <w:tcPr>
            <w:tcW w:w="1300" w:type="dxa"/>
            <w:shd w:val="clear" w:color="auto" w:fill="F8F8F8"/>
            <w:vAlign w:val="center"/>
          </w:tcPr>
          <w:p>
            <w:pPr>
              <w:spacing w:before="60" w:after="60" w:line="240" w:lineRule="auto"/>
            </w:pPr>
            <w:r>
              <w:rPr>
                <w:rFonts w:ascii="Segoe UI" w:hAnsi="Segoe UI" w:cs="Segoe UI"/>
                <w:b/>
                <w:bCs/>
                <w:sz w:val="18"/>
                <w:szCs w:val="18"/>
                <w:color w:val="333333"/>
              </w:rPr>
              <w:t xml:space="preserve">Stress</w:t>
            </w:r>
          </w:p>
        </w:tc>
        <w:tc>
          <w:tcPr>
            <w:tcW w:w="900" w:type="dxa"/>
            <w:shd w:val="clear" w:color="auto" w:fill="F8F8F8"/>
            <w:vAlign w:val="center"/>
          </w:tcPr>
          <w:p>
            <w:pPr>
              <w:spacing w:before="60" w:after="60" w:line="240" w:lineRule="auto"/>
            </w:pPr>
            <w:r>
              <w:rPr>
                <w:rFonts w:ascii="Segoe UI" w:hAnsi="Segoe UI" w:cs="Segoe UI"/>
                <w:sz w:val="18"/>
                <w:szCs w:val="18"/>
                <w:color w:val="333333"/>
              </w:rPr>
              <w:t xml:space="preserve">8.0%</w:t>
            </w:r>
          </w:p>
        </w:tc>
        <w:tc>
          <w:tcPr>
            <w:tcW w:w="900" w:type="dxa"/>
            <w:shd w:val="clear" w:color="auto" w:fill="F8F8F8"/>
            <w:vAlign w:val="center"/>
          </w:tcPr>
          <w:p>
            <w:pPr>
              <w:spacing w:before="60" w:after="60" w:line="240" w:lineRule="auto"/>
            </w:pPr>
            <w:r>
              <w:rPr>
                <w:rFonts w:ascii="Segoe UI" w:hAnsi="Segoe UI" w:cs="Segoe UI"/>
                <w:sz w:val="18"/>
                <w:szCs w:val="18"/>
                <w:color w:val="333333"/>
              </w:rPr>
              <w:t xml:space="preserve">55%</w:t>
            </w:r>
          </w:p>
        </w:tc>
        <w:tc>
          <w:tcPr>
            <w:tcW w:w="1100" w:type="dxa"/>
            <w:shd w:val="clear" w:color="auto" w:fill="F8F8F8"/>
            <w:vAlign w:val="center"/>
          </w:tcPr>
          <w:p>
            <w:pPr>
              <w:spacing w:before="60" w:after="60" w:line="240" w:lineRule="auto"/>
            </w:pPr>
            <w:r>
              <w:rPr>
                <w:rFonts w:ascii="Segoe UI" w:hAnsi="Segoe UI" w:cs="Segoe UI"/>
                <w:sz w:val="18"/>
                <w:szCs w:val="18"/>
                <w:color w:val="333333"/>
              </w:rPr>
              <w:t xml:space="preserve">4.4%</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R1,850</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R814</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R1,036</w:t>
            </w:r>
          </w:p>
        </w:tc>
        <w:tc>
          <w:tcPr>
            <w:tcW w:w="1226" w:type="dxa"/>
            <w:shd w:val="clear" w:color="auto" w:fill="F8F8F8"/>
            <w:vAlign w:val="center"/>
          </w:tcPr>
          <w:p>
            <w:pPr>
              <w:spacing w:before="60" w:after="60" w:line="240" w:lineRule="auto"/>
            </w:pPr>
            <w:r>
              <w:rPr>
                <w:rFonts w:ascii="Segoe UI" w:hAnsi="Segoe UI" w:cs="Segoe UI"/>
                <w:sz w:val="18"/>
                <w:szCs w:val="18"/>
                <w:color w:val="333333"/>
              </w:rPr>
              <w:t xml:space="preserve">Tight</w:t>
            </w:r>
          </w:p>
        </w:tc>
      </w:tr>
      <w:tr>
        <w:tc>
          <w:tcPr>
            <w:tcW w:w="1300" w:type="dxa"/>
            <w:shd w:val="clear" w:color="auto" w:fill="FFFFFF"/>
            <w:vAlign w:val="center"/>
          </w:tcPr>
          <w:p>
            <w:pPr>
              <w:spacing w:before="60" w:after="60" w:line="240" w:lineRule="auto"/>
            </w:pPr>
            <w:r>
              <w:rPr>
                <w:rFonts w:ascii="Segoe UI" w:hAnsi="Segoe UI" w:cs="Segoe UI"/>
                <w:b/>
                <w:bCs/>
                <w:sz w:val="18"/>
                <w:szCs w:val="18"/>
                <w:color w:val="333333"/>
              </w:rPr>
              <w:t xml:space="preserve">Crisis</w:t>
            </w:r>
          </w:p>
        </w:tc>
        <w:tc>
          <w:tcPr>
            <w:tcW w:w="900" w:type="dxa"/>
            <w:shd w:val="clear" w:color="auto" w:fill="FFFFFF"/>
            <w:vAlign w:val="center"/>
          </w:tcPr>
          <w:p>
            <w:pPr>
              <w:spacing w:before="60" w:after="60" w:line="240" w:lineRule="auto"/>
            </w:pPr>
            <w:r>
              <w:rPr>
                <w:rFonts w:ascii="Segoe UI" w:hAnsi="Segoe UI" w:cs="Segoe UI"/>
                <w:sz w:val="18"/>
                <w:szCs w:val="18"/>
                <w:color w:val="333333"/>
              </w:rPr>
              <w:t xml:space="preserve">12.0%</w:t>
            </w:r>
          </w:p>
        </w:tc>
        <w:tc>
          <w:tcPr>
            <w:tcW w:w="900" w:type="dxa"/>
            <w:shd w:val="clear" w:color="auto" w:fill="FFFFFF"/>
            <w:vAlign w:val="center"/>
          </w:tcPr>
          <w:p>
            <w:pPr>
              <w:spacing w:before="60" w:after="60" w:line="240" w:lineRule="auto"/>
            </w:pPr>
            <w:r>
              <w:rPr>
                <w:rFonts w:ascii="Segoe UI" w:hAnsi="Segoe UI" w:cs="Segoe UI"/>
                <w:sz w:val="18"/>
                <w:szCs w:val="18"/>
                <w:color w:val="333333"/>
              </w:rPr>
              <w:t xml:space="preserve">65%</w:t>
            </w:r>
          </w:p>
        </w:tc>
        <w:tc>
          <w:tcPr>
            <w:tcW w:w="1100" w:type="dxa"/>
            <w:shd w:val="clear" w:color="auto" w:fill="FFFFFF"/>
            <w:vAlign w:val="center"/>
          </w:tcPr>
          <w:p>
            <w:pPr>
              <w:spacing w:before="60" w:after="60" w:line="240" w:lineRule="auto"/>
            </w:pPr>
            <w:r>
              <w:rPr>
                <w:rFonts w:ascii="Segoe UI" w:hAnsi="Segoe UI" w:cs="Segoe UI"/>
                <w:sz w:val="18"/>
                <w:szCs w:val="18"/>
                <w:color w:val="333333"/>
              </w:rPr>
              <w:t xml:space="preserve">7.8%</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R1,850</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R1,443</w:t>
            </w:r>
          </w:p>
        </w:tc>
        <w:tc>
          <w:tcPr>
            <w:tcW w:w="1200" w:type="dxa"/>
            <w:shd w:val="clear" w:color="auto" w:fill="FFFFFF"/>
            <w:vAlign w:val="center"/>
          </w:tcPr>
          <w:p>
            <w:pPr>
              <w:spacing w:before="60" w:after="60" w:line="240" w:lineRule="auto"/>
            </w:pPr>
            <w:r>
              <w:rPr>
                <w:rFonts w:ascii="Segoe UI" w:hAnsi="Segoe UI" w:cs="Segoe UI"/>
                <w:sz w:val="18"/>
                <w:szCs w:val="18"/>
                <w:color w:val="333333"/>
              </w:rPr>
              <w:t xml:space="preserve">R407</w:t>
            </w:r>
          </w:p>
        </w:tc>
        <w:tc>
          <w:tcPr>
            <w:tcW w:w="1226" w:type="dxa"/>
            <w:shd w:val="clear" w:color="auto" w:fill="FFFFFF"/>
            <w:vAlign w:val="center"/>
          </w:tcPr>
          <w:p>
            <w:pPr>
              <w:spacing w:before="60" w:after="60" w:line="240" w:lineRule="auto"/>
            </w:pPr>
            <w:r>
              <w:rPr>
                <w:rFonts w:ascii="Segoe UI" w:hAnsi="Segoe UI" w:cs="Segoe UI"/>
                <w:sz w:val="18"/>
                <w:szCs w:val="18"/>
                <w:color w:val="333333"/>
              </w:rPr>
              <w:t xml:space="preserve">Barely</w:t>
            </w:r>
          </w:p>
        </w:tc>
      </w:tr>
      <w:tr>
        <w:tc>
          <w:tcPr>
            <w:tcW w:w="1300" w:type="dxa"/>
            <w:shd w:val="clear" w:color="auto" w:fill="F8F8F8"/>
            <w:vAlign w:val="center"/>
          </w:tcPr>
          <w:p>
            <w:pPr>
              <w:spacing w:before="60" w:after="60" w:line="240" w:lineRule="auto"/>
            </w:pPr>
            <w:r>
              <w:rPr>
                <w:rFonts w:ascii="Segoe UI" w:hAnsi="Segoe UI" w:cs="Segoe UI"/>
                <w:b/>
                <w:bCs/>
                <w:sz w:val="18"/>
                <w:szCs w:val="18"/>
                <w:color w:val="333333"/>
              </w:rPr>
              <w:t xml:space="preserve">Catastrophic</w:t>
            </w:r>
          </w:p>
        </w:tc>
        <w:tc>
          <w:tcPr>
            <w:tcW w:w="900" w:type="dxa"/>
            <w:shd w:val="clear" w:color="auto" w:fill="F8F8F8"/>
            <w:vAlign w:val="center"/>
          </w:tcPr>
          <w:p>
            <w:pPr>
              <w:spacing w:before="60" w:after="60" w:line="240" w:lineRule="auto"/>
            </w:pPr>
            <w:r>
              <w:rPr>
                <w:rFonts w:ascii="Segoe UI" w:hAnsi="Segoe UI" w:cs="Segoe UI"/>
                <w:sz w:val="18"/>
                <w:szCs w:val="18"/>
                <w:color w:val="333333"/>
              </w:rPr>
              <w:t xml:space="preserve">15.0%</w:t>
            </w:r>
          </w:p>
        </w:tc>
        <w:tc>
          <w:tcPr>
            <w:tcW w:w="900" w:type="dxa"/>
            <w:shd w:val="clear" w:color="auto" w:fill="F8F8F8"/>
            <w:vAlign w:val="center"/>
          </w:tcPr>
          <w:p>
            <w:pPr>
              <w:spacing w:before="60" w:after="60" w:line="240" w:lineRule="auto"/>
            </w:pPr>
            <w:r>
              <w:rPr>
                <w:rFonts w:ascii="Segoe UI" w:hAnsi="Segoe UI" w:cs="Segoe UI"/>
                <w:sz w:val="18"/>
                <w:szCs w:val="18"/>
                <w:color w:val="333333"/>
              </w:rPr>
              <w:t xml:space="preserve">70%</w:t>
            </w:r>
          </w:p>
        </w:tc>
        <w:tc>
          <w:tcPr>
            <w:tcW w:w="1100" w:type="dxa"/>
            <w:shd w:val="clear" w:color="auto" w:fill="F8F8F8"/>
            <w:vAlign w:val="center"/>
          </w:tcPr>
          <w:p>
            <w:pPr>
              <w:spacing w:before="60" w:after="60" w:line="240" w:lineRule="auto"/>
            </w:pPr>
            <w:r>
              <w:rPr>
                <w:rFonts w:ascii="Segoe UI" w:hAnsi="Segoe UI" w:cs="Segoe UI"/>
                <w:sz w:val="18"/>
                <w:szCs w:val="18"/>
                <w:color w:val="333333"/>
              </w:rPr>
              <w:t xml:space="preserve">10.5%</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R1,850</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R1,943</w:t>
            </w:r>
          </w:p>
        </w:tc>
        <w:tc>
          <w:tcPr>
            <w:tcW w:w="1200" w:type="dxa"/>
            <w:shd w:val="clear" w:color="auto" w:fill="F8F8F8"/>
            <w:vAlign w:val="center"/>
          </w:tcPr>
          <w:p>
            <w:pPr>
              <w:spacing w:before="60" w:after="60" w:line="240" w:lineRule="auto"/>
            </w:pPr>
            <w:r>
              <w:rPr>
                <w:rFonts w:ascii="Segoe UI" w:hAnsi="Segoe UI" w:cs="Segoe UI"/>
                <w:sz w:val="18"/>
                <w:szCs w:val="18"/>
                <w:color w:val="333333"/>
              </w:rPr>
              <w:t xml:space="preserve">–R93</w:t>
            </w:r>
          </w:p>
        </w:tc>
        <w:tc>
          <w:tcPr>
            <w:tcW w:w="1226" w:type="dxa"/>
            <w:shd w:val="clear" w:color="auto" w:fill="F8F8F8"/>
            <w:vAlign w:val="center"/>
          </w:tcPr>
          <w:p>
            <w:pPr>
              <w:spacing w:before="60" w:after="60" w:line="240" w:lineRule="auto"/>
            </w:pPr>
            <w:r>
              <w:rPr>
                <w:rFonts w:ascii="Segoe UI" w:hAnsi="Segoe UI" w:cs="Segoe UI"/>
                <w:sz w:val="18"/>
                <w:szCs w:val="18"/>
                <w:color w:val="333333"/>
              </w:rPr>
              <w:t xml:space="preserve">No</w:t>
            </w:r>
          </w:p>
        </w:tc>
      </w:tr>
    </w:tbl>
    <w:p>
      <w:pPr>
        <w:spacing w:before="240" w:after="240" w:line="280" w:lineRule="auto"/>
        <w:pBdr>
          <w:left w:val="single" w:sz="18" w:space="14" w:color="E01E37"/>
        </w:pBdr>
        <w:shd w:val="clear" w:color="auto" w:fill="FFF5F6"/>
      </w:pPr>
      <w:r>
        <w:rPr>
          <w:rFonts w:ascii="Segoe UI" w:hAnsi="Segoe UI" w:cs="Segoe UI"/>
          <w:b/>
          <w:bCs/>
          <w:sz w:val="20"/>
          <w:szCs w:val="20"/>
          <w:color w:val="1A1A1A"/>
        </w:rPr>
        <w:t xml:space="preserve">Key Finding: Break-Even Default Rate</w:t>
      </w:r>
      <w:r>
        <w:br/>
      </w:r>
      <w:r>
        <w:rPr>
          <w:rFonts w:ascii="Segoe UI" w:hAnsi="Segoe UI" w:cs="Segoe UI"/>
          <w:sz w:val="20"/>
          <w:szCs w:val="20"/>
          <w:color w:val="1A1A1A"/>
        </w:rPr>
        <w:t xml:space="preserve">The balance sheet book becomes loss-making only at PD of approximately 14–15% combined with LGD of 65–70%. This is 4–5x PaySick’s target PD and deep into unsecured retail lending territory. Even under a stress scenario (PD 8%), the book generates R1,036 net revenue per loan.</w:t>
      </w:r>
    </w:p>
    <w:p>
      <w:pPr>
        <w:keepNext/>
        <w:spacing w:before="360" w:after="160" w:line="288" w:lineRule="auto"/>
      </w:pPr>
      <w:r>
        <w:rPr>
          <w:rFonts w:ascii="Segoe UI" w:hAnsi="Segoe UI" w:cs="Segoe UI"/>
          <w:b/>
          <w:bCs/>
          <w:sz w:val="34"/>
          <w:szCs w:val="34"/>
          <w:color w:val="1A1A1A"/>
        </w:rPr>
        <w:t xml:space="preserve">5.3 Marketplace Book Risk Analysis</w:t>
      </w:r>
    </w:p>
    <w:p>
      <w:pPr>
        <w:spacing w:after="160" w:line="300" w:lineRule="auto"/>
      </w:pPr>
      <w:r>
        <w:rPr>
          <w:rFonts w:ascii="Segoe UI" w:hAnsi="Segoe UI" w:cs="Segoe UI"/>
          <w:sz w:val="22"/>
          <w:szCs w:val="22"/>
          <w:color w:val="333333"/>
        </w:rPr>
        <w:t xml:space="preserve">On marketplace loans, PaySick earns 2–4% origination regardless of default. The risk is not credit loss but lender churn:</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1800"/>
        <w:gridCol w:w="2400"/>
        <w:gridCol w:w="2400"/>
        <w:gridCol w:w="2426"/>
      </w:tblGrid>
      <w:tr>
        <w:trPr>
          <w:tblHeader/>
        </w:trPr>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Scenario</w:t>
            </w:r>
          </w:p>
        </w:tc>
        <w:tc>
          <w:tcPr>
            <w:tcW w:w="2400" w:type="dxa"/>
            <w:shd w:val="clear" w:color="auto" w:fill="2D2D2D"/>
            <w:vAlign w:val="center"/>
          </w:tcPr>
          <w:p>
            <w:pPr>
              <w:spacing w:before="70" w:after="70" w:line="240" w:lineRule="auto"/>
            </w:pPr>
            <w:r>
              <w:rPr>
                <w:rFonts w:ascii="Segoe UI" w:hAnsi="Segoe UI" w:cs="Segoe UI"/>
                <w:b/>
                <w:bCs/>
                <w:sz w:val="18"/>
                <w:szCs w:val="18"/>
                <w:color w:val="FFFFFF"/>
              </w:rPr>
              <w:t xml:space="preserve">Marketplace Default Rate</w:t>
            </w:r>
          </w:p>
        </w:tc>
        <w:tc>
          <w:tcPr>
            <w:tcW w:w="2400" w:type="dxa"/>
            <w:shd w:val="clear" w:color="auto" w:fill="2D2D2D"/>
            <w:vAlign w:val="center"/>
          </w:tcPr>
          <w:p>
            <w:pPr>
              <w:spacing w:before="70" w:after="70" w:line="240" w:lineRule="auto"/>
            </w:pPr>
            <w:r>
              <w:rPr>
                <w:rFonts w:ascii="Segoe UI" w:hAnsi="Segoe UI" w:cs="Segoe UI"/>
                <w:b/>
                <w:bCs/>
                <w:sz w:val="18"/>
                <w:szCs w:val="18"/>
                <w:color w:val="FFFFFF"/>
              </w:rPr>
              <w:t xml:space="preserve">Lender Response</w:t>
            </w:r>
          </w:p>
        </w:tc>
        <w:tc>
          <w:tcPr>
            <w:tcW w:w="2426" w:type="dxa"/>
            <w:shd w:val="clear" w:color="auto" w:fill="2D2D2D"/>
            <w:vAlign w:val="center"/>
          </w:tcPr>
          <w:p>
            <w:pPr>
              <w:spacing w:before="70" w:after="70" w:line="240" w:lineRule="auto"/>
            </w:pPr>
            <w:r>
              <w:rPr>
                <w:rFonts w:ascii="Segoe UI" w:hAnsi="Segoe UI" w:cs="Segoe UI"/>
                <w:b/>
                <w:bCs/>
                <w:sz w:val="18"/>
                <w:szCs w:val="18"/>
                <w:color w:val="FFFFFF"/>
              </w:rPr>
              <w:t xml:space="preserve">PaySick Impact</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Base</w:t>
            </w:r>
          </w:p>
        </w:tc>
        <w:tc>
          <w:tcPr>
            <w:tcW w:w="2400" w:type="dxa"/>
            <w:shd w:val="clear" w:color="auto" w:fill="FFFFFF"/>
            <w:vAlign w:val="center"/>
          </w:tcPr>
          <w:p>
            <w:pPr>
              <w:spacing w:before="60" w:after="60" w:line="240" w:lineRule="auto"/>
            </w:pPr>
            <w:r>
              <w:rPr>
                <w:rFonts w:ascii="Segoe UI" w:hAnsi="Segoe UI" w:cs="Segoe UI"/>
                <w:sz w:val="18"/>
                <w:szCs w:val="18"/>
                <w:color w:val="333333"/>
              </w:rPr>
              <w:t xml:space="preserve">3–4%</w:t>
            </w:r>
          </w:p>
        </w:tc>
        <w:tc>
          <w:tcPr>
            <w:tcW w:w="2400" w:type="dxa"/>
            <w:shd w:val="clear" w:color="auto" w:fill="FFFFFF"/>
            <w:vAlign w:val="center"/>
          </w:tcPr>
          <w:p>
            <w:pPr>
              <w:spacing w:before="60" w:after="60" w:line="240" w:lineRule="auto"/>
            </w:pPr>
            <w:r>
              <w:rPr>
                <w:rFonts w:ascii="Segoe UI" w:hAnsi="Segoe UI" w:cs="Segoe UI"/>
                <w:sz w:val="18"/>
                <w:szCs w:val="18"/>
                <w:color w:val="333333"/>
              </w:rPr>
              <w:t xml:space="preserve">Lenders expand allocation</w:t>
            </w:r>
          </w:p>
        </w:tc>
        <w:tc>
          <w:tcPr>
            <w:tcW w:w="2426" w:type="dxa"/>
            <w:shd w:val="clear" w:color="auto" w:fill="FFFFFF"/>
            <w:vAlign w:val="center"/>
          </w:tcPr>
          <w:p>
            <w:pPr>
              <w:spacing w:before="60" w:after="60" w:line="240" w:lineRule="auto"/>
            </w:pPr>
            <w:r>
              <w:rPr>
                <w:rFonts w:ascii="Segoe UI" w:hAnsi="Segoe UI" w:cs="Segoe UI"/>
                <w:sz w:val="18"/>
                <w:szCs w:val="18"/>
                <w:color w:val="333333"/>
              </w:rPr>
              <w:t xml:space="preserve">Fee income grows</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Elevated</w:t>
            </w:r>
          </w:p>
        </w:tc>
        <w:tc>
          <w:tcPr>
            <w:tcW w:w="2400" w:type="dxa"/>
            <w:shd w:val="clear" w:color="auto" w:fill="F8F8F8"/>
            <w:vAlign w:val="center"/>
          </w:tcPr>
          <w:p>
            <w:pPr>
              <w:spacing w:before="60" w:after="60" w:line="240" w:lineRule="auto"/>
            </w:pPr>
            <w:r>
              <w:rPr>
                <w:rFonts w:ascii="Segoe UI" w:hAnsi="Segoe UI" w:cs="Segoe UI"/>
                <w:sz w:val="18"/>
                <w:szCs w:val="18"/>
                <w:color w:val="333333"/>
              </w:rPr>
              <w:t xml:space="preserve">5–7%</w:t>
            </w:r>
          </w:p>
        </w:tc>
        <w:tc>
          <w:tcPr>
            <w:tcW w:w="2400" w:type="dxa"/>
            <w:shd w:val="clear" w:color="auto" w:fill="F8F8F8"/>
            <w:vAlign w:val="center"/>
          </w:tcPr>
          <w:p>
            <w:pPr>
              <w:spacing w:before="60" w:after="60" w:line="240" w:lineRule="auto"/>
            </w:pPr>
            <w:r>
              <w:rPr>
                <w:rFonts w:ascii="Segoe UI" w:hAnsi="Segoe UI" w:cs="Segoe UI"/>
                <w:sz w:val="18"/>
                <w:szCs w:val="18"/>
                <w:color w:val="333333"/>
              </w:rPr>
              <w:t xml:space="preserve">Lenders tighten criteria</w:t>
            </w:r>
          </w:p>
        </w:tc>
        <w:tc>
          <w:tcPr>
            <w:tcW w:w="2426" w:type="dxa"/>
            <w:shd w:val="clear" w:color="auto" w:fill="F8F8F8"/>
            <w:vAlign w:val="center"/>
          </w:tcPr>
          <w:p>
            <w:pPr>
              <w:spacing w:before="60" w:after="60" w:line="240" w:lineRule="auto"/>
            </w:pPr>
            <w:r>
              <w:rPr>
                <w:rFonts w:ascii="Segoe UI" w:hAnsi="Segoe UI" w:cs="Segoe UI"/>
                <w:sz w:val="18"/>
                <w:szCs w:val="18"/>
                <w:color w:val="333333"/>
              </w:rPr>
              <w:t xml:space="preserve">Fee income drops 20–30%</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Stress</w:t>
            </w:r>
          </w:p>
        </w:tc>
        <w:tc>
          <w:tcPr>
            <w:tcW w:w="2400" w:type="dxa"/>
            <w:shd w:val="clear" w:color="auto" w:fill="FFFFFF"/>
            <w:vAlign w:val="center"/>
          </w:tcPr>
          <w:p>
            <w:pPr>
              <w:spacing w:before="60" w:after="60" w:line="240" w:lineRule="auto"/>
            </w:pPr>
            <w:r>
              <w:rPr>
                <w:rFonts w:ascii="Segoe UI" w:hAnsi="Segoe UI" w:cs="Segoe UI"/>
                <w:sz w:val="18"/>
                <w:szCs w:val="18"/>
                <w:color w:val="333333"/>
              </w:rPr>
              <w:t xml:space="preserve">8–10%</w:t>
            </w:r>
          </w:p>
        </w:tc>
        <w:tc>
          <w:tcPr>
            <w:tcW w:w="2400" w:type="dxa"/>
            <w:shd w:val="clear" w:color="auto" w:fill="FFFFFF"/>
            <w:vAlign w:val="center"/>
          </w:tcPr>
          <w:p>
            <w:pPr>
              <w:spacing w:before="60" w:after="60" w:line="240" w:lineRule="auto"/>
            </w:pPr>
            <w:r>
              <w:rPr>
                <w:rFonts w:ascii="Segoe UI" w:hAnsi="Segoe UI" w:cs="Segoe UI"/>
                <w:sz w:val="18"/>
                <w:szCs w:val="18"/>
                <w:color w:val="333333"/>
              </w:rPr>
              <w:t xml:space="preserve">Lenders pause or exit</w:t>
            </w:r>
          </w:p>
        </w:tc>
        <w:tc>
          <w:tcPr>
            <w:tcW w:w="2426" w:type="dxa"/>
            <w:shd w:val="clear" w:color="auto" w:fill="FFFFFF"/>
            <w:vAlign w:val="center"/>
          </w:tcPr>
          <w:p>
            <w:pPr>
              <w:spacing w:before="60" w:after="60" w:line="240" w:lineRule="auto"/>
            </w:pPr>
            <w:r>
              <w:rPr>
                <w:rFonts w:ascii="Segoe UI" w:hAnsi="Segoe UI" w:cs="Segoe UI"/>
                <w:sz w:val="18"/>
                <w:szCs w:val="18"/>
                <w:color w:val="333333"/>
              </w:rPr>
              <w:t xml:space="preserve">Forced to balance sheet</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Crisis</w:t>
            </w:r>
          </w:p>
        </w:tc>
        <w:tc>
          <w:tcPr>
            <w:tcW w:w="2400" w:type="dxa"/>
            <w:shd w:val="clear" w:color="auto" w:fill="F8F8F8"/>
            <w:vAlign w:val="center"/>
          </w:tcPr>
          <w:p>
            <w:pPr>
              <w:spacing w:before="60" w:after="60" w:line="240" w:lineRule="auto"/>
            </w:pPr>
            <w:r>
              <w:rPr>
                <w:rFonts w:ascii="Segoe UI" w:hAnsi="Segoe UI" w:cs="Segoe UI"/>
                <w:sz w:val="18"/>
                <w:szCs w:val="18"/>
                <w:color w:val="333333"/>
              </w:rPr>
              <w:t xml:space="preserve">12%+</w:t>
            </w:r>
          </w:p>
        </w:tc>
        <w:tc>
          <w:tcPr>
            <w:tcW w:w="2400" w:type="dxa"/>
            <w:shd w:val="clear" w:color="auto" w:fill="F8F8F8"/>
            <w:vAlign w:val="center"/>
          </w:tcPr>
          <w:p>
            <w:pPr>
              <w:spacing w:before="60" w:after="60" w:line="240" w:lineRule="auto"/>
            </w:pPr>
            <w:r>
              <w:rPr>
                <w:rFonts w:ascii="Segoe UI" w:hAnsi="Segoe UI" w:cs="Segoe UI"/>
                <w:sz w:val="18"/>
                <w:szCs w:val="18"/>
                <w:color w:val="333333"/>
              </w:rPr>
              <w:t xml:space="preserve">Lenders exit platform</w:t>
            </w:r>
          </w:p>
        </w:tc>
        <w:tc>
          <w:tcPr>
            <w:tcW w:w="2426" w:type="dxa"/>
            <w:shd w:val="clear" w:color="auto" w:fill="F8F8F8"/>
            <w:vAlign w:val="center"/>
          </w:tcPr>
          <w:p>
            <w:pPr>
              <w:spacing w:before="60" w:after="60" w:line="240" w:lineRule="auto"/>
            </w:pPr>
            <w:r>
              <w:rPr>
                <w:rFonts w:ascii="Segoe UI" w:hAnsi="Segoe UI" w:cs="Segoe UI"/>
                <w:sz w:val="18"/>
                <w:szCs w:val="18"/>
                <w:color w:val="333333"/>
              </w:rPr>
              <w:t xml:space="preserve">Marketplace collapse</w:t>
            </w:r>
          </w:p>
        </w:tc>
      </w:tr>
    </w:tbl>
    <w:p>
      <w:pPr>
        <w:keepNext/>
        <w:spacing w:before="360" w:after="160" w:line="288" w:lineRule="auto"/>
      </w:pPr>
      <w:r>
        <w:rPr>
          <w:rFonts w:ascii="Segoe UI" w:hAnsi="Segoe UI" w:cs="Segoe UI"/>
          <w:b/>
          <w:bCs/>
          <w:sz w:val="34"/>
          <w:szCs w:val="34"/>
          <w:color w:val="1A1A1A"/>
        </w:rPr>
        <w:t xml:space="preserve">5.4 Combined Stress Testing</w:t>
      </w:r>
    </w:p>
    <w:p>
      <w:pPr>
        <w:spacing w:after="160" w:line="300" w:lineRule="auto"/>
      </w:pPr>
      <w:r>
        <w:rPr>
          <w:rFonts w:ascii="Segoe UI" w:hAnsi="Segoe UI" w:cs="Segoe UI"/>
          <w:sz w:val="22"/>
          <w:szCs w:val="22"/>
          <w:color w:val="333333"/>
        </w:rPr>
        <w:t xml:space="preserve">The most dangerous scenario is a quality spiral: deteriorating approval quality causes lender withdrawal, which forces more volume onto the balance sheet at precisely the moment when credit quality is weakest. This self-reinforcing loop is the single greatest existential risk to any healthcare lending marketplace.</w:t>
      </w:r>
    </w:p>
    <w:p>
      <w:pPr>
        <w:spacing w:after="160" w:line="300" w:lineRule="auto"/>
      </w:pPr>
      <w:r>
        <w:rPr>
          <w:rFonts w:ascii="Segoe UI" w:hAnsi="Segoe UI" w:cs="Segoe UI"/>
          <w:b/>
          <w:bCs/>
          <w:sz w:val="22"/>
          <w:szCs w:val="22"/>
          <w:color w:val="1A1A1A"/>
        </w:rPr>
        <w:t xml:space="preserve">The Cascade Sequence: </w:t>
      </w:r>
      <w:r>
        <w:rPr>
          <w:rFonts w:ascii="Segoe UI" w:hAnsi="Segoe UI" w:cs="Segoe UI"/>
          <w:sz w:val="22"/>
          <w:szCs w:val="22"/>
          <w:color w:val="333333"/>
        </w:rPr>
        <w:t xml:space="preserve">Provider pushes unaffordable patients → PaySick approves due to loose underwriting → bad lenders fill the gap as good lenders withdraw → patient has poor outcome combined with unaffordable debt → defaults spike → good lenders leave → more pressure on balance sheet → tighter cash forces lower underwriting standards to maintain volume → further deterioration.</w:t>
      </w:r>
    </w:p>
    <w:p>
      <w:pPr>
        <w:spacing w:before="240" w:after="240" w:line="280" w:lineRule="auto"/>
        <w:pBdr>
          <w:left w:val="single" w:sz="18" w:space="14" w:color="E01E37"/>
        </w:pBdr>
        <w:shd w:val="clear" w:color="auto" w:fill="FFF5F6"/>
      </w:pPr>
      <w:r>
        <w:rPr>
          <w:rFonts w:ascii="Segoe UI" w:hAnsi="Segoe UI" w:cs="Segoe UI"/>
          <w:b/>
          <w:bCs/>
          <w:sz w:val="20"/>
          <w:szCs w:val="20"/>
          <w:color w:val="1A1A1A"/>
        </w:rPr>
        <w:t xml:space="preserve">Every mitigation strategy in this paper is designed to break this chain at multiple points simultaneously. No single control is sufficient.</w:t>
      </w:r>
    </w:p>
    <w:p>
      <w:pPr>
        <w:spacing w:after="20" w:line="240" w:lineRule="auto"/>
      </w:pPr>
      <w:r>
        <w:rPr>
          <w:rFonts w:ascii="Segoe UI" w:hAnsi="Segoe UI" w:cs="Segoe UI"/>
          <w:b/>
          <w:bCs/>
          <w:caps/>
          <w:sz w:val="18"/>
          <w:szCs w:val="18"/>
          <w:color w:val="E01E37"/>
          <w:spacing w:val="80"/>
        </w:rPr>
        <w:t xml:space="preserve">Section 06</w:t>
      </w:r>
    </w:p>
    <w:p>
      <w:pPr>
        <w:keepNext/>
        <w:pageBreakBefore/>
        <w:spacing w:before="0" w:after="80" w:line="288" w:lineRule="auto"/>
      </w:pPr>
      <w:r>
        <w:rPr>
          <w:rFonts w:ascii="Segoe UI" w:hAnsi="Segoe UI" w:cs="Segoe UI"/>
          <w:b/>
          <w:bCs/>
          <w:sz w:val="52"/>
          <w:szCs w:val="52"/>
          <w:color w:val="1A1A1A"/>
        </w:rPr>
        <w:t xml:space="preserve">Adverse Selection: Mapping Every Relationship</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Adverse selection is the phenomenon where one party in a transaction holds more information than the other, leading the less-informed party to systematically attract higher-risk counterparts. In PaySick’s four-party ecosystem (Patient, Provider, PaySick, Lender), adverse selection can emerge at every relationship node.</w:t>
      </w:r>
    </w:p>
    <w:p>
      <w:pPr>
        <w:keepNext/>
        <w:spacing w:before="360" w:after="160" w:line="288" w:lineRule="auto"/>
      </w:pPr>
      <w:r>
        <w:rPr>
          <w:rFonts w:ascii="Segoe UI" w:hAnsi="Segoe UI" w:cs="Segoe UI"/>
          <w:b/>
          <w:bCs/>
          <w:sz w:val="34"/>
          <w:szCs w:val="34"/>
          <w:color w:val="1A1A1A"/>
        </w:rPr>
        <w:t xml:space="preserve">6.1 Provider to PaySick: The Most Dangerous Relationship</w:t>
      </w:r>
    </w:p>
    <w:p>
      <w:pPr>
        <w:keepNext/>
        <w:spacing w:before="280" w:after="100" w:line="288" w:lineRule="auto"/>
      </w:pPr>
      <w:r>
        <w:rPr>
          <w:rFonts w:ascii="Segoe UI" w:hAnsi="Segoe UI" w:cs="Segoe UI"/>
          <w:b/>
          <w:bCs/>
          <w:sz w:val="26"/>
          <w:szCs w:val="26"/>
          <w:color w:val="1A1A1A"/>
        </w:rPr>
        <w:t xml:space="preserve">The Core Problem</w:t>
      </w:r>
    </w:p>
    <w:p>
      <w:pPr>
        <w:spacing w:after="160" w:line="300" w:lineRule="auto"/>
      </w:pPr>
      <w:r>
        <w:rPr>
          <w:rFonts w:ascii="Segoe UI" w:hAnsi="Segoe UI" w:cs="Segoe UI"/>
          <w:sz w:val="22"/>
          <w:szCs w:val="22"/>
          <w:color w:val="333333"/>
        </w:rPr>
        <w:t xml:space="preserve">Providers receive payment within 24 hours regardless of whether the patient ever repays. This creates zero financial incentive for the provider to care about patient creditworthiness. In fact, the incentive is inverted: providers benefit from pushing every patient toward financing because it converts uncertain collection into guaranteed revenue.</w:t>
      </w:r>
    </w:p>
    <w:p>
      <w:pPr>
        <w:keepNext/>
        <w:spacing w:before="280" w:after="100" w:line="288" w:lineRule="auto"/>
      </w:pPr>
      <w:r>
        <w:rPr>
          <w:rFonts w:ascii="Segoe UI" w:hAnsi="Segoe UI" w:cs="Segoe UI"/>
          <w:b/>
          <w:bCs/>
          <w:sz w:val="26"/>
          <w:szCs w:val="26"/>
          <w:color w:val="1A1A1A"/>
        </w:rPr>
        <w:t xml:space="preserve">The Adverse Selection Mechanism</w:t>
      </w:r>
    </w:p>
    <w:p>
      <w:pPr>
        <w:spacing w:after="160" w:line="300" w:lineRule="auto"/>
      </w:pPr>
      <w:r>
        <w:rPr>
          <w:rFonts w:ascii="Segoe UI" w:hAnsi="Segoe UI" w:cs="Segoe UI"/>
          <w:sz w:val="22"/>
          <w:szCs w:val="22"/>
          <w:color w:val="333333"/>
        </w:rPr>
        <w:t xml:space="preserve">A financially struggling practice may actively funnel its worst-paying patients into PaySick to convert bad debt into guaranteed cash. Treatment plans may inflate from R8,000 to R30,000 when the provider knows PaySick pays upfront. The provider holds private information about the patient’s true clinical needs and payment history that PaySick cannot observe at the point of underwriting.</w:t>
      </w:r>
    </w:p>
    <w:p>
      <w:pPr>
        <w:spacing w:after="160" w:line="300" w:lineRule="auto"/>
      </w:pPr>
      <w:r>
        <w:rPr>
          <w:rFonts w:ascii="Segoe UI" w:hAnsi="Segoe UI" w:cs="Segoe UI"/>
          <w:sz w:val="22"/>
          <w:szCs w:val="22"/>
          <w:color w:val="333333"/>
        </w:rPr>
        <w:t xml:space="preserve">Research from the Federal Reserve confirms that in consumer lending markets, borrowers self-select into contracts based on private information about their risk exposure, and counterparties with misaligned incentives exacerbate this selection. In healthcare, the provider functions as a referral agent with no skin in the downside, making this the highest-risk relationship in the ecosystem.</w:t>
      </w:r>
    </w:p>
    <w:p>
      <w:pPr>
        <w:keepNext/>
        <w:spacing w:before="280" w:after="100" w:line="288" w:lineRule="auto"/>
      </w:pPr>
      <w:r>
        <w:rPr>
          <w:rFonts w:ascii="Segoe UI" w:hAnsi="Segoe UI" w:cs="Segoe UI"/>
          <w:b/>
          <w:bCs/>
          <w:sz w:val="26"/>
          <w:szCs w:val="26"/>
          <w:color w:val="1A1A1A"/>
        </w:rPr>
        <w:t xml:space="preserve">Quantified Impact</w:t>
      </w:r>
    </w:p>
    <w:p>
      <w:pPr>
        <w:spacing w:after="160" w:line="300" w:lineRule="auto"/>
      </w:pPr>
      <w:r>
        <w:rPr>
          <w:rFonts w:ascii="Segoe UI" w:hAnsi="Segoe UI" w:cs="Segoe UI"/>
          <w:sz w:val="22"/>
          <w:szCs w:val="22"/>
          <w:color w:val="333333"/>
        </w:rPr>
        <w:t xml:space="preserve">If 10% of providers engage in adverse referral behaviour, and those providers generate loans with a PD of 12% (versus 3.2% baseline), the blended portfolio impact is:</w:t>
      </w:r>
    </w:p>
    <w:p>
      <w:pPr>
        <w:spacing w:before="240" w:after="240" w:line="280" w:lineRule="auto"/>
        <w:pBdr>
          <w:left w:val="single" w:sz="18" w:space="14" w:color="E01E37"/>
        </w:pBdr>
        <w:shd w:val="clear" w:color="auto" w:fill="FFF5F6"/>
      </w:pPr>
      <w:r>
        <w:rPr>
          <w:rFonts w:ascii="Segoe UI" w:hAnsi="Segoe UI" w:cs="Segoe UI"/>
          <w:b/>
          <w:bCs/>
          <w:sz w:val="20"/>
          <w:szCs w:val="20"/>
          <w:color w:val="1A1A1A"/>
        </w:rPr>
        <w:t xml:space="preserve">Provider Adverse Selection Impact</w:t>
      </w:r>
      <w:r>
        <w:br/>
      </w:r>
      <w:r>
        <w:rPr>
          <w:rFonts w:ascii="Segoe UI" w:hAnsi="Segoe UI" w:cs="Segoe UI"/>
          <w:sz w:val="20"/>
          <w:szCs w:val="20"/>
          <w:color w:val="1A1A1A"/>
        </w:rPr>
        <w:t xml:space="preserve">Blended PD = (90% × 3.2%) + (10% × 12.0%) = 2.88% + 1.20% = 4.08%</w:t>
      </w:r>
      <w:r>
        <w:br/>
      </w:r>
      <w:r>
        <w:rPr>
          <w:rFonts w:ascii="Segoe UI" w:hAnsi="Segoe UI" w:cs="Segoe UI"/>
          <w:sz w:val="20"/>
          <w:szCs w:val="20"/>
          <w:color w:val="1A1A1A"/>
        </w:rPr>
        <w:t xml:space="preserve">Net Loss Rate increase: from 1.44% to 1.84% (a 28% increase in losses)</w:t>
      </w:r>
      <w:r>
        <w:br/>
      </w:r>
      <w:r>
        <w:rPr>
          <w:rFonts w:ascii="Segoe UI" w:hAnsi="Segoe UI" w:cs="Segoe UI"/>
          <w:sz w:val="20"/>
          <w:szCs w:val="20"/>
          <w:color w:val="1A1A1A"/>
        </w:rPr>
        <w:t xml:space="preserve">At R100M annual loan volume: additional R400,000 in losses annually</w:t>
      </w:r>
      <w:r>
        <w:br/>
      </w:r>
      <w:r>
        <w:rPr>
          <w:rFonts w:ascii="Segoe UI" w:hAnsi="Segoe UI" w:cs="Segoe UI"/>
          <w:sz w:val="20"/>
          <w:szCs w:val="20"/>
          <w:color w:val="1A1A1A"/>
        </w:rPr>
        <w:t xml:space="preserve">At R500M volume: R2 million in additional annual losses</w:t>
      </w:r>
    </w:p>
    <w:p>
      <w:pPr>
        <w:keepNext/>
        <w:spacing w:before="280" w:after="100" w:line="288" w:lineRule="auto"/>
      </w:pPr>
      <w:r>
        <w:rPr>
          <w:rFonts w:ascii="Segoe UI" w:hAnsi="Segoe UI" w:cs="Segoe UI"/>
          <w:b/>
          <w:bCs/>
          <w:sz w:val="26"/>
          <w:szCs w:val="26"/>
          <w:color w:val="1A1A1A"/>
        </w:rPr>
        <w:t xml:space="preserve">Mitigation Controls</w:t>
      </w:r>
    </w:p>
    <w:p>
      <w:pPr>
        <w:spacing w:after="100" w:line="300" w:lineRule="auto"/>
        <w:ind w:left="540"/>
      </w:pPr>
      <w:r>
        <w:rPr>
          <w:rFonts w:ascii="Segoe UI" w:hAnsi="Segoe UI" w:cs="Segoe UI"/>
          <w:b/>
          <w:bCs/>
          <w:sz w:val="22"/>
          <w:szCs w:val="22"/>
          <w:color w:val="E01E37"/>
        </w:rPr>
        <w:t xml:space="preserve">1.  </w:t>
      </w:r>
      <w:r>
        <w:rPr>
          <w:rFonts w:ascii="Segoe UI" w:hAnsi="Segoe UI" w:cs="Segoe UI"/>
          <w:b/>
          <w:bCs/>
          <w:sz w:val="22"/>
          <w:szCs w:val="22"/>
          <w:color w:val="1A1A1A"/>
        </w:rPr>
        <w:t xml:space="preserve">Provider Risk Scoring with Enforcement:</w:t>
      </w:r>
      <w:r>
        <w:rPr>
          <w:rFonts w:ascii="Segoe UI" w:hAnsi="Segoe UI" w:cs="Segoe UI"/>
          <w:sz w:val="22"/>
          <w:szCs w:val="22"/>
          <w:color w:val="333333"/>
        </w:rPr>
        <w:t xml:space="preserve"> Track repayment performance of each provider’s referred patients. Providers whose patients default at 6%+ receive automatic throttling: lower loan ceilings, slower payouts, and eventual suspension.</w:t>
      </w:r>
    </w:p>
    <w:p>
      <w:pPr>
        <w:spacing w:after="100" w:line="300" w:lineRule="auto"/>
        <w:ind w:left="540"/>
      </w:pPr>
      <w:r>
        <w:rPr>
          <w:rFonts w:ascii="Segoe UI" w:hAnsi="Segoe UI" w:cs="Segoe UI"/>
          <w:b/>
          <w:bCs/>
          <w:sz w:val="22"/>
          <w:szCs w:val="22"/>
          <w:color w:val="E01E37"/>
        </w:rPr>
        <w:t xml:space="preserve">2.  </w:t>
      </w:r>
      <w:r>
        <w:rPr>
          <w:rFonts w:ascii="Segoe UI" w:hAnsi="Segoe UI" w:cs="Segoe UI"/>
          <w:b/>
          <w:bCs/>
          <w:sz w:val="22"/>
          <w:szCs w:val="22"/>
          <w:color w:val="1A1A1A"/>
        </w:rPr>
        <w:t xml:space="preserve">Treatment Cost Benchmarking:</w:t>
      </w:r>
      <w:r>
        <w:rPr>
          <w:rFonts w:ascii="Segoe UI" w:hAnsi="Segoe UI" w:cs="Segoe UI"/>
          <w:sz w:val="22"/>
          <w:szCs w:val="22"/>
          <w:color w:val="333333"/>
        </w:rPr>
        <w:t xml:space="preserve"> Build a database of typical procedure costs by type and region. Flag any provider consistently quoting 30%+ above benchmark for mandatory review before loan approval.</w:t>
      </w:r>
    </w:p>
    <w:p>
      <w:pPr>
        <w:spacing w:after="100" w:line="300" w:lineRule="auto"/>
        <w:ind w:left="540"/>
      </w:pPr>
      <w:r>
        <w:rPr>
          <w:rFonts w:ascii="Segoe UI" w:hAnsi="Segoe UI" w:cs="Segoe UI"/>
          <w:b/>
          <w:bCs/>
          <w:sz w:val="22"/>
          <w:szCs w:val="22"/>
          <w:color w:val="E01E37"/>
        </w:rPr>
        <w:t xml:space="preserve">3.  </w:t>
      </w:r>
      <w:r>
        <w:rPr>
          <w:rFonts w:ascii="Segoe UI" w:hAnsi="Segoe UI" w:cs="Segoe UI"/>
          <w:b/>
          <w:bCs/>
          <w:sz w:val="22"/>
          <w:szCs w:val="22"/>
          <w:color w:val="1A1A1A"/>
        </w:rPr>
        <w:t xml:space="preserve">Graduated Trust System:</w:t>
      </w:r>
      <w:r>
        <w:rPr>
          <w:rFonts w:ascii="Segoe UI" w:hAnsi="Segoe UI" w:cs="Segoe UI"/>
          <w:sz w:val="22"/>
          <w:szCs w:val="22"/>
          <w:color w:val="333333"/>
        </w:rPr>
        <w:t xml:space="preserve"> New providers start with R10,000 per-patient cap and 5-day payout (not 24 hours). They earn faster payouts and higher limits only after 6 months of clean repayment data from their referred patients.</w:t>
      </w:r>
    </w:p>
    <w:p>
      <w:pPr>
        <w:spacing w:after="100" w:line="300" w:lineRule="auto"/>
        <w:ind w:left="540"/>
      </w:pPr>
      <w:r>
        <w:rPr>
          <w:rFonts w:ascii="Segoe UI" w:hAnsi="Segoe UI" w:cs="Segoe UI"/>
          <w:b/>
          <w:bCs/>
          <w:sz w:val="22"/>
          <w:szCs w:val="22"/>
          <w:color w:val="E01E37"/>
        </w:rPr>
        <w:t xml:space="preserve">4.  </w:t>
      </w:r>
      <w:r>
        <w:rPr>
          <w:rFonts w:ascii="Segoe UI" w:hAnsi="Segoe UI" w:cs="Segoe UI"/>
          <w:b/>
          <w:bCs/>
          <w:sz w:val="22"/>
          <w:szCs w:val="22"/>
          <w:color w:val="1A1A1A"/>
        </w:rPr>
        <w:t xml:space="preserve">Provider Co-Payment Holdback:</w:t>
      </w:r>
      <w:r>
        <w:rPr>
          <w:rFonts w:ascii="Segoe UI" w:hAnsi="Segoe UI" w:cs="Segoe UI"/>
          <w:sz w:val="22"/>
          <w:szCs w:val="22"/>
          <w:color w:val="333333"/>
        </w:rPr>
        <w:t xml:space="preserve"> 5–10% holdback on the first 20 loans from a new provider, released after 90 days of on-track repayment. This structurally eliminates the moral hazard for unproven providers.</w:t>
      </w:r>
    </w:p>
    <w:p>
      <w:pPr>
        <w:keepNext/>
        <w:spacing w:before="360" w:after="160" w:line="288" w:lineRule="auto"/>
      </w:pPr>
      <w:r>
        <w:rPr>
          <w:rFonts w:ascii="Segoe UI" w:hAnsi="Segoe UI" w:cs="Segoe UI"/>
          <w:b/>
          <w:bCs/>
          <w:sz w:val="34"/>
          <w:szCs w:val="34"/>
          <w:color w:val="1A1A1A"/>
        </w:rPr>
        <w:t xml:space="preserve">6.2 Patient to PaySick: The Classic Selection Problem</w:t>
      </w:r>
    </w:p>
    <w:p>
      <w:pPr>
        <w:keepNext/>
        <w:spacing w:before="280" w:after="100" w:line="288" w:lineRule="auto"/>
      </w:pPr>
      <w:r>
        <w:rPr>
          <w:rFonts w:ascii="Segoe UI" w:hAnsi="Segoe UI" w:cs="Segoe UI"/>
          <w:b/>
          <w:bCs/>
          <w:sz w:val="26"/>
          <w:szCs w:val="26"/>
          <w:color w:val="1A1A1A"/>
        </w:rPr>
        <w:t xml:space="preserve">The Core Problem</w:t>
      </w:r>
    </w:p>
    <w:p>
      <w:pPr>
        <w:spacing w:after="160" w:line="300" w:lineRule="auto"/>
      </w:pPr>
      <w:r>
        <w:rPr>
          <w:rFonts w:ascii="Segoe UI" w:hAnsi="Segoe UI" w:cs="Segoe UI"/>
          <w:sz w:val="22"/>
          <w:szCs w:val="22"/>
          <w:color w:val="333333"/>
        </w:rPr>
        <w:t xml:space="preserve">Patients who actively seek financing are statistically more likely to be financially stressed than patients who could pay cash. This is textbook adverse selection: the people most attracted to the product are the riskiest borrowers. In healthcare, clinical urgency compounds this, as patients needing emergency procedures will accept any terms.</w:t>
      </w:r>
    </w:p>
    <w:p>
      <w:pPr>
        <w:keepNext/>
        <w:spacing w:before="280" w:after="100" w:line="288" w:lineRule="auto"/>
      </w:pPr>
      <w:r>
        <w:rPr>
          <w:rFonts w:ascii="Segoe UI" w:hAnsi="Segoe UI" w:cs="Segoe UI"/>
          <w:b/>
          <w:bCs/>
          <w:sz w:val="26"/>
          <w:szCs w:val="26"/>
          <w:color w:val="1A1A1A"/>
        </w:rPr>
        <w:t xml:space="preserve">The Adverse Selection Mechanism</w:t>
      </w:r>
    </w:p>
    <w:p>
      <w:pPr>
        <w:spacing w:after="160" w:line="300" w:lineRule="auto"/>
      </w:pPr>
      <w:r>
        <w:rPr>
          <w:rFonts w:ascii="Segoe UI" w:hAnsi="Segoe UI" w:cs="Segoe UI"/>
          <w:sz w:val="22"/>
          <w:szCs w:val="22"/>
          <w:color w:val="333333"/>
        </w:rPr>
        <w:t xml:space="preserve">BNPL data confirms this pattern at scale. In the U.S., 55% of BNPL users choose the service because it allows them to afford things they otherwise could not. Among BNPL users, 77.7% rely on at least one financial coping strategy. The Federal Reserve Bank of New York has warned that BNPL users are disproportionately financially fragile, as measured by their average likelihood of covering a $2,000 emergency expense.</w:t>
      </w:r>
    </w:p>
    <w:p>
      <w:pPr>
        <w:spacing w:after="160" w:line="300" w:lineRule="auto"/>
      </w:pPr>
      <w:r>
        <w:rPr>
          <w:rFonts w:ascii="Segoe UI" w:hAnsi="Segoe UI" w:cs="Segoe UI"/>
          <w:sz w:val="22"/>
          <w:szCs w:val="22"/>
          <w:color w:val="333333"/>
        </w:rPr>
        <w:t xml:space="preserve">In healthcare, the risk is amplified. A patient needing urgent dental work or an emergency procedure has no time to shop around or improve their financial position. They will accept any terms. High urgency combined with financial stress produces the exact borrower profile that defaults.</w:t>
      </w:r>
    </w:p>
    <w:p>
      <w:pPr>
        <w:keepNext/>
        <w:spacing w:before="280" w:after="100" w:line="288" w:lineRule="auto"/>
      </w:pPr>
      <w:r>
        <w:rPr>
          <w:rFonts w:ascii="Segoe UI" w:hAnsi="Segoe UI" w:cs="Segoe UI"/>
          <w:b/>
          <w:bCs/>
          <w:sz w:val="26"/>
          <w:szCs w:val="26"/>
          <w:color w:val="1A1A1A"/>
        </w:rPr>
        <w:t xml:space="preserve">Quantified Impact</w:t>
      </w:r>
    </w:p>
    <w:p>
      <w:pPr>
        <w:spacing w:before="240" w:after="240" w:line="280" w:lineRule="auto"/>
        <w:pBdr>
          <w:left w:val="single" w:sz="18" w:space="14" w:color="E01E37"/>
        </w:pBdr>
        <w:shd w:val="clear" w:color="auto" w:fill="FFF5F6"/>
      </w:pPr>
      <w:r>
        <w:rPr>
          <w:rFonts w:ascii="Segoe UI" w:hAnsi="Segoe UI" w:cs="Segoe UI"/>
          <w:b/>
          <w:bCs/>
          <w:sz w:val="20"/>
          <w:szCs w:val="20"/>
          <w:color w:val="1A1A1A"/>
        </w:rPr>
        <w:t xml:space="preserve">Patient Adverse Selection Drift</w:t>
      </w:r>
      <w:r>
        <w:br/>
      </w:r>
      <w:r>
        <w:rPr>
          <w:rFonts w:ascii="Segoe UI" w:hAnsi="Segoe UI" w:cs="Segoe UI"/>
          <w:sz w:val="20"/>
          <w:szCs w:val="20"/>
          <w:color w:val="1A1A1A"/>
        </w:rPr>
        <w:t xml:space="preserve">Year 1 mix: 70% convenience borrowers (PD 2%) + 30% necessity borrowers (PD 6%) = Blended PD 3.2%</w:t>
      </w:r>
      <w:r>
        <w:br/>
      </w:r>
      <w:r>
        <w:rPr>
          <w:rFonts w:ascii="Segoe UI" w:hAnsi="Segoe UI" w:cs="Segoe UI"/>
          <w:sz w:val="20"/>
          <w:szCs w:val="20"/>
          <w:color w:val="1A1A1A"/>
        </w:rPr>
        <w:t xml:space="preserve">Year 2 drift: 50% convenience + 50% necessity = Blended PD 4.0%</w:t>
      </w:r>
      <w:r>
        <w:br/>
      </w:r>
      <w:r>
        <w:rPr>
          <w:rFonts w:ascii="Segoe UI" w:hAnsi="Segoe UI" w:cs="Segoe UI"/>
          <w:sz w:val="20"/>
          <w:szCs w:val="20"/>
          <w:color w:val="1A1A1A"/>
        </w:rPr>
        <w:t xml:space="preserve">Year 3 adverse drift: 30% convenience + 70% necessity = Blended PD 4.8%</w:t>
      </w:r>
      <w:r>
        <w:br/>
      </w:r>
      <w:r>
        <w:rPr>
          <w:rFonts w:ascii="Segoe UI" w:hAnsi="Segoe UI" w:cs="Segoe UI"/>
          <w:sz w:val="20"/>
          <w:szCs w:val="20"/>
          <w:color w:val="1A1A1A"/>
        </w:rPr>
        <w:t xml:space="preserve">Net loss rate progression: 1.44% → 1.80% → 2.16% (50% increase over three years)</w:t>
      </w:r>
      <w:r>
        <w:br/>
      </w:r>
      <w:r>
        <w:rPr>
          <w:rFonts w:ascii="Segoe UI" w:hAnsi="Segoe UI" w:cs="Segoe UI"/>
          <w:sz w:val="20"/>
          <w:szCs w:val="20"/>
          <w:color w:val="1A1A1A"/>
        </w:rPr>
        <w:t xml:space="preserve">This silent drift is the most dangerous form of adverse selection because it appears gradually in the data.</w:t>
      </w:r>
    </w:p>
    <w:p>
      <w:pPr>
        <w:keepNext/>
        <w:spacing w:before="280" w:after="100" w:line="288" w:lineRule="auto"/>
      </w:pPr>
      <w:r>
        <w:rPr>
          <w:rFonts w:ascii="Segoe UI" w:hAnsi="Segoe UI" w:cs="Segoe UI"/>
          <w:b/>
          <w:bCs/>
          <w:sz w:val="26"/>
          <w:szCs w:val="26"/>
          <w:color w:val="1A1A1A"/>
        </w:rPr>
        <w:t xml:space="preserve">Mitigation Controls</w:t>
      </w:r>
    </w:p>
    <w:p>
      <w:pPr>
        <w:spacing w:after="100" w:line="300" w:lineRule="auto"/>
        <w:ind w:left="540"/>
      </w:pPr>
      <w:r>
        <w:rPr>
          <w:rFonts w:ascii="Segoe UI" w:hAnsi="Segoe UI" w:cs="Segoe UI"/>
          <w:b/>
          <w:bCs/>
          <w:sz w:val="22"/>
          <w:szCs w:val="22"/>
          <w:color w:val="E01E37"/>
        </w:rPr>
        <w:t xml:space="preserve">1.  </w:t>
      </w:r>
      <w:r>
        <w:rPr>
          <w:rFonts w:ascii="Segoe UI" w:hAnsi="Segoe UI" w:cs="Segoe UI"/>
          <w:b/>
          <w:bCs/>
          <w:sz w:val="22"/>
          <w:szCs w:val="22"/>
          <w:color w:val="1A1A1A"/>
        </w:rPr>
        <w:t xml:space="preserve">Urgency Segmentation:</w:t>
      </w:r>
      <w:r>
        <w:rPr>
          <w:rFonts w:ascii="Segoe UI" w:hAnsi="Segoe UI" w:cs="Segoe UI"/>
          <w:sz w:val="22"/>
          <w:szCs w:val="22"/>
          <w:color w:val="333333"/>
        </w:rPr>
        <w:t xml:space="preserve"> Elective procedures (cosmetic, dental veneers, laser eye) have different approval criteria than urgent or essential procedures. Elective patients who choose financing are lower risk because they had time to plan.</w:t>
      </w:r>
    </w:p>
    <w:p>
      <w:pPr>
        <w:spacing w:after="100" w:line="300" w:lineRule="auto"/>
        <w:ind w:left="540"/>
      </w:pPr>
      <w:r>
        <w:rPr>
          <w:rFonts w:ascii="Segoe UI" w:hAnsi="Segoe UI" w:cs="Segoe UI"/>
          <w:b/>
          <w:bCs/>
          <w:sz w:val="22"/>
          <w:szCs w:val="22"/>
          <w:color w:val="E01E37"/>
        </w:rPr>
        <w:t xml:space="preserve">2.  </w:t>
      </w:r>
      <w:r>
        <w:rPr>
          <w:rFonts w:ascii="Segoe UI" w:hAnsi="Segoe UI" w:cs="Segoe UI"/>
          <w:b/>
          <w:bCs/>
          <w:sz w:val="22"/>
          <w:szCs w:val="22"/>
          <w:color w:val="1A1A1A"/>
        </w:rPr>
        <w:t xml:space="preserve">Affordability Verification Over Credit History:</w:t>
      </w:r>
      <w:r>
        <w:rPr>
          <w:rFonts w:ascii="Segoe UI" w:hAnsi="Segoe UI" w:cs="Segoe UI"/>
          <w:sz w:val="22"/>
          <w:szCs w:val="22"/>
          <w:color w:val="333333"/>
        </w:rPr>
        <w:t xml:space="preserve"> Skip bureau checks as positioning, but replace with bank statement analysis (30 days of transaction data showing income and spending patterns). ‘No bureau’ must not mean ‘no verification’.</w:t>
      </w:r>
    </w:p>
    <w:p>
      <w:pPr>
        <w:spacing w:after="100" w:line="300" w:lineRule="auto"/>
        <w:ind w:left="540"/>
      </w:pPr>
      <w:r>
        <w:rPr>
          <w:rFonts w:ascii="Segoe UI" w:hAnsi="Segoe UI" w:cs="Segoe UI"/>
          <w:b/>
          <w:bCs/>
          <w:sz w:val="22"/>
          <w:szCs w:val="22"/>
          <w:color w:val="E01E37"/>
        </w:rPr>
        <w:t xml:space="preserve">3.  </w:t>
      </w:r>
      <w:r>
        <w:rPr>
          <w:rFonts w:ascii="Segoe UI" w:hAnsi="Segoe UI" w:cs="Segoe UI"/>
          <w:b/>
          <w:bCs/>
          <w:sz w:val="22"/>
          <w:szCs w:val="22"/>
          <w:color w:val="1A1A1A"/>
        </w:rPr>
        <w:t xml:space="preserve">Hard Repayment-to-Income Ceiling:</w:t>
      </w:r>
      <w:r>
        <w:rPr>
          <w:rFonts w:ascii="Segoe UI" w:hAnsi="Segoe UI" w:cs="Segoe UI"/>
          <w:sz w:val="22"/>
          <w:szCs w:val="22"/>
          <w:color w:val="333333"/>
        </w:rPr>
        <w:t xml:space="preserve"> Cap monthly repayment at 15–20% of verified monthly income. Non-negotiable. This single rule physically limits exposure to patients who cannot afford the loan.</w:t>
      </w:r>
    </w:p>
    <w:p>
      <w:pPr>
        <w:spacing w:after="100" w:line="300" w:lineRule="auto"/>
        <w:ind w:left="540"/>
      </w:pPr>
      <w:r>
        <w:rPr>
          <w:rFonts w:ascii="Segoe UI" w:hAnsi="Segoe UI" w:cs="Segoe UI"/>
          <w:b/>
          <w:bCs/>
          <w:sz w:val="22"/>
          <w:szCs w:val="22"/>
          <w:color w:val="E01E37"/>
        </w:rPr>
        <w:t xml:space="preserve">4.  </w:t>
      </w:r>
      <w:r>
        <w:rPr>
          <w:rFonts w:ascii="Segoe UI" w:hAnsi="Segoe UI" w:cs="Segoe UI"/>
          <w:b/>
          <w:bCs/>
          <w:sz w:val="22"/>
          <w:szCs w:val="22"/>
          <w:color w:val="1A1A1A"/>
        </w:rPr>
        <w:t xml:space="preserve">Cooling-Off Period:</w:t>
      </w:r>
      <w:r>
        <w:rPr>
          <w:rFonts w:ascii="Segoe UI" w:hAnsi="Segoe UI" w:cs="Segoe UI"/>
          <w:sz w:val="22"/>
          <w:szCs w:val="22"/>
          <w:color w:val="333333"/>
        </w:rPr>
        <w:t xml:space="preserve"> 48-hour waiting period for elective procedures above R15,000 to filter out impulsive borrowing. Urgent or essential procedures bypass this with tighter affordability requirements.</w:t>
      </w:r>
    </w:p>
    <w:p>
      <w:pPr>
        <w:keepNext/>
        <w:spacing w:before="280" w:after="100" w:line="288" w:lineRule="auto"/>
      </w:pPr>
      <w:r>
        <w:rPr>
          <w:rFonts w:ascii="Segoe UI" w:hAnsi="Segoe UI" w:cs="Segoe UI"/>
          <w:b/>
          <w:bCs/>
          <w:sz w:val="26"/>
          <w:szCs w:val="26"/>
          <w:color w:val="1A1A1A"/>
        </w:rPr>
        <w:t xml:space="preserve">Structural Solution: The PaySick Health Line (Revolving Credit Facility)</w:t>
      </w:r>
    </w:p>
    <w:p>
      <w:pPr>
        <w:spacing w:after="160" w:line="300" w:lineRule="auto"/>
      </w:pPr>
      <w:r>
        <w:rPr>
          <w:rFonts w:ascii="Segoe UI" w:hAnsi="Segoe UI" w:cs="Segoe UI"/>
          <w:sz w:val="22"/>
          <w:szCs w:val="22"/>
          <w:color w:val="333333"/>
        </w:rPr>
        <w:t xml:space="preserve">The most powerful structural answer to patient adverse selection is to change the product construct for proven borrowers. A revolving healthcare credit facility, the PaySick Health Line, fundamentally inverts the adverse selection dynamic. Instead of the riskiest patients being the most attracted to the product, the best patients are rewarded with pre-approved credit.</w:t>
      </w:r>
    </w:p>
    <w:p>
      <w:pPr>
        <w:spacing w:after="160" w:line="300" w:lineRule="auto"/>
      </w:pPr>
      <w:r>
        <w:rPr>
          <w:rFonts w:ascii="Segoe UI" w:hAnsi="Segoe UI" w:cs="Segoe UI"/>
          <w:b/>
          <w:bCs/>
          <w:sz w:val="22"/>
          <w:szCs w:val="22"/>
          <w:color w:val="1A1A1A"/>
        </w:rPr>
        <w:t xml:space="preserve">Actuarial logic: </w:t>
      </w:r>
      <w:r>
        <w:rPr>
          <w:rFonts w:ascii="Segoe UI" w:hAnsi="Segoe UI" w:cs="Segoe UI"/>
          <w:sz w:val="22"/>
          <w:szCs w:val="22"/>
          <w:color w:val="333333"/>
        </w:rPr>
        <w:t xml:space="preserve">The one-shot lending model creates adverse selection at every new loan because the borrower is unknown at the point of need. A revolving facility converts this into a portfolio management problem with known borrowers and behavioural data. Patients who successfully complete their first loan (minimum 6 months of on-time repayment) are automatically pre-approved for a revolving healthcare credit line. Limits increase with continued performance. This creates a retained-customer pool with dramatically lower PD, estimated at 1.5–2.0% versus 3.2% for new originations, because the population has been screened by actual behaviour, not predicted risk factors.</w:t>
      </w:r>
    </w:p>
    <w:p>
      <w:pPr>
        <w:spacing w:after="160" w:line="300" w:lineRule="auto"/>
      </w:pPr>
      <w:r>
        <w:rPr>
          <w:rFonts w:ascii="Segoe UI" w:hAnsi="Segoe UI" w:cs="Segoe UI"/>
          <w:b/>
          <w:bCs/>
          <w:sz w:val="22"/>
          <w:szCs w:val="22"/>
          <w:color w:val="1A1A1A"/>
        </w:rPr>
        <w:t xml:space="preserve">Product structure: </w:t>
      </w:r>
      <w:r>
        <w:rPr>
          <w:rFonts w:ascii="Segoe UI" w:hAnsi="Segoe UI" w:cs="Segoe UI"/>
          <w:sz w:val="22"/>
          <w:szCs w:val="22"/>
          <w:color w:val="333333"/>
        </w:rPr>
        <w:t xml:space="preserve">Minimum 6 months on-time repayment on initial loan triggers automatic pre-approval. Initial revolving limit set at 50% of first loan amount. Graduated limit increases based on continued performance, up to R75,000 for patients with 24+ months of clean history. The facility can be drawn for any procedure at any provider in the PaySick network, with 60-second approval since underwriting is pre-completed. Interest rates for Health Line patients are prime + 3–5%, reflecting the lower risk profile, versus prime + 5–8% for new borrowers.</w:t>
      </w:r>
    </w:p>
    <w:p>
      <w:pPr>
        <w:spacing w:after="160" w:line="300" w:lineRule="auto"/>
      </w:pPr>
      <w:r>
        <w:rPr>
          <w:rFonts w:ascii="Segoe UI" w:hAnsi="Segoe UI" w:cs="Segoe UI"/>
          <w:b/>
          <w:bCs/>
          <w:sz w:val="22"/>
          <w:szCs w:val="22"/>
          <w:color w:val="1A1A1A"/>
        </w:rPr>
        <w:t xml:space="preserve">Impact on portfolio composition: </w:t>
      </w:r>
      <w:r>
        <w:rPr>
          <w:rFonts w:ascii="Segoe UI" w:hAnsi="Segoe UI" w:cs="Segoe UI"/>
          <w:sz w:val="22"/>
          <w:szCs w:val="22"/>
          <w:color w:val="333333"/>
        </w:rPr>
        <w:t xml:space="preserve">Over time, the Health Line creates a growing proportion of low-risk repeat borrowers in the book. By Year 3, if 30% of the portfolio is revolving-facility patients with 1.5% PD and 70% is new originations at 3.2% PD, the blended portfolio PD drops to 2.69%, a structural improvement that compounds annually as the Health Line population grows.</w:t>
      </w:r>
    </w:p>
    <w:p>
      <w:pPr>
        <w:keepNext/>
        <w:spacing w:before="360" w:after="160" w:line="288" w:lineRule="auto"/>
      </w:pPr>
      <w:r>
        <w:rPr>
          <w:rFonts w:ascii="Segoe UI" w:hAnsi="Segoe UI" w:cs="Segoe UI"/>
          <w:b/>
          <w:bCs/>
          <w:sz w:val="34"/>
          <w:szCs w:val="34"/>
          <w:color w:val="1A1A1A"/>
        </w:rPr>
        <w:t xml:space="preserve">6.3 Lender to PaySick: Reverse Selection and Cherry-Picking</w:t>
      </w:r>
    </w:p>
    <w:p>
      <w:pPr>
        <w:spacing w:after="160" w:line="300" w:lineRule="auto"/>
      </w:pPr>
      <w:r>
        <w:rPr>
          <w:rFonts w:ascii="Segoe UI" w:hAnsi="Segoe UI" w:cs="Segoe UI"/>
          <w:sz w:val="22"/>
          <w:szCs w:val="22"/>
          <w:color w:val="333333"/>
        </w:rPr>
        <w:t xml:space="preserve">This adverse selection runs in reverse. With multiple lenders on the marketplace, the best lenders (lowest rates, best terms) cherry-pick the safest loans: young professionals, small amounts, known procedures. The riskier loans are picked up only by aggressive lenders charging the highest rates.</w:t>
      </w:r>
    </w:p>
    <w:p>
      <w:pPr>
        <w:spacing w:after="160" w:line="300" w:lineRule="auto"/>
      </w:pPr>
      <w:r>
        <w:rPr>
          <w:rFonts w:ascii="Segoe UI" w:hAnsi="Segoe UI" w:cs="Segoe UI"/>
          <w:sz w:val="22"/>
          <w:szCs w:val="22"/>
          <w:color w:val="333333"/>
        </w:rPr>
        <w:t xml:space="preserve">Over time, this creates a two-tier system. The best patients get matched with good lenders and have excellent experiences. The most vulnerable patients get matched with the most expensive lenders and have poor experiences. This damages the PaySick brand and eventually drives providers away.</w:t>
      </w:r>
    </w:p>
    <w:p>
      <w:pPr>
        <w:keepNext/>
        <w:spacing w:before="280" w:after="100" w:line="288" w:lineRule="auto"/>
      </w:pPr>
      <w:r>
        <w:rPr>
          <w:rFonts w:ascii="Segoe UI" w:hAnsi="Segoe UI" w:cs="Segoe UI"/>
          <w:b/>
          <w:bCs/>
          <w:sz w:val="26"/>
          <w:szCs w:val="26"/>
          <w:color w:val="1A1A1A"/>
        </w:rPr>
        <w:t xml:space="preserve">The Nightmare Scenario</w:t>
      </w:r>
    </w:p>
    <w:p>
      <w:pPr>
        <w:spacing w:after="160" w:line="300" w:lineRule="auto"/>
      </w:pPr>
      <w:r>
        <w:rPr>
          <w:rFonts w:ascii="Segoe UI" w:hAnsi="Segoe UI" w:cs="Segoe UI"/>
          <w:sz w:val="22"/>
          <w:szCs w:val="22"/>
          <w:color w:val="333333"/>
        </w:rPr>
        <w:t xml:space="preserve">A predatory lender joins the marketplace specifically to target high-urgency, low-alternative patients with interest rates exceeding 35%. They are willing to take the risk because margins are enormous. PaySick earns origination fees, creating a perverse incentive to allow it. When patients complain or default, the reputational damage hits PaySick, not the lender.</w:t>
      </w:r>
    </w:p>
    <w:p>
      <w:pPr>
        <w:keepNext/>
        <w:spacing w:before="280" w:after="100" w:line="288" w:lineRule="auto"/>
      </w:pPr>
      <w:r>
        <w:rPr>
          <w:rFonts w:ascii="Segoe UI" w:hAnsi="Segoe UI" w:cs="Segoe UI"/>
          <w:b/>
          <w:bCs/>
          <w:sz w:val="26"/>
          <w:szCs w:val="26"/>
          <w:color w:val="1A1A1A"/>
        </w:rPr>
        <w:t xml:space="preserve">Mitigation Controls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Rate Caps: </w:t>
      </w:r>
      <w:r>
        <w:rPr>
          <w:rFonts w:ascii="Segoe UI" w:hAnsi="Segoe UI" w:cs="Segoe UI"/>
          <w:sz w:val="22"/>
          <w:szCs w:val="22"/>
          <w:color w:val="333333"/>
        </w:rPr>
        <w:t xml:space="preserve">Maximum allowable interest rate of prime + 12%. Any lender exceeding this is excluded from the marketplace.</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Lender Quality Scoring: </w:t>
      </w:r>
      <w:r>
        <w:rPr>
          <w:rFonts w:ascii="Segoe UI" w:hAnsi="Segoe UI" w:cs="Segoe UI"/>
          <w:sz w:val="22"/>
          <w:szCs w:val="22"/>
          <w:color w:val="333333"/>
        </w:rPr>
        <w:t xml:space="preserve">Score lenders on approval rates, complaint rates, patient satisfaction, and collections practices. Low-scoring lenders lose visibility or are removed.</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Minimum Coverage Requirements: </w:t>
      </w:r>
      <w:r>
        <w:rPr>
          <w:rFonts w:ascii="Segoe UI" w:hAnsi="Segoe UI" w:cs="Segoe UI"/>
          <w:sz w:val="22"/>
          <w:szCs w:val="22"/>
          <w:color w:val="333333"/>
        </w:rPr>
        <w:t xml:space="preserve">Each lender must bid on a minimum percentage of all loan requests, not just cherry-picked safe ones. Lenders can price for risk but cannot serve only easy loans.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PaySick as Rate Curator: </w:t>
      </w:r>
      <w:r>
        <w:rPr>
          <w:rFonts w:ascii="Segoe UI" w:hAnsi="Segoe UI" w:cs="Segoe UI"/>
          <w:sz w:val="22"/>
          <w:szCs w:val="22"/>
          <w:color w:val="333333"/>
        </w:rPr>
        <w:t xml:space="preserve">Instead of showing all offers, show the top 2–3 ranked by a blended score of rate, lender quality, and terms. Editorial control protects the patient experience.</w:t>
      </w:r>
    </w:p>
    <w:p>
      <w:pPr>
        <w:keepNext/>
        <w:spacing w:before="360" w:after="160" w:line="288" w:lineRule="auto"/>
      </w:pPr>
      <w:r>
        <w:rPr>
          <w:rFonts w:ascii="Segoe UI" w:hAnsi="Segoe UI" w:cs="Segoe UI"/>
          <w:b/>
          <w:bCs/>
          <w:sz w:val="34"/>
          <w:szCs w:val="34"/>
          <w:color w:val="1A1A1A"/>
        </w:rPr>
        <w:t xml:space="preserve">6.4 Patient to Provider: The Hidden Outcome Risk</w:t>
      </w:r>
    </w:p>
    <w:p>
      <w:pPr>
        <w:spacing w:after="160" w:line="300" w:lineRule="auto"/>
      </w:pPr>
      <w:r>
        <w:rPr>
          <w:rFonts w:ascii="Segoe UI" w:hAnsi="Segoe UI" w:cs="Segoe UI"/>
          <w:sz w:val="22"/>
          <w:szCs w:val="22"/>
          <w:color w:val="333333"/>
        </w:rPr>
        <w:t xml:space="preserve">This relationship does not flow through PaySick directly but critically affects the book. If a patient has a bad clinical outcome (botched procedure, complications, chronic pain), they psychologically disengage from repayment. Medical debt tied to negative health outcomes has measurably higher default rates than debt tied to successful treatment.</w:t>
      </w:r>
    </w:p>
    <w:p>
      <w:pPr>
        <w:spacing w:after="160" w:line="300" w:lineRule="auto"/>
      </w:pPr>
      <w:r>
        <w:rPr>
          <w:rFonts w:ascii="Segoe UI" w:hAnsi="Segoe UI" w:cs="Segoe UI"/>
          <w:sz w:val="22"/>
          <w:szCs w:val="22"/>
          <w:color w:val="333333"/>
        </w:rPr>
        <w:t xml:space="preserve">A high-volume provider with mediocre clinical outcomes generates loan volume that initially appears healthy. Three to six months later, complication rates are high, satisfaction is low, and defaults spike. By the time repayment data reveals the pattern, six months of loans have already been funded through that provider.</w:t>
      </w:r>
    </w:p>
    <w:p>
      <w:pPr>
        <w:keepNext/>
        <w:spacing w:before="280" w:after="100" w:line="288" w:lineRule="auto"/>
      </w:pPr>
      <w:r>
        <w:rPr>
          <w:rFonts w:ascii="Segoe UI" w:hAnsi="Segoe UI" w:cs="Segoe UI"/>
          <w:b/>
          <w:bCs/>
          <w:sz w:val="26"/>
          <w:szCs w:val="26"/>
          <w:color w:val="1A1A1A"/>
        </w:rPr>
        <w:t xml:space="preserve">Mitigation Controls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Patient Satisfaction Feedback Loop: </w:t>
      </w:r>
      <w:r>
        <w:rPr>
          <w:rFonts w:ascii="Segoe UI" w:hAnsi="Segoe UI" w:cs="Segoe UI"/>
          <w:sz w:val="22"/>
          <w:szCs w:val="22"/>
          <w:color w:val="333333"/>
        </w:rPr>
        <w:t xml:space="preserve">Post-treatment survey at 30 and 90 days. Specifically: ‘Did the treatment achieve the expected outcome?’ Tie this back to provider scoring.</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Outcome-Adjusted Provider Scoring: </w:t>
      </w:r>
      <w:r>
        <w:rPr>
          <w:rFonts w:ascii="Segoe UI" w:hAnsi="Segoe UI" w:cs="Segoe UI"/>
          <w:sz w:val="22"/>
          <w:szCs w:val="22"/>
          <w:color w:val="333333"/>
        </w:rPr>
        <w:t xml:space="preserve">Providers whose patients report poor outcomes AND have higher default rates get flagged automatically. The correlation between clinical quality and repayment is a powerful risk signal.</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Procedure-Level Monitoring: </w:t>
      </w:r>
      <w:r>
        <w:rPr>
          <w:rFonts w:ascii="Segoe UI" w:hAnsi="Segoe UI" w:cs="Segoe UI"/>
          <w:sz w:val="22"/>
          <w:szCs w:val="22"/>
          <w:color w:val="333333"/>
        </w:rPr>
        <w:t xml:space="preserve">Track default rates by procedure type per provider. A provider may have excellent results for one procedure but poor results for another. Granular scoring allows restriction of specific procedures rather than full provider suspension.</w:t>
      </w:r>
    </w:p>
    <w:p>
      <w:pPr>
        <w:spacing w:after="20" w:line="240" w:lineRule="auto"/>
      </w:pPr>
      <w:r>
        <w:rPr>
          <w:rFonts w:ascii="Segoe UI" w:hAnsi="Segoe UI" w:cs="Segoe UI"/>
          <w:b/>
          <w:bCs/>
          <w:caps/>
          <w:sz w:val="18"/>
          <w:szCs w:val="18"/>
          <w:color w:val="E01E37"/>
          <w:spacing w:val="80"/>
        </w:rPr>
        <w:t xml:space="preserve">Section 07</w:t>
      </w:r>
    </w:p>
    <w:p>
      <w:pPr>
        <w:keepNext/>
        <w:pageBreakBefore/>
        <w:spacing w:before="0" w:after="80" w:line="288" w:lineRule="auto"/>
      </w:pPr>
      <w:r>
        <w:rPr>
          <w:rFonts w:ascii="Segoe UI" w:hAnsi="Segoe UI" w:cs="Segoe UI"/>
          <w:b/>
          <w:bCs/>
          <w:sz w:val="52"/>
          <w:szCs w:val="52"/>
          <w:color w:val="1A1A1A"/>
        </w:rPr>
        <w:t xml:space="preserve">The PaySick Shield Framework: Target Underwriting Model</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The PaySick Shield Framework is the integrated set of structural controls designed to maintain net loss rates below 2% across economic cycles. It operates across five layers, each breaking the adverse selection cascade at a different point. This framework is the target operating model and represents the ideal scenario that PaySick aims to achieve and sustain.</w:t>
      </w:r>
    </w:p>
    <w:p>
      <w:pPr>
        <w:keepNext/>
        <w:spacing w:before="360" w:after="160" w:line="288" w:lineRule="auto"/>
      </w:pPr>
      <w:r>
        <w:rPr>
          <w:rFonts w:ascii="Segoe UI" w:hAnsi="Segoe UI" w:cs="Segoe UI"/>
          <w:b/>
          <w:bCs/>
          <w:sz w:val="34"/>
          <w:szCs w:val="34"/>
          <w:color w:val="1A1A1A"/>
        </w:rPr>
        <w:t xml:space="preserve">7.1 Layer 1: Provider Gate (Breaks the Chain at Origination)</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2200"/>
        <w:gridCol w:w="3800"/>
        <w:gridCol w:w="3026"/>
      </w:tblGrid>
      <w:tr>
        <w:trPr>
          <w:tblHeader/>
        </w:trPr>
        <w:tc>
          <w:tcPr>
            <w:tcW w:w="2200" w:type="dxa"/>
            <w:shd w:val="clear" w:color="auto" w:fill="2D2D2D"/>
            <w:vAlign w:val="center"/>
          </w:tcPr>
          <w:p>
            <w:pPr>
              <w:spacing w:before="70" w:after="70" w:line="240" w:lineRule="auto"/>
            </w:pPr>
            <w:r>
              <w:rPr>
                <w:rFonts w:ascii="Segoe UI" w:hAnsi="Segoe UI" w:cs="Segoe UI"/>
                <w:b/>
                <w:bCs/>
                <w:sz w:val="18"/>
                <w:szCs w:val="18"/>
                <w:color w:val="FFFFFF"/>
              </w:rPr>
              <w:t xml:space="preserve">Control</w:t>
            </w:r>
          </w:p>
        </w:tc>
        <w:tc>
          <w:tcPr>
            <w:tcW w:w="3800" w:type="dxa"/>
            <w:shd w:val="clear" w:color="auto" w:fill="2D2D2D"/>
            <w:vAlign w:val="center"/>
          </w:tcPr>
          <w:p>
            <w:pPr>
              <w:spacing w:before="70" w:after="70" w:line="240" w:lineRule="auto"/>
            </w:pPr>
            <w:r>
              <w:rPr>
                <w:rFonts w:ascii="Segoe UI" w:hAnsi="Segoe UI" w:cs="Segoe UI"/>
                <w:b/>
                <w:bCs/>
                <w:sz w:val="18"/>
                <w:szCs w:val="18"/>
                <w:color w:val="FFFFFF"/>
              </w:rPr>
              <w:t xml:space="preserve">Specification</w:t>
            </w:r>
          </w:p>
        </w:tc>
        <w:tc>
          <w:tcPr>
            <w:tcW w:w="3026" w:type="dxa"/>
            <w:shd w:val="clear" w:color="auto" w:fill="2D2D2D"/>
            <w:vAlign w:val="center"/>
          </w:tcPr>
          <w:p>
            <w:pPr>
              <w:spacing w:before="70" w:after="70" w:line="240" w:lineRule="auto"/>
            </w:pPr>
            <w:r>
              <w:rPr>
                <w:rFonts w:ascii="Segoe UI" w:hAnsi="Segoe UI" w:cs="Segoe UI"/>
                <w:b/>
                <w:bCs/>
                <w:sz w:val="18"/>
                <w:szCs w:val="18"/>
                <w:color w:val="FFFFFF"/>
              </w:rPr>
              <w:t xml:space="preserve">Replicability in New Markets</w:t>
            </w:r>
          </w:p>
        </w:tc>
      </w:tr>
      <w:tr>
        <w:tc>
          <w:tcPr>
            <w:tcW w:w="2200" w:type="dxa"/>
            <w:shd w:val="clear" w:color="auto" w:fill="FFFFFF"/>
            <w:vAlign w:val="center"/>
          </w:tcPr>
          <w:p>
            <w:pPr>
              <w:spacing w:before="60" w:after="60" w:line="240" w:lineRule="auto"/>
            </w:pPr>
            <w:r>
              <w:rPr>
                <w:rFonts w:ascii="Segoe UI" w:hAnsi="Segoe UI" w:cs="Segoe UI"/>
                <w:b/>
                <w:bCs/>
                <w:sz w:val="18"/>
                <w:szCs w:val="18"/>
                <w:color w:val="333333"/>
              </w:rPr>
              <w:t xml:space="preserve">Graduated trust onboarding</w:t>
            </w:r>
          </w:p>
        </w:tc>
        <w:tc>
          <w:tcPr>
            <w:tcW w:w="3800" w:type="dxa"/>
            <w:shd w:val="clear" w:color="auto" w:fill="FFFFFF"/>
            <w:vAlign w:val="center"/>
          </w:tcPr>
          <w:p>
            <w:pPr>
              <w:spacing w:before="60" w:after="60" w:line="240" w:lineRule="auto"/>
            </w:pPr>
            <w:r>
              <w:rPr>
                <w:rFonts w:ascii="Segoe UI" w:hAnsi="Segoe UI" w:cs="Segoe UI"/>
                <w:sz w:val="18"/>
                <w:szCs w:val="18"/>
                <w:color w:val="333333"/>
              </w:rPr>
              <w:t xml:space="preserve">New providers: R10K cap, 5-day payout. Graduated over 6 months based on referred patient repayment</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Universal: adjust currency thresholds and payout timelines per market</w:t>
            </w:r>
          </w:p>
        </w:tc>
      </w:tr>
      <w:tr>
        <w:tc>
          <w:tcPr>
            <w:tcW w:w="2200" w:type="dxa"/>
            <w:shd w:val="clear" w:color="auto" w:fill="F8F8F8"/>
            <w:vAlign w:val="center"/>
          </w:tcPr>
          <w:p>
            <w:pPr>
              <w:spacing w:before="60" w:after="60" w:line="240" w:lineRule="auto"/>
            </w:pPr>
            <w:r>
              <w:rPr>
                <w:rFonts w:ascii="Segoe UI" w:hAnsi="Segoe UI" w:cs="Segoe UI"/>
                <w:b/>
                <w:bCs/>
                <w:sz w:val="18"/>
                <w:szCs w:val="18"/>
                <w:color w:val="333333"/>
              </w:rPr>
              <w:t xml:space="preserve">Provider risk scorecard</w:t>
            </w:r>
          </w:p>
        </w:tc>
        <w:tc>
          <w:tcPr>
            <w:tcW w:w="3800" w:type="dxa"/>
            <w:shd w:val="clear" w:color="auto" w:fill="F8F8F8"/>
            <w:vAlign w:val="center"/>
          </w:tcPr>
          <w:p>
            <w:pPr>
              <w:spacing w:before="60" w:after="60" w:line="240" w:lineRule="auto"/>
            </w:pPr>
            <w:r>
              <w:rPr>
                <w:rFonts w:ascii="Segoe UI" w:hAnsi="Segoe UI" w:cs="Segoe UI"/>
                <w:sz w:val="18"/>
                <w:szCs w:val="18"/>
                <w:color w:val="333333"/>
              </w:rPr>
              <w:t xml:space="preserve">Monthly scoring on: patient PD, treatment cost variance, outcome satisfaction, volume trends</w:t>
            </w:r>
          </w:p>
        </w:tc>
        <w:tc>
          <w:tcPr>
            <w:tcW w:w="3026" w:type="dxa"/>
            <w:shd w:val="clear" w:color="auto" w:fill="F8F8F8"/>
            <w:vAlign w:val="center"/>
          </w:tcPr>
          <w:p>
            <w:pPr>
              <w:spacing w:before="60" w:after="60" w:line="240" w:lineRule="auto"/>
            </w:pPr>
            <w:r>
              <w:rPr>
                <w:rFonts w:ascii="Segoe UI" w:hAnsi="Segoe UI" w:cs="Segoe UI"/>
                <w:sz w:val="18"/>
                <w:szCs w:val="18"/>
                <w:color w:val="333333"/>
              </w:rPr>
              <w:t xml:space="preserve">Universal: scoring inputs available in any market with provider integration</w:t>
            </w:r>
          </w:p>
        </w:tc>
      </w:tr>
      <w:tr>
        <w:tc>
          <w:tcPr>
            <w:tcW w:w="2200" w:type="dxa"/>
            <w:shd w:val="clear" w:color="auto" w:fill="FFFFFF"/>
            <w:vAlign w:val="center"/>
          </w:tcPr>
          <w:p>
            <w:pPr>
              <w:spacing w:before="60" w:after="60" w:line="240" w:lineRule="auto"/>
            </w:pPr>
            <w:r>
              <w:rPr>
                <w:rFonts w:ascii="Segoe UI" w:hAnsi="Segoe UI" w:cs="Segoe UI"/>
                <w:b/>
                <w:bCs/>
                <w:sz w:val="18"/>
                <w:szCs w:val="18"/>
                <w:color w:val="333333"/>
              </w:rPr>
              <w:t xml:space="preserve">Treatment cost benchmarking</w:t>
            </w:r>
          </w:p>
        </w:tc>
        <w:tc>
          <w:tcPr>
            <w:tcW w:w="3800" w:type="dxa"/>
            <w:shd w:val="clear" w:color="auto" w:fill="FFFFFF"/>
            <w:vAlign w:val="center"/>
          </w:tcPr>
          <w:p>
            <w:pPr>
              <w:spacing w:before="60" w:after="60" w:line="240" w:lineRule="auto"/>
            </w:pPr>
            <w:r>
              <w:rPr>
                <w:rFonts w:ascii="Segoe UI" w:hAnsi="Segoe UI" w:cs="Segoe UI"/>
                <w:sz w:val="18"/>
                <w:szCs w:val="18"/>
                <w:color w:val="333333"/>
              </w:rPr>
              <w:t xml:space="preserve">Flag providers quoting 30%+ above regional procedure average. Manual review before approval</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Requires local procedure cost database. Build during first 6 months per market</w:t>
            </w:r>
          </w:p>
        </w:tc>
      </w:tr>
      <w:tr>
        <w:tc>
          <w:tcPr>
            <w:tcW w:w="2200" w:type="dxa"/>
            <w:shd w:val="clear" w:color="auto" w:fill="F8F8F8"/>
            <w:vAlign w:val="center"/>
          </w:tcPr>
          <w:p>
            <w:pPr>
              <w:spacing w:before="60" w:after="60" w:line="240" w:lineRule="auto"/>
            </w:pPr>
            <w:r>
              <w:rPr>
                <w:rFonts w:ascii="Segoe UI" w:hAnsi="Segoe UI" w:cs="Segoe UI"/>
                <w:b/>
                <w:bCs/>
                <w:sz w:val="18"/>
                <w:szCs w:val="18"/>
                <w:color w:val="333333"/>
              </w:rPr>
              <w:t xml:space="preserve">Co-payment holdback</w:t>
            </w:r>
          </w:p>
        </w:tc>
        <w:tc>
          <w:tcPr>
            <w:tcW w:w="3800" w:type="dxa"/>
            <w:shd w:val="clear" w:color="auto" w:fill="F8F8F8"/>
            <w:vAlign w:val="center"/>
          </w:tcPr>
          <w:p>
            <w:pPr>
              <w:spacing w:before="60" w:after="60" w:line="240" w:lineRule="auto"/>
            </w:pPr>
            <w:r>
              <w:rPr>
                <w:rFonts w:ascii="Segoe UI" w:hAnsi="Segoe UI" w:cs="Segoe UI"/>
                <w:sz w:val="18"/>
                <w:szCs w:val="18"/>
                <w:color w:val="333333"/>
              </w:rPr>
              <w:t xml:space="preserve">5–10% holdback on first 20 loans per new provider. Released at 90 days if repayment on track</w:t>
            </w:r>
          </w:p>
        </w:tc>
        <w:tc>
          <w:tcPr>
            <w:tcW w:w="3026" w:type="dxa"/>
            <w:shd w:val="clear" w:color="auto" w:fill="F8F8F8"/>
            <w:vAlign w:val="center"/>
          </w:tcPr>
          <w:p>
            <w:pPr>
              <w:spacing w:before="60" w:after="60" w:line="240" w:lineRule="auto"/>
            </w:pPr>
            <w:r>
              <w:rPr>
                <w:rFonts w:ascii="Segoe UI" w:hAnsi="Segoe UI" w:cs="Segoe UI"/>
                <w:sz w:val="18"/>
                <w:szCs w:val="18"/>
                <w:color w:val="333333"/>
              </w:rPr>
              <w:t xml:space="preserve">Universal: adjust percentage based on local provider economics</w:t>
            </w:r>
          </w:p>
        </w:tc>
      </w:tr>
      <w:tr>
        <w:tc>
          <w:tcPr>
            <w:tcW w:w="2200" w:type="dxa"/>
            <w:shd w:val="clear" w:color="auto" w:fill="FFFFFF"/>
            <w:vAlign w:val="center"/>
          </w:tcPr>
          <w:p>
            <w:pPr>
              <w:spacing w:before="60" w:after="60" w:line="240" w:lineRule="auto"/>
            </w:pPr>
            <w:r>
              <w:rPr>
                <w:rFonts w:ascii="Segoe UI" w:hAnsi="Segoe UI" w:cs="Segoe UI"/>
                <w:b/>
                <w:bCs/>
                <w:sz w:val="18"/>
                <w:szCs w:val="18"/>
                <w:color w:val="333333"/>
              </w:rPr>
              <w:t xml:space="preserve">Concentration limits</w:t>
            </w:r>
          </w:p>
        </w:tc>
        <w:tc>
          <w:tcPr>
            <w:tcW w:w="3800" w:type="dxa"/>
            <w:shd w:val="clear" w:color="auto" w:fill="FFFFFF"/>
            <w:vAlign w:val="center"/>
          </w:tcPr>
          <w:p>
            <w:pPr>
              <w:spacing w:before="60" w:after="60" w:line="240" w:lineRule="auto"/>
            </w:pPr>
            <w:r>
              <w:rPr>
                <w:rFonts w:ascii="Segoe UI" w:hAnsi="Segoe UI" w:cs="Segoe UI"/>
                <w:sz w:val="18"/>
                <w:szCs w:val="18"/>
                <w:color w:val="333333"/>
              </w:rPr>
              <w:t xml:space="preserve">No single provider exceeds 5% of total loan book. No single procedure type exceeds 20%</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Universal: percentages may adjust based on market provider density</w:t>
            </w:r>
          </w:p>
        </w:tc>
      </w:tr>
    </w:tbl>
    <w:p>
      <w:pPr>
        <w:keepNext/>
        <w:spacing w:before="360" w:after="160" w:line="288" w:lineRule="auto"/>
      </w:pPr>
      <w:r>
        <w:rPr>
          <w:rFonts w:ascii="Segoe UI" w:hAnsi="Segoe UI" w:cs="Segoe UI"/>
          <w:b/>
          <w:bCs/>
          <w:sz w:val="34"/>
          <w:szCs w:val="34"/>
          <w:color w:val="1A1A1A"/>
        </w:rPr>
        <w:t xml:space="preserve">7.2 Layer 2: Patient Gate (Breaks the Chain at Underwriting)</w:t>
      </w:r>
    </w:p>
    <w:p>
      <w:pPr>
        <w:keepNext/>
        <w:spacing w:before="280" w:after="100" w:line="288" w:lineRule="auto"/>
      </w:pPr>
      <w:r>
        <w:rPr>
          <w:rFonts w:ascii="Segoe UI" w:hAnsi="Segoe UI" w:cs="Segoe UI"/>
          <w:b/>
          <w:bCs/>
          <w:sz w:val="26"/>
          <w:szCs w:val="26"/>
          <w:color w:val="1A1A1A"/>
        </w:rPr>
        <w:t xml:space="preserve">Identifying and Optimising for Convenience Borrowers</w:t>
      </w:r>
    </w:p>
    <w:p>
      <w:pPr>
        <w:spacing w:after="160" w:line="300" w:lineRule="auto"/>
      </w:pPr>
      <w:r>
        <w:rPr>
          <w:rFonts w:ascii="Segoe UI" w:hAnsi="Segoe UI" w:cs="Segoe UI"/>
          <w:sz w:val="22"/>
          <w:szCs w:val="22"/>
          <w:color w:val="333333"/>
        </w:rPr>
        <w:t xml:space="preserve">The distinction between convenience borrowers (patients who could pay but prefer instalments) and necessity borrowers (patients who cannot pay without financing) is the single most important segmentation for portfolio quality. Convenience borrowers are identified through four observable signals: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Procedure type: </w:t>
      </w:r>
      <w:r>
        <w:rPr>
          <w:rFonts w:ascii="Segoe UI" w:hAnsi="Segoe UI" w:cs="Segoe UI"/>
          <w:sz w:val="22"/>
          <w:szCs w:val="22"/>
          <w:color w:val="333333"/>
        </w:rPr>
        <w:t xml:space="preserve">Elective procedures such as cosmetic surgery, dental veneers, laser eye correction, and fertility treatment are overwhelmingly convenience-driven. These patients had time to research, compare, and plan.</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Timing signal: </w:t>
      </w:r>
      <w:r>
        <w:rPr>
          <w:rFonts w:ascii="Segoe UI" w:hAnsi="Segoe UI" w:cs="Segoe UI"/>
          <w:sz w:val="22"/>
          <w:szCs w:val="22"/>
          <w:color w:val="333333"/>
        </w:rPr>
        <w:t xml:space="preserve">Patients who schedule weeks in advance versus same-day urgency. The booking lead time is a strong proxy for financial planning capacity.</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Income-to-loan ratio: </w:t>
      </w:r>
      <w:r>
        <w:rPr>
          <w:rFonts w:ascii="Segoe UI" w:hAnsi="Segoe UI" w:cs="Segoe UI"/>
          <w:sz w:val="22"/>
          <w:szCs w:val="22"/>
          <w:color w:val="333333"/>
        </w:rPr>
        <w:t xml:space="preserve">Patients whose verified income easily covers repayment, with debt-to-income below 10% post-loan, are almost certainly convenience borrowers.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Medical aid status: </w:t>
      </w:r>
      <w:r>
        <w:rPr>
          <w:rFonts w:ascii="Segoe UI" w:hAnsi="Segoe UI" w:cs="Segoe UI"/>
          <w:sz w:val="22"/>
          <w:szCs w:val="22"/>
          <w:color w:val="333333"/>
        </w:rPr>
        <w:t xml:space="preserve">Gap financing patients, those with medical aid who need financing only for the portion not covered, are overwhelmingly convenience borrowers with stable employment and demonstrated financial responsibility.</w:t>
      </w:r>
    </w:p>
    <w:p>
      <w:pPr>
        <w:spacing w:after="160" w:line="300" w:lineRule="auto"/>
      </w:pPr>
      <w:r>
        <w:rPr>
          <w:rFonts w:ascii="Segoe UI" w:hAnsi="Segoe UI" w:cs="Segoe UI"/>
          <w:sz w:val="22"/>
          <w:szCs w:val="22"/>
          <w:color w:val="333333"/>
        </w:rPr>
        <w:t xml:space="preserve">Platform optimisation for convenience borrowers includes: priority provider partnerships with elective-heavy practices (dental, cosmetic, ophthalmology), marketing to medical aid holders for gap financing, pre-approval campaigns through employer wellness programmes, and premium rate tiers that reward the convenience profile with lower pricing.</w:t>
      </w:r>
    </w:p>
    <w:p>
      <w:pPr>
        <w:keepNext/>
        <w:spacing w:before="280" w:after="100" w:line="288" w:lineRule="auto"/>
      </w:pPr>
      <w:r>
        <w:rPr>
          <w:rFonts w:ascii="Segoe UI" w:hAnsi="Segoe UI" w:cs="Segoe UI"/>
          <w:b/>
          <w:bCs/>
          <w:sz w:val="26"/>
          <w:szCs w:val="26"/>
          <w:color w:val="1A1A1A"/>
        </w:rPr>
        <w:t xml:space="preserve">Rehabilitation Path for Urgent-Need Patients</w:t>
      </w:r>
    </w:p>
    <w:p>
      <w:pPr>
        <w:spacing w:after="160" w:line="300" w:lineRule="auto"/>
      </w:pPr>
      <w:r>
        <w:rPr>
          <w:rFonts w:ascii="Segoe UI" w:hAnsi="Segoe UI" w:cs="Segoe UI"/>
          <w:sz w:val="22"/>
          <w:szCs w:val="22"/>
          <w:color w:val="333333"/>
        </w:rPr>
        <w:t xml:space="preserve">Not all urgent-need patients are high-risk. The framework must provide a path for patients who present with urgent clinical need but demonstrate underlying financial capacity. The rehabilitation protocol is: initial urgent loan with tighter criteria including lower ceiling, shorter term, and mandatory credit life insurance. If repayment is on track at 3 months, the patient is reclassified from urgent-necessity to standard risk tier. At 6 months of clean payment, they become eligible for the PaySick Health Line revolving facility. This creates an earned-trust pathway that does not exclude patients in genuine need while protecting the portfolio from unmanaged urgency-driven adverse selection.</w:t>
      </w:r>
    </w:p>
    <w:p>
      <w:pPr>
        <w:keepNext/>
        <w:spacing w:before="280" w:after="100" w:line="288" w:lineRule="auto"/>
      </w:pPr>
      <w:r>
        <w:rPr>
          <w:rFonts w:ascii="Segoe UI" w:hAnsi="Segoe UI" w:cs="Segoe UI"/>
          <w:b/>
          <w:bCs/>
          <w:sz w:val="26"/>
          <w:szCs w:val="26"/>
          <w:color w:val="1A1A1A"/>
        </w:rPr>
        <w:t xml:space="preserve">Income Verification Architecture</w:t>
      </w:r>
    </w:p>
    <w:p>
      <w:pPr>
        <w:spacing w:after="160" w:line="300" w:lineRule="auto"/>
      </w:pPr>
      <w:r>
        <w:rPr>
          <w:rFonts w:ascii="Segoe UI" w:hAnsi="Segoe UI" w:cs="Segoe UI"/>
          <w:sz w:val="22"/>
          <w:szCs w:val="22"/>
          <w:color w:val="333333"/>
        </w:rPr>
        <w:t xml:space="preserve">Bank statement verification is a non-negotiable component of the underwriting pipeline. The architecture operates in three tiers, deployed based on market infrastructure maturity:</w:t>
      </w:r>
    </w:p>
    <w:p>
      <w:pPr>
        <w:spacing w:after="160" w:line="300" w:lineRule="auto"/>
      </w:pPr>
      <w:r>
        <w:rPr>
          <w:rFonts w:ascii="Segoe UI" w:hAnsi="Segoe UI" w:cs="Segoe UI"/>
          <w:b/>
          <w:bCs/>
          <w:sz w:val="22"/>
          <w:szCs w:val="22"/>
          <w:color w:val="1A1A1A"/>
        </w:rPr>
        <w:t xml:space="preserve">Tier 1 (Available Immediately in South Africa): </w:t>
      </w:r>
      <w:r>
        <w:rPr>
          <w:rFonts w:ascii="Segoe UI" w:hAnsi="Segoe UI" w:cs="Segoe UI"/>
          <w:sz w:val="22"/>
          <w:szCs w:val="22"/>
          <w:color w:val="333333"/>
        </w:rPr>
        <w:t xml:space="preserve">Secure PDF bank statement upload with automated parsing. The patient uploads 30–90 days of bank statements via the PaySick app. Automated parsing extracts: regular salary deposits, existing debit orders and recurring obligations, spending patterns and discretionary income, and account balance trends. Technology partners such as Finch Technologies (Gathr), Stitch, and Yodlee provide PDF parsing across all major South African banks including FNB, Standard Bank, Absa, Nedbank, and Capitec. Integration time: 2–4 weeks. Statement authenticity is verified against each bank’s unique statement format and security features.</w:t>
      </w:r>
    </w:p>
    <w:p>
      <w:pPr>
        <w:spacing w:after="160" w:line="300" w:lineRule="auto"/>
      </w:pPr>
      <w:r>
        <w:rPr>
          <w:rFonts w:ascii="Segoe UI" w:hAnsi="Segoe UI" w:cs="Segoe UI"/>
          <w:b/>
          <w:bCs/>
          <w:sz w:val="22"/>
          <w:szCs w:val="22"/>
          <w:color w:val="1A1A1A"/>
        </w:rPr>
        <w:t xml:space="preserve">Tier 2 (6–12 Months, API Integration): </w:t>
      </w:r>
      <w:r>
        <w:rPr>
          <w:rFonts w:ascii="Segoe UI" w:hAnsi="Segoe UI" w:cs="Segoe UI"/>
          <w:sz w:val="22"/>
          <w:szCs w:val="22"/>
          <w:color w:val="333333"/>
        </w:rPr>
        <w:t xml:space="preserve">Direct open banking API connections for real-time, read-only access to transaction data with customer consent. Investec already offers programmable banking APIs through the Offerzen community. Nedbank has MyFinancialLife. Stitch provides aggregated access. The FSCA is consulting on formal open banking regulation for South Africa. API-verified income data is scored higher in the underwriting model because it cannot be manipulated, unlike PDF statements which carry a small fraud risk.</w:t>
      </w:r>
    </w:p>
    <w:p>
      <w:pPr>
        <w:spacing w:after="160" w:line="300" w:lineRule="auto"/>
      </w:pPr>
      <w:r>
        <w:rPr>
          <w:rFonts w:ascii="Segoe UI" w:hAnsi="Segoe UI" w:cs="Segoe UI"/>
          <w:b/>
          <w:bCs/>
          <w:sz w:val="22"/>
          <w:szCs w:val="22"/>
          <w:color w:val="1A1A1A"/>
        </w:rPr>
        <w:t xml:space="preserve">Tier 3 (Market-Specific Expansion): </w:t>
      </w:r>
      <w:r>
        <w:rPr>
          <w:rFonts w:ascii="Segoe UI" w:hAnsi="Segoe UI" w:cs="Segoe UI"/>
          <w:sz w:val="22"/>
          <w:szCs w:val="22"/>
          <w:color w:val="333333"/>
        </w:rPr>
        <w:t xml:space="preserve">In Kenya, M-Pesa transaction data via Safaricom APIs provides real-time income verification for the informal economy. In Nigeria, BVN-linked bank data through platforms such as Mono or Okra. In India, Account Aggregator framework provides consent-based financial data sharing. The underwriting system is designed to accept all three tiers simultaneously, with risk-adjusted pricing: API-verified income receives the best rates, PDF-parsed receives standard rates, and manually verified receives conservative rates with lower loan ceilings.</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2200"/>
        <w:gridCol w:w="3800"/>
        <w:gridCol w:w="3026"/>
      </w:tblGrid>
      <w:tr>
        <w:trPr>
          <w:tblHeader/>
        </w:trPr>
        <w:tc>
          <w:tcPr>
            <w:tcW w:w="2200" w:type="dxa"/>
            <w:shd w:val="clear" w:color="auto" w:fill="2D2D2D"/>
            <w:vAlign w:val="center"/>
          </w:tcPr>
          <w:p>
            <w:pPr>
              <w:spacing w:before="70" w:after="70" w:line="240" w:lineRule="auto"/>
            </w:pPr>
            <w:r>
              <w:rPr>
                <w:rFonts w:ascii="Segoe UI" w:hAnsi="Segoe UI" w:cs="Segoe UI"/>
                <w:b/>
                <w:bCs/>
                <w:sz w:val="18"/>
                <w:szCs w:val="18"/>
                <w:color w:val="FFFFFF"/>
              </w:rPr>
              <w:t xml:space="preserve">Control</w:t>
            </w:r>
          </w:p>
        </w:tc>
        <w:tc>
          <w:tcPr>
            <w:tcW w:w="3800" w:type="dxa"/>
            <w:shd w:val="clear" w:color="auto" w:fill="2D2D2D"/>
            <w:vAlign w:val="center"/>
          </w:tcPr>
          <w:p>
            <w:pPr>
              <w:spacing w:before="70" w:after="70" w:line="240" w:lineRule="auto"/>
            </w:pPr>
            <w:r>
              <w:rPr>
                <w:rFonts w:ascii="Segoe UI" w:hAnsi="Segoe UI" w:cs="Segoe UI"/>
                <w:b/>
                <w:bCs/>
                <w:sz w:val="18"/>
                <w:szCs w:val="18"/>
                <w:color w:val="FFFFFF"/>
              </w:rPr>
              <w:t xml:space="preserve">Specification</w:t>
            </w:r>
          </w:p>
        </w:tc>
        <w:tc>
          <w:tcPr>
            <w:tcW w:w="3026" w:type="dxa"/>
            <w:shd w:val="clear" w:color="auto" w:fill="2D2D2D"/>
            <w:vAlign w:val="center"/>
          </w:tcPr>
          <w:p>
            <w:pPr>
              <w:spacing w:before="70" w:after="70" w:line="240" w:lineRule="auto"/>
            </w:pPr>
            <w:r>
              <w:rPr>
                <w:rFonts w:ascii="Segoe UI" w:hAnsi="Segoe UI" w:cs="Segoe UI"/>
                <w:b/>
                <w:bCs/>
                <w:sz w:val="18"/>
                <w:szCs w:val="18"/>
                <w:color w:val="FFFFFF"/>
              </w:rPr>
              <w:t xml:space="preserve">Replicability</w:t>
            </w:r>
          </w:p>
        </w:tc>
      </w:tr>
      <w:tr>
        <w:tc>
          <w:tcPr>
            <w:tcW w:w="2200" w:type="dxa"/>
            <w:shd w:val="clear" w:color="auto" w:fill="FFFFFF"/>
            <w:vAlign w:val="center"/>
          </w:tcPr>
          <w:p>
            <w:pPr>
              <w:spacing w:before="60" w:after="60" w:line="240" w:lineRule="auto"/>
            </w:pPr>
            <w:r>
              <w:rPr>
                <w:rFonts w:ascii="Segoe UI" w:hAnsi="Segoe UI" w:cs="Segoe UI"/>
                <w:b/>
                <w:bCs/>
                <w:sz w:val="18"/>
                <w:szCs w:val="18"/>
                <w:color w:val="333333"/>
              </w:rPr>
              <w:t xml:space="preserve">Hard affordability ceiling</w:t>
            </w:r>
          </w:p>
        </w:tc>
        <w:tc>
          <w:tcPr>
            <w:tcW w:w="3800" w:type="dxa"/>
            <w:shd w:val="clear" w:color="auto" w:fill="FFFFFF"/>
            <w:vAlign w:val="center"/>
          </w:tcPr>
          <w:p>
            <w:pPr>
              <w:spacing w:before="60" w:after="60" w:line="240" w:lineRule="auto"/>
            </w:pPr>
            <w:r>
              <w:rPr>
                <w:rFonts w:ascii="Segoe UI" w:hAnsi="Segoe UI" w:cs="Segoe UI"/>
                <w:sz w:val="18"/>
                <w:szCs w:val="18"/>
                <w:color w:val="333333"/>
              </w:rPr>
              <w:t xml:space="preserve">Monthly repayment capped at 15–20% of verified income. Non-negotiable.</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Universal: adjust percentage per local consumer debt-service norms</w:t>
            </w:r>
          </w:p>
        </w:tc>
      </w:tr>
      <w:tr>
        <w:tc>
          <w:tcPr>
            <w:tcW w:w="2200" w:type="dxa"/>
            <w:shd w:val="clear" w:color="auto" w:fill="F8F8F8"/>
            <w:vAlign w:val="center"/>
          </w:tcPr>
          <w:p>
            <w:pPr>
              <w:spacing w:before="60" w:after="60" w:line="240" w:lineRule="auto"/>
            </w:pPr>
            <w:r>
              <w:rPr>
                <w:rFonts w:ascii="Segoe UI" w:hAnsi="Segoe UI" w:cs="Segoe UI"/>
                <w:b/>
                <w:bCs/>
                <w:sz w:val="18"/>
                <w:szCs w:val="18"/>
                <w:color w:val="333333"/>
              </w:rPr>
              <w:t xml:space="preserve">Urgency segmentation</w:t>
            </w:r>
          </w:p>
        </w:tc>
        <w:tc>
          <w:tcPr>
            <w:tcW w:w="3800" w:type="dxa"/>
            <w:shd w:val="clear" w:color="auto" w:fill="F8F8F8"/>
            <w:vAlign w:val="center"/>
          </w:tcPr>
          <w:p>
            <w:pPr>
              <w:spacing w:before="60" w:after="60" w:line="240" w:lineRule="auto"/>
            </w:pPr>
            <w:r>
              <w:rPr>
                <w:rFonts w:ascii="Segoe UI" w:hAnsi="Segoe UI" w:cs="Segoe UI"/>
                <w:sz w:val="18"/>
                <w:szCs w:val="18"/>
                <w:color w:val="333333"/>
              </w:rPr>
              <w:t xml:space="preserve">Elective vs urgent procedures have separate underwriting criteria and approval thresholds</w:t>
            </w:r>
          </w:p>
        </w:tc>
        <w:tc>
          <w:tcPr>
            <w:tcW w:w="3026" w:type="dxa"/>
            <w:shd w:val="clear" w:color="auto" w:fill="F8F8F8"/>
            <w:vAlign w:val="center"/>
          </w:tcPr>
          <w:p>
            <w:pPr>
              <w:spacing w:before="60" w:after="60" w:line="240" w:lineRule="auto"/>
            </w:pPr>
            <w:r>
              <w:rPr>
                <w:rFonts w:ascii="Segoe UI" w:hAnsi="Segoe UI" w:cs="Segoe UI"/>
                <w:sz w:val="18"/>
                <w:szCs w:val="18"/>
                <w:color w:val="333333"/>
              </w:rPr>
              <w:t xml:space="preserve">Universal: procedure classification adaptable per market</w:t>
            </w:r>
          </w:p>
        </w:tc>
      </w:tr>
      <w:tr>
        <w:tc>
          <w:tcPr>
            <w:tcW w:w="2200" w:type="dxa"/>
            <w:shd w:val="clear" w:color="auto" w:fill="FFFFFF"/>
            <w:vAlign w:val="center"/>
          </w:tcPr>
          <w:p>
            <w:pPr>
              <w:spacing w:before="60" w:after="60" w:line="240" w:lineRule="auto"/>
            </w:pPr>
            <w:r>
              <w:rPr>
                <w:rFonts w:ascii="Segoe UI" w:hAnsi="Segoe UI" w:cs="Segoe UI"/>
                <w:b/>
                <w:bCs/>
                <w:sz w:val="18"/>
                <w:szCs w:val="18"/>
                <w:color w:val="333333"/>
              </w:rPr>
              <w:t xml:space="preserve">Bank statement verification</w:t>
            </w:r>
          </w:p>
        </w:tc>
        <w:tc>
          <w:tcPr>
            <w:tcW w:w="3800" w:type="dxa"/>
            <w:shd w:val="clear" w:color="auto" w:fill="FFFFFF"/>
            <w:vAlign w:val="center"/>
          </w:tcPr>
          <w:p>
            <w:pPr>
              <w:spacing w:before="60" w:after="60" w:line="240" w:lineRule="auto"/>
            </w:pPr>
            <w:r>
              <w:rPr>
                <w:rFonts w:ascii="Segoe UI" w:hAnsi="Segoe UI" w:cs="Segoe UI"/>
                <w:sz w:val="18"/>
                <w:szCs w:val="18"/>
                <w:color w:val="333333"/>
              </w:rPr>
              <w:t xml:space="preserve">30-day transaction analysis for income patterns, spending behaviour, existing obligations</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Requires open banking or statement upload. Available in SA, Kenya, Nigeria</w:t>
            </w:r>
          </w:p>
        </w:tc>
      </w:tr>
      <w:tr>
        <w:tc>
          <w:tcPr>
            <w:tcW w:w="2200" w:type="dxa"/>
            <w:shd w:val="clear" w:color="auto" w:fill="F8F8F8"/>
            <w:vAlign w:val="center"/>
          </w:tcPr>
          <w:p>
            <w:pPr>
              <w:spacing w:before="60" w:after="60" w:line="240" w:lineRule="auto"/>
            </w:pPr>
            <w:r>
              <w:rPr>
                <w:rFonts w:ascii="Segoe UI" w:hAnsi="Segoe UI" w:cs="Segoe UI"/>
                <w:b/>
                <w:bCs/>
                <w:sz w:val="18"/>
                <w:szCs w:val="18"/>
                <w:color w:val="333333"/>
              </w:rPr>
              <w:t xml:space="preserve">Cooling-off period</w:t>
            </w:r>
          </w:p>
        </w:tc>
        <w:tc>
          <w:tcPr>
            <w:tcW w:w="3800" w:type="dxa"/>
            <w:shd w:val="clear" w:color="auto" w:fill="F8F8F8"/>
            <w:vAlign w:val="center"/>
          </w:tcPr>
          <w:p>
            <w:pPr>
              <w:spacing w:before="60" w:after="60" w:line="240" w:lineRule="auto"/>
            </w:pPr>
            <w:r>
              <w:rPr>
                <w:rFonts w:ascii="Segoe UI" w:hAnsi="Segoe UI" w:cs="Segoe UI"/>
                <w:sz w:val="18"/>
                <w:szCs w:val="18"/>
                <w:color w:val="333333"/>
              </w:rPr>
              <w:t xml:space="preserve">48-hour wait for elective procedures above R15K. Urgent procedures bypass with tighter affordability</w:t>
            </w:r>
          </w:p>
        </w:tc>
        <w:tc>
          <w:tcPr>
            <w:tcW w:w="3026" w:type="dxa"/>
            <w:shd w:val="clear" w:color="auto" w:fill="F8F8F8"/>
            <w:vAlign w:val="center"/>
          </w:tcPr>
          <w:p>
            <w:pPr>
              <w:spacing w:before="60" w:after="60" w:line="240" w:lineRule="auto"/>
            </w:pPr>
            <w:r>
              <w:rPr>
                <w:rFonts w:ascii="Segoe UI" w:hAnsi="Segoe UI" w:cs="Segoe UI"/>
                <w:sz w:val="18"/>
                <w:szCs w:val="18"/>
                <w:color w:val="333333"/>
              </w:rPr>
              <w:t xml:space="preserve">Universal: adjust threshold currency and exemption criteria per market</w:t>
            </w:r>
          </w:p>
        </w:tc>
      </w:tr>
      <w:tr>
        <w:tc>
          <w:tcPr>
            <w:tcW w:w="2200" w:type="dxa"/>
            <w:shd w:val="clear" w:color="auto" w:fill="FFFFFF"/>
            <w:vAlign w:val="center"/>
          </w:tcPr>
          <w:p>
            <w:pPr>
              <w:spacing w:before="60" w:after="60" w:line="240" w:lineRule="auto"/>
            </w:pPr>
            <w:r>
              <w:rPr>
                <w:rFonts w:ascii="Segoe UI" w:hAnsi="Segoe UI" w:cs="Segoe UI"/>
                <w:b/>
                <w:bCs/>
                <w:sz w:val="18"/>
                <w:szCs w:val="18"/>
                <w:color w:val="333333"/>
              </w:rPr>
              <w:t xml:space="preserve">Medical aid gap calculation</w:t>
            </w:r>
          </w:p>
        </w:tc>
        <w:tc>
          <w:tcPr>
            <w:tcW w:w="3800" w:type="dxa"/>
            <w:shd w:val="clear" w:color="auto" w:fill="FFFFFF"/>
            <w:vAlign w:val="center"/>
          </w:tcPr>
          <w:p>
            <w:pPr>
              <w:spacing w:before="60" w:after="60" w:line="240" w:lineRule="auto"/>
            </w:pPr>
            <w:r>
              <w:rPr>
                <w:rFonts w:ascii="Segoe UI" w:hAnsi="Segoe UI" w:cs="Segoe UI"/>
                <w:sz w:val="18"/>
                <w:szCs w:val="18"/>
                <w:color w:val="333333"/>
              </w:rPr>
              <w:t xml:space="preserve">Real-time benefits verification. Only finance the residual gap, not the full procedure cost</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Market-specific: requires integration with local insurance or medical aid systems</w:t>
            </w:r>
          </w:p>
        </w:tc>
      </w:tr>
    </w:tbl>
    <w:p>
      <w:pPr>
        <w:keepNext/>
        <w:spacing w:before="360" w:after="160" w:line="288" w:lineRule="auto"/>
      </w:pPr>
      <w:r>
        <w:rPr>
          <w:rFonts w:ascii="Segoe UI" w:hAnsi="Segoe UI" w:cs="Segoe UI"/>
          <w:b/>
          <w:bCs/>
          <w:sz w:val="34"/>
          <w:szCs w:val="34"/>
          <w:color w:val="1A1A1A"/>
        </w:rPr>
        <w:t xml:space="preserve">7.3 Layer 3: Lender Gate (Breaks the Chain at Funding)</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Rate cap enforcement: </w:t>
      </w:r>
      <w:r>
        <w:rPr>
          <w:rFonts w:ascii="Segoe UI" w:hAnsi="Segoe UI" w:cs="Segoe UI"/>
          <w:sz w:val="22"/>
          <w:szCs w:val="22"/>
          <w:color w:val="333333"/>
        </w:rPr>
        <w:t xml:space="preserve">All marketplace loans capped at prime + 12%. Protects vulnerable patients and PaySick brand.</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Lender quality scoring: </w:t>
      </w:r>
      <w:r>
        <w:rPr>
          <w:rFonts w:ascii="Segoe UI" w:hAnsi="Segoe UI" w:cs="Segoe UI"/>
          <w:sz w:val="22"/>
          <w:szCs w:val="22"/>
          <w:color w:val="333333"/>
        </w:rPr>
        <w:t xml:space="preserve">Ongoing assessment of approval rates, complaint rates, patient satisfaction, collections practices. Low scorers lose visibility.</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Minimum coverage requirements: </w:t>
      </w:r>
      <w:r>
        <w:rPr>
          <w:rFonts w:ascii="Segoe UI" w:hAnsi="Segoe UI" w:cs="Segoe UI"/>
          <w:sz w:val="22"/>
          <w:szCs w:val="22"/>
          <w:color w:val="333333"/>
        </w:rPr>
        <w:t xml:space="preserve">Lenders must bid on a minimum percentage of all requests, preventing pure cherry-picking of safe loans.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Lender diversification minimum: </w:t>
      </w:r>
      <w:r>
        <w:rPr>
          <w:rFonts w:ascii="Segoe UI" w:hAnsi="Segoe UI" w:cs="Segoe UI"/>
          <w:sz w:val="22"/>
          <w:szCs w:val="22"/>
          <w:color w:val="333333"/>
        </w:rPr>
        <w:t xml:space="preserve">No single lender exceeds 25% of marketplace volume. Prevents dependency on any single funding source.</w:t>
      </w:r>
    </w:p>
    <w:p>
      <w:pPr>
        <w:keepNext/>
        <w:spacing w:before="360" w:after="160" w:line="288" w:lineRule="auto"/>
      </w:pPr>
      <w:r>
        <w:rPr>
          <w:rFonts w:ascii="Segoe UI" w:hAnsi="Segoe UI" w:cs="Segoe UI"/>
          <w:b/>
          <w:bCs/>
          <w:sz w:val="34"/>
          <w:szCs w:val="34"/>
          <w:color w:val="1A1A1A"/>
        </w:rPr>
        <w:t xml:space="preserve">7.4 Layer 4: Outcome Gate (Breaks the Chain at Collections)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30/90-day patient satisfaction surveys: </w:t>
      </w:r>
      <w:r>
        <w:rPr>
          <w:rFonts w:ascii="Segoe UI" w:hAnsi="Segoe UI" w:cs="Segoe UI"/>
          <w:sz w:val="22"/>
          <w:szCs w:val="22"/>
          <w:color w:val="333333"/>
        </w:rPr>
        <w:t xml:space="preserve">Tied directly to provider scoring. Poor outcomes correlate with higher defaults.</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Procedure-level default tracking: </w:t>
      </w:r>
      <w:r>
        <w:rPr>
          <w:rFonts w:ascii="Segoe UI" w:hAnsi="Segoe UI" w:cs="Segoe UI"/>
          <w:sz w:val="22"/>
          <w:szCs w:val="22"/>
          <w:color w:val="333333"/>
        </w:rPr>
        <w:t xml:space="preserve">Granular monitoring per provider per procedure type. Enables surgical precision in risk management.</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Outcome-adjusted provider scoring: </w:t>
      </w:r>
      <w:r>
        <w:rPr>
          <w:rFonts w:ascii="Segoe UI" w:hAnsi="Segoe UI" w:cs="Segoe UI"/>
          <w:sz w:val="22"/>
          <w:szCs w:val="22"/>
          <w:color w:val="333333"/>
        </w:rPr>
        <w:t xml:space="preserve">Providers with both poor outcomes and elevated defaults receive automatic restriction.</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Flexible restructuring: </w:t>
      </w:r>
      <w:r>
        <w:rPr>
          <w:rFonts w:ascii="Segoe UI" w:hAnsi="Segoe UI" w:cs="Segoe UI"/>
          <w:sz w:val="22"/>
          <w:szCs w:val="22"/>
          <w:color w:val="333333"/>
        </w:rPr>
        <w:t xml:space="preserve">Proactive repayment restructuring for patients experiencing complications, preserving the patient relationship and reducing walk-away risk.</w:t>
      </w:r>
    </w:p>
    <w:p>
      <w:pPr>
        <w:keepNext/>
        <w:spacing w:before="360" w:after="160" w:line="288" w:lineRule="auto"/>
      </w:pPr>
      <w:r>
        <w:rPr>
          <w:rFonts w:ascii="Segoe UI" w:hAnsi="Segoe UI" w:cs="Segoe UI"/>
          <w:b/>
          <w:bCs/>
          <w:sz w:val="34"/>
          <w:szCs w:val="34"/>
          <w:color w:val="1A1A1A"/>
        </w:rPr>
        <w:t xml:space="preserve">7.5 Layer 5: Portfolio Circuit Breakers (Breaks the Chain at System Level)</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2500"/>
        <w:gridCol w:w="3500"/>
        <w:gridCol w:w="3026"/>
      </w:tblGrid>
      <w:tr>
        <w:trPr>
          <w:tblHeader/>
        </w:trPr>
        <w:tc>
          <w:tcPr>
            <w:tcW w:w="2500" w:type="dxa"/>
            <w:shd w:val="clear" w:color="auto" w:fill="2D2D2D"/>
            <w:vAlign w:val="center"/>
          </w:tcPr>
          <w:p>
            <w:pPr>
              <w:spacing w:before="70" w:after="70" w:line="240" w:lineRule="auto"/>
            </w:pPr>
            <w:r>
              <w:rPr>
                <w:rFonts w:ascii="Segoe UI" w:hAnsi="Segoe UI" w:cs="Segoe UI"/>
                <w:b/>
                <w:bCs/>
                <w:sz w:val="18"/>
                <w:szCs w:val="18"/>
                <w:color w:val="FFFFFF"/>
              </w:rPr>
              <w:t xml:space="preserve">Trigger</w:t>
            </w:r>
          </w:p>
        </w:tc>
        <w:tc>
          <w:tcPr>
            <w:tcW w:w="3500" w:type="dxa"/>
            <w:shd w:val="clear" w:color="auto" w:fill="2D2D2D"/>
            <w:vAlign w:val="center"/>
          </w:tcPr>
          <w:p>
            <w:pPr>
              <w:spacing w:before="70" w:after="70" w:line="240" w:lineRule="auto"/>
            </w:pPr>
            <w:r>
              <w:rPr>
                <w:rFonts w:ascii="Segoe UI" w:hAnsi="Segoe UI" w:cs="Segoe UI"/>
                <w:b/>
                <w:bCs/>
                <w:sz w:val="18"/>
                <w:szCs w:val="18"/>
                <w:color w:val="FFFFFF"/>
              </w:rPr>
              <w:t xml:space="preserve">Automatic Response</w:t>
            </w:r>
          </w:p>
        </w:tc>
        <w:tc>
          <w:tcPr>
            <w:tcW w:w="3026" w:type="dxa"/>
            <w:shd w:val="clear" w:color="auto" w:fill="2D2D2D"/>
            <w:vAlign w:val="center"/>
          </w:tcPr>
          <w:p>
            <w:pPr>
              <w:spacing w:before="70" w:after="70" w:line="240" w:lineRule="auto"/>
            </w:pPr>
            <w:r>
              <w:rPr>
                <w:rFonts w:ascii="Segoe UI" w:hAnsi="Segoe UI" w:cs="Segoe UI"/>
                <w:b/>
                <w:bCs/>
                <w:sz w:val="18"/>
                <w:szCs w:val="18"/>
                <w:color w:val="FFFFFF"/>
              </w:rPr>
              <w:t xml:space="preserve">Rationale</w:t>
            </w:r>
          </w:p>
        </w:tc>
      </w:tr>
      <w:tr>
        <w:tc>
          <w:tcPr>
            <w:tcW w:w="2500" w:type="dxa"/>
            <w:shd w:val="clear" w:color="auto" w:fill="FFFFFF"/>
            <w:vAlign w:val="center"/>
          </w:tcPr>
          <w:p>
            <w:pPr>
              <w:spacing w:before="60" w:after="60" w:line="240" w:lineRule="auto"/>
            </w:pPr>
            <w:r>
              <w:rPr>
                <w:rFonts w:ascii="Segoe UI" w:hAnsi="Segoe UI" w:cs="Segoe UI"/>
                <w:b/>
                <w:bCs/>
                <w:sz w:val="18"/>
                <w:szCs w:val="18"/>
                <w:color w:val="333333"/>
              </w:rPr>
              <w:t xml:space="preserve">90-day arrears exceed 6%</w:t>
            </w:r>
          </w:p>
        </w:tc>
        <w:tc>
          <w:tcPr>
            <w:tcW w:w="3500" w:type="dxa"/>
            <w:shd w:val="clear" w:color="auto" w:fill="FFFFFF"/>
            <w:vAlign w:val="center"/>
          </w:tcPr>
          <w:p>
            <w:pPr>
              <w:spacing w:before="60" w:after="60" w:line="240" w:lineRule="auto"/>
            </w:pPr>
            <w:r>
              <w:rPr>
                <w:rFonts w:ascii="Segoe UI" w:hAnsi="Segoe UI" w:cs="Segoe UI"/>
                <w:sz w:val="18"/>
                <w:szCs w:val="18"/>
                <w:color w:val="333333"/>
              </w:rPr>
              <w:t xml:space="preserve">Automatic tightening of approval criteria: lower loan ceilings, tighter affordability ratios</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Early intervention before losses crystallise</w:t>
            </w:r>
          </w:p>
        </w:tc>
      </w:tr>
      <w:tr>
        <w:tc>
          <w:tcPr>
            <w:tcW w:w="2500" w:type="dxa"/>
            <w:shd w:val="clear" w:color="auto" w:fill="F8F8F8"/>
            <w:vAlign w:val="center"/>
          </w:tcPr>
          <w:p>
            <w:pPr>
              <w:spacing w:before="60" w:after="60" w:line="240" w:lineRule="auto"/>
            </w:pPr>
            <w:r>
              <w:rPr>
                <w:rFonts w:ascii="Segoe UI" w:hAnsi="Segoe UI" w:cs="Segoe UI"/>
                <w:b/>
                <w:bCs/>
                <w:sz w:val="18"/>
                <w:szCs w:val="18"/>
                <w:color w:val="333333"/>
              </w:rPr>
              <w:t xml:space="preserve">Balance sheet exceeds 40% of total book</w:t>
            </w:r>
          </w:p>
        </w:tc>
        <w:tc>
          <w:tcPr>
            <w:tcW w:w="3500" w:type="dxa"/>
            <w:shd w:val="clear" w:color="auto" w:fill="F8F8F8"/>
            <w:vAlign w:val="center"/>
          </w:tcPr>
          <w:p>
            <w:pPr>
              <w:spacing w:before="60" w:after="60" w:line="240" w:lineRule="auto"/>
            </w:pPr>
            <w:r>
              <w:rPr>
                <w:rFonts w:ascii="Segoe UI" w:hAnsi="Segoe UI" w:cs="Segoe UI"/>
                <w:sz w:val="18"/>
                <w:szCs w:val="18"/>
                <w:color w:val="333333"/>
              </w:rPr>
              <w:t xml:space="preserve">Pause new balance sheet origination until marketplace share recovers</w:t>
            </w:r>
          </w:p>
        </w:tc>
        <w:tc>
          <w:tcPr>
            <w:tcW w:w="3026" w:type="dxa"/>
            <w:shd w:val="clear" w:color="auto" w:fill="F8F8F8"/>
            <w:vAlign w:val="center"/>
          </w:tcPr>
          <w:p>
            <w:pPr>
              <w:spacing w:before="60" w:after="60" w:line="240" w:lineRule="auto"/>
            </w:pPr>
            <w:r>
              <w:rPr>
                <w:rFonts w:ascii="Segoe UI" w:hAnsi="Segoe UI" w:cs="Segoe UI"/>
                <w:sz w:val="18"/>
                <w:szCs w:val="18"/>
                <w:color w:val="333333"/>
              </w:rPr>
              <w:t xml:space="preserve">Prevents over-concentration of direct credit risk</w:t>
            </w:r>
          </w:p>
        </w:tc>
      </w:tr>
      <w:tr>
        <w:tc>
          <w:tcPr>
            <w:tcW w:w="2500" w:type="dxa"/>
            <w:shd w:val="clear" w:color="auto" w:fill="FFFFFF"/>
            <w:vAlign w:val="center"/>
          </w:tcPr>
          <w:p>
            <w:pPr>
              <w:spacing w:before="60" w:after="60" w:line="240" w:lineRule="auto"/>
            </w:pPr>
            <w:r>
              <w:rPr>
                <w:rFonts w:ascii="Segoe UI" w:hAnsi="Segoe UI" w:cs="Segoe UI"/>
                <w:b/>
                <w:bCs/>
                <w:sz w:val="18"/>
                <w:szCs w:val="18"/>
                <w:color w:val="333333"/>
              </w:rPr>
              <w:t xml:space="preserve">Single provider PD exceeds 8%</w:t>
            </w:r>
          </w:p>
        </w:tc>
        <w:tc>
          <w:tcPr>
            <w:tcW w:w="3500" w:type="dxa"/>
            <w:shd w:val="clear" w:color="auto" w:fill="FFFFFF"/>
            <w:vAlign w:val="center"/>
          </w:tcPr>
          <w:p>
            <w:pPr>
              <w:spacing w:before="60" w:after="60" w:line="240" w:lineRule="auto"/>
            </w:pPr>
            <w:r>
              <w:rPr>
                <w:rFonts w:ascii="Segoe UI" w:hAnsi="Segoe UI" w:cs="Segoe UI"/>
                <w:sz w:val="18"/>
                <w:szCs w:val="18"/>
                <w:color w:val="333333"/>
              </w:rPr>
              <w:t xml:space="preserve">Immediate suspension of new loans through that provider pending review</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Isolates provider-specific adverse selection</w:t>
            </w:r>
          </w:p>
        </w:tc>
      </w:tr>
      <w:tr>
        <w:tc>
          <w:tcPr>
            <w:tcW w:w="2500" w:type="dxa"/>
            <w:shd w:val="clear" w:color="auto" w:fill="F8F8F8"/>
            <w:vAlign w:val="center"/>
          </w:tcPr>
          <w:p>
            <w:pPr>
              <w:spacing w:before="60" w:after="60" w:line="240" w:lineRule="auto"/>
            </w:pPr>
            <w:r>
              <w:rPr>
                <w:rFonts w:ascii="Segoe UI" w:hAnsi="Segoe UI" w:cs="Segoe UI"/>
                <w:b/>
                <w:bCs/>
                <w:sz w:val="18"/>
                <w:szCs w:val="18"/>
                <w:color w:val="333333"/>
              </w:rPr>
              <w:t xml:space="preserve">Reserve fund falls below 15% of marketplace fee income</w:t>
            </w:r>
          </w:p>
        </w:tc>
        <w:tc>
          <w:tcPr>
            <w:tcW w:w="3500" w:type="dxa"/>
            <w:shd w:val="clear" w:color="auto" w:fill="F8F8F8"/>
            <w:vAlign w:val="center"/>
          </w:tcPr>
          <w:p>
            <w:pPr>
              <w:spacing w:before="60" w:after="60" w:line="240" w:lineRule="auto"/>
            </w:pPr>
            <w:r>
              <w:rPr>
                <w:rFonts w:ascii="Segoe UI" w:hAnsi="Segoe UI" w:cs="Segoe UI"/>
                <w:sz w:val="18"/>
                <w:szCs w:val="18"/>
                <w:color w:val="333333"/>
              </w:rPr>
              <w:t xml:space="preserve">Redirect 20% of origination fees to rebuild reserve</w:t>
            </w:r>
          </w:p>
        </w:tc>
        <w:tc>
          <w:tcPr>
            <w:tcW w:w="3026" w:type="dxa"/>
            <w:shd w:val="clear" w:color="auto" w:fill="F8F8F8"/>
            <w:vAlign w:val="center"/>
          </w:tcPr>
          <w:p>
            <w:pPr>
              <w:spacing w:before="60" w:after="60" w:line="240" w:lineRule="auto"/>
            </w:pPr>
            <w:r>
              <w:rPr>
                <w:rFonts w:ascii="Segoe UI" w:hAnsi="Segoe UI" w:cs="Segoe UI"/>
                <w:sz w:val="18"/>
                <w:szCs w:val="18"/>
                <w:color w:val="333333"/>
              </w:rPr>
              <w:t xml:space="preserve">Maintains first-loss buffer for lender confidence</w:t>
            </w:r>
          </w:p>
        </w:tc>
      </w:tr>
      <w:tr>
        <w:tc>
          <w:tcPr>
            <w:tcW w:w="2500" w:type="dxa"/>
            <w:shd w:val="clear" w:color="auto" w:fill="FFFFFF"/>
            <w:vAlign w:val="center"/>
          </w:tcPr>
          <w:p>
            <w:pPr>
              <w:spacing w:before="60" w:after="60" w:line="240" w:lineRule="auto"/>
            </w:pPr>
            <w:r>
              <w:rPr>
                <w:rFonts w:ascii="Segoe UI" w:hAnsi="Segoe UI" w:cs="Segoe UI"/>
                <w:b/>
                <w:bCs/>
                <w:sz w:val="18"/>
                <w:szCs w:val="18"/>
                <w:color w:val="333333"/>
              </w:rPr>
              <w:t xml:space="preserve">Net loss rate exceeds 3% for two consecutive months</w:t>
            </w:r>
          </w:p>
        </w:tc>
        <w:tc>
          <w:tcPr>
            <w:tcW w:w="3500" w:type="dxa"/>
            <w:shd w:val="clear" w:color="auto" w:fill="FFFFFF"/>
            <w:vAlign w:val="center"/>
          </w:tcPr>
          <w:p>
            <w:pPr>
              <w:spacing w:before="60" w:after="60" w:line="240" w:lineRule="auto"/>
            </w:pPr>
            <w:r>
              <w:rPr>
                <w:rFonts w:ascii="Segoe UI" w:hAnsi="Segoe UI" w:cs="Segoe UI"/>
                <w:sz w:val="18"/>
                <w:szCs w:val="18"/>
                <w:color w:val="333333"/>
              </w:rPr>
              <w:t xml:space="preserve">Comprehensive portfolio review; potential moratorium on new provider onboarding</w:t>
            </w:r>
          </w:p>
        </w:tc>
        <w:tc>
          <w:tcPr>
            <w:tcW w:w="3026" w:type="dxa"/>
            <w:shd w:val="clear" w:color="auto" w:fill="FFFFFF"/>
            <w:vAlign w:val="center"/>
          </w:tcPr>
          <w:p>
            <w:pPr>
              <w:spacing w:before="60" w:after="60" w:line="240" w:lineRule="auto"/>
            </w:pPr>
            <w:r>
              <w:rPr>
                <w:rFonts w:ascii="Segoe UI" w:hAnsi="Segoe UI" w:cs="Segoe UI"/>
                <w:sz w:val="18"/>
                <w:szCs w:val="18"/>
                <w:color w:val="333333"/>
              </w:rPr>
              <w:t xml:space="preserve">Systemic stress requires systemic response</w:t>
            </w:r>
          </w:p>
        </w:tc>
      </w:tr>
    </w:tbl>
    <w:p>
      <w:pPr>
        <w:spacing w:after="20" w:line="240" w:lineRule="auto"/>
      </w:pPr>
      <w:r>
        <w:rPr>
          <w:rFonts w:ascii="Segoe UI" w:hAnsi="Segoe UI" w:cs="Segoe UI"/>
          <w:b/>
          <w:bCs/>
          <w:caps/>
          <w:sz w:val="18"/>
          <w:szCs w:val="18"/>
          <w:color w:val="E01E37"/>
          <w:spacing w:val="80"/>
        </w:rPr>
        <w:t xml:space="preserve">Section 08</w:t>
      </w:r>
    </w:p>
    <w:p>
      <w:pPr>
        <w:keepNext/>
        <w:pageBreakBefore/>
        <w:spacing w:before="0" w:after="80" w:line="288" w:lineRule="auto"/>
      </w:pPr>
      <w:r>
        <w:rPr>
          <w:rFonts w:ascii="Segoe UI" w:hAnsi="Segoe UI" w:cs="Segoe UI"/>
          <w:b/>
          <w:bCs/>
          <w:sz w:val="52"/>
          <w:szCs w:val="52"/>
          <w:color w:val="1A1A1A"/>
        </w:rPr>
        <w:t xml:space="preserve">The Ideal Operating State: Shielded Underwriting Model</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When the PaySick Shield Framework is operating at target, the platform achieves a state we call Shielded Equilibrium, where every participant’s incentives are structurally aligned with portfolio quality.</w:t>
      </w:r>
    </w:p>
    <w:p>
      <w:pPr>
        <w:keepNext/>
        <w:spacing w:before="360" w:after="160" w:line="288" w:lineRule="auto"/>
      </w:pPr>
      <w:r>
        <w:rPr>
          <w:rFonts w:ascii="Segoe UI" w:hAnsi="Segoe UI" w:cs="Segoe UI"/>
          <w:b/>
          <w:bCs/>
          <w:sz w:val="34"/>
          <w:szCs w:val="34"/>
          <w:color w:val="1A1A1A"/>
        </w:rPr>
        <w:t xml:space="preserve">8.1 Target Operating Metrics</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3500"/>
        <w:gridCol w:w="2750"/>
        <w:gridCol w:w="2776"/>
      </w:tblGrid>
      <w:tr>
        <w:trPr>
          <w:tblHeader/>
        </w:trPr>
        <w:tc>
          <w:tcPr>
            <w:tcW w:w="3500" w:type="dxa"/>
            <w:shd w:val="clear" w:color="auto" w:fill="2D2D2D"/>
            <w:vAlign w:val="center"/>
          </w:tcPr>
          <w:p>
            <w:pPr>
              <w:spacing w:before="70" w:after="70" w:line="240" w:lineRule="auto"/>
            </w:pPr>
            <w:r>
              <w:rPr>
                <w:rFonts w:ascii="Segoe UI" w:hAnsi="Segoe UI" w:cs="Segoe UI"/>
                <w:b/>
                <w:bCs/>
                <w:sz w:val="18"/>
                <w:szCs w:val="18"/>
                <w:color w:val="FFFFFF"/>
              </w:rPr>
              <w:t xml:space="preserve">Metric</w:t>
            </w:r>
          </w:p>
        </w:tc>
        <w:tc>
          <w:tcPr>
            <w:tcW w:w="2750" w:type="dxa"/>
            <w:shd w:val="clear" w:color="auto" w:fill="2D2D2D"/>
            <w:vAlign w:val="center"/>
          </w:tcPr>
          <w:p>
            <w:pPr>
              <w:spacing w:before="70" w:after="70" w:line="240" w:lineRule="auto"/>
            </w:pPr>
            <w:r>
              <w:rPr>
                <w:rFonts w:ascii="Segoe UI" w:hAnsi="Segoe UI" w:cs="Segoe UI"/>
                <w:b/>
                <w:bCs/>
                <w:sz w:val="18"/>
                <w:szCs w:val="18"/>
                <w:color w:val="FFFFFF"/>
              </w:rPr>
              <w:t xml:space="preserve">Target</w:t>
            </w:r>
          </w:p>
        </w:tc>
        <w:tc>
          <w:tcPr>
            <w:tcW w:w="2776" w:type="dxa"/>
            <w:shd w:val="clear" w:color="auto" w:fill="2D2D2D"/>
            <w:vAlign w:val="center"/>
          </w:tcPr>
          <w:p>
            <w:pPr>
              <w:spacing w:before="70" w:after="70" w:line="240" w:lineRule="auto"/>
            </w:pPr>
            <w:r>
              <w:rPr>
                <w:rFonts w:ascii="Segoe UI" w:hAnsi="Segoe UI" w:cs="Segoe UI"/>
                <w:b/>
                <w:bCs/>
                <w:sz w:val="18"/>
                <w:szCs w:val="18"/>
                <w:color w:val="FFFFFF"/>
              </w:rPr>
              <w:t xml:space="preserve">Benchmark Comparison</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Probability of Default (PD)</w:t>
            </w:r>
          </w:p>
        </w:tc>
        <w:tc>
          <w:tcPr>
            <w:tcW w:w="2750" w:type="dxa"/>
            <w:shd w:val="clear" w:color="auto" w:fill="FFFFFF"/>
            <w:vAlign w:val="center"/>
          </w:tcPr>
          <w:p>
            <w:pPr>
              <w:spacing w:before="60" w:after="60" w:line="240" w:lineRule="auto"/>
            </w:pPr>
            <w:r>
              <w:rPr>
                <w:rFonts w:ascii="Segoe UI" w:hAnsi="Segoe UI" w:cs="Segoe UI"/>
                <w:sz w:val="18"/>
                <w:szCs w:val="18"/>
                <w:color w:val="333333"/>
              </w:rPr>
              <w:t xml:space="preserve">2.5 – 3.2%</w:t>
            </w:r>
          </w:p>
        </w:tc>
        <w:tc>
          <w:tcPr>
            <w:tcW w:w="2776" w:type="dxa"/>
            <w:shd w:val="clear" w:color="auto" w:fill="FFFFFF"/>
            <w:vAlign w:val="center"/>
          </w:tcPr>
          <w:p>
            <w:pPr>
              <w:spacing w:before="60" w:after="60" w:line="240" w:lineRule="auto"/>
            </w:pPr>
            <w:r>
              <w:rPr>
                <w:rFonts w:ascii="Segoe UI" w:hAnsi="Segoe UI" w:cs="Segoe UI"/>
                <w:sz w:val="18"/>
                <w:szCs w:val="18"/>
                <w:color w:val="333333"/>
              </w:rPr>
              <w:t xml:space="preserve">vs 8–12% retail BNPL</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Loss Given Default (LGD)</w:t>
            </w:r>
          </w:p>
        </w:tc>
        <w:tc>
          <w:tcPr>
            <w:tcW w:w="2750" w:type="dxa"/>
            <w:shd w:val="clear" w:color="auto" w:fill="F8F8F8"/>
            <w:vAlign w:val="center"/>
          </w:tcPr>
          <w:p>
            <w:pPr>
              <w:spacing w:before="60" w:after="60" w:line="240" w:lineRule="auto"/>
            </w:pPr>
            <w:r>
              <w:rPr>
                <w:rFonts w:ascii="Segoe UI" w:hAnsi="Segoe UI" w:cs="Segoe UI"/>
                <w:sz w:val="18"/>
                <w:szCs w:val="18"/>
                <w:color w:val="333333"/>
              </w:rPr>
              <w:t xml:space="preserve">40 – 45%</w:t>
            </w:r>
          </w:p>
        </w:tc>
        <w:tc>
          <w:tcPr>
            <w:tcW w:w="2776" w:type="dxa"/>
            <w:shd w:val="clear" w:color="auto" w:fill="F8F8F8"/>
            <w:vAlign w:val="center"/>
          </w:tcPr>
          <w:p>
            <w:pPr>
              <w:spacing w:before="60" w:after="60" w:line="240" w:lineRule="auto"/>
            </w:pPr>
            <w:r>
              <w:rPr>
                <w:rFonts w:ascii="Segoe UI" w:hAnsi="Segoe UI" w:cs="Segoe UI"/>
                <w:sz w:val="18"/>
                <w:szCs w:val="18"/>
                <w:color w:val="333333"/>
              </w:rPr>
              <w:t xml:space="preserve">vs 60%+ unsecured retail</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Net Loss Rate</w:t>
            </w:r>
          </w:p>
        </w:tc>
        <w:tc>
          <w:tcPr>
            <w:tcW w:w="2750" w:type="dxa"/>
            <w:shd w:val="clear" w:color="auto" w:fill="FFFFFF"/>
            <w:vAlign w:val="center"/>
          </w:tcPr>
          <w:p>
            <w:pPr>
              <w:spacing w:before="60" w:after="60" w:line="240" w:lineRule="auto"/>
            </w:pPr>
            <w:r>
              <w:rPr>
                <w:rFonts w:ascii="Segoe UI" w:hAnsi="Segoe UI" w:cs="Segoe UI"/>
                <w:sz w:val="18"/>
                <w:szCs w:val="18"/>
                <w:color w:val="333333"/>
              </w:rPr>
              <w:t xml:space="preserve">1.0 – 1.44%</w:t>
            </w:r>
          </w:p>
        </w:tc>
        <w:tc>
          <w:tcPr>
            <w:tcW w:w="2776" w:type="dxa"/>
            <w:shd w:val="clear" w:color="auto" w:fill="FFFFFF"/>
            <w:vAlign w:val="center"/>
          </w:tcPr>
          <w:p>
            <w:pPr>
              <w:spacing w:before="60" w:after="60" w:line="240" w:lineRule="auto"/>
            </w:pPr>
            <w:r>
              <w:rPr>
                <w:rFonts w:ascii="Segoe UI" w:hAnsi="Segoe UI" w:cs="Segoe UI"/>
                <w:sz w:val="18"/>
                <w:szCs w:val="18"/>
                <w:color w:val="333333"/>
              </w:rPr>
              <w:t xml:space="preserve">vs 5–7% retail BNPL</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Balance sheet as % of total book</w:t>
            </w:r>
          </w:p>
        </w:tc>
        <w:tc>
          <w:tcPr>
            <w:tcW w:w="2750" w:type="dxa"/>
            <w:shd w:val="clear" w:color="auto" w:fill="F8F8F8"/>
            <w:vAlign w:val="center"/>
          </w:tcPr>
          <w:p>
            <w:pPr>
              <w:spacing w:before="60" w:after="60" w:line="240" w:lineRule="auto"/>
            </w:pPr>
            <w:r>
              <w:rPr>
                <w:rFonts w:ascii="Segoe UI" w:hAnsi="Segoe UI" w:cs="Segoe UI"/>
                <w:sz w:val="18"/>
                <w:szCs w:val="18"/>
                <w:color w:val="333333"/>
              </w:rPr>
              <w:t xml:space="preserve">&lt; 35%</w:t>
            </w:r>
          </w:p>
        </w:tc>
        <w:tc>
          <w:tcPr>
            <w:tcW w:w="2776" w:type="dxa"/>
            <w:shd w:val="clear" w:color="auto" w:fill="F8F8F8"/>
            <w:vAlign w:val="center"/>
          </w:tcPr>
          <w:p>
            <w:pPr>
              <w:spacing w:before="60" w:after="60" w:line="240" w:lineRule="auto"/>
            </w:pPr>
            <w:r>
              <w:rPr>
                <w:rFonts w:ascii="Segoe UI" w:hAnsi="Segoe UI" w:cs="Segoe UI"/>
                <w:sz w:val="18"/>
                <w:szCs w:val="18"/>
                <w:color w:val="333333"/>
              </w:rPr>
              <w:t xml:space="preserve">Declining as marketplace scales</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Provider adverse selection rate</w:t>
            </w:r>
          </w:p>
        </w:tc>
        <w:tc>
          <w:tcPr>
            <w:tcW w:w="2750" w:type="dxa"/>
            <w:shd w:val="clear" w:color="auto" w:fill="FFFFFF"/>
            <w:vAlign w:val="center"/>
          </w:tcPr>
          <w:p>
            <w:pPr>
              <w:spacing w:before="60" w:after="60" w:line="240" w:lineRule="auto"/>
            </w:pPr>
            <w:r>
              <w:rPr>
                <w:rFonts w:ascii="Segoe UI" w:hAnsi="Segoe UI" w:cs="Segoe UI"/>
                <w:sz w:val="18"/>
                <w:szCs w:val="18"/>
                <w:color w:val="333333"/>
              </w:rPr>
              <w:t xml:space="preserve">&lt; 3% of providers flagged</w:t>
            </w:r>
          </w:p>
        </w:tc>
        <w:tc>
          <w:tcPr>
            <w:tcW w:w="2776" w:type="dxa"/>
            <w:shd w:val="clear" w:color="auto" w:fill="FFFFFF"/>
            <w:vAlign w:val="center"/>
          </w:tcPr>
          <w:p>
            <w:pPr>
              <w:spacing w:before="60" w:after="60" w:line="240" w:lineRule="auto"/>
            </w:pPr>
            <w:r>
              <w:rPr>
                <w:rFonts w:ascii="Segoe UI" w:hAnsi="Segoe UI" w:cs="Segoe UI"/>
                <w:sz w:val="18"/>
                <w:szCs w:val="18"/>
                <w:color w:val="333333"/>
              </w:rPr>
              <w:t xml:space="preserve">Graduated trust filters bad actors early</w:t>
            </w:r>
          </w:p>
        </w:tc>
      </w:tr>
      <w:tr>
        <w:tc>
          <w:tcPr>
            <w:tcW w:w="3500" w:type="dxa"/>
            <w:shd w:val="clear" w:color="auto" w:fill="F8F8F8"/>
            <w:vAlign w:val="center"/>
          </w:tcPr>
          <w:p>
            <w:pPr>
              <w:spacing w:before="60" w:after="60" w:line="240" w:lineRule="auto"/>
            </w:pPr>
            <w:r>
              <w:rPr>
                <w:rFonts w:ascii="Segoe UI" w:hAnsi="Segoe UI" w:cs="Segoe UI"/>
                <w:b/>
                <w:bCs/>
                <w:sz w:val="18"/>
                <w:szCs w:val="18"/>
                <w:color w:val="333333"/>
              </w:rPr>
              <w:t xml:space="preserve">Patient convenience-to-necessity ratio</w:t>
            </w:r>
          </w:p>
        </w:tc>
        <w:tc>
          <w:tcPr>
            <w:tcW w:w="2750" w:type="dxa"/>
            <w:shd w:val="clear" w:color="auto" w:fill="F8F8F8"/>
            <w:vAlign w:val="center"/>
          </w:tcPr>
          <w:p>
            <w:pPr>
              <w:spacing w:before="60" w:after="60" w:line="240" w:lineRule="auto"/>
            </w:pPr>
            <w:r>
              <w:rPr>
                <w:rFonts w:ascii="Segoe UI" w:hAnsi="Segoe UI" w:cs="Segoe UI"/>
                <w:sz w:val="18"/>
                <w:szCs w:val="18"/>
                <w:color w:val="333333"/>
              </w:rPr>
              <w:t xml:space="preserve">&gt; 60:40</w:t>
            </w:r>
          </w:p>
        </w:tc>
        <w:tc>
          <w:tcPr>
            <w:tcW w:w="2776" w:type="dxa"/>
            <w:shd w:val="clear" w:color="auto" w:fill="F8F8F8"/>
            <w:vAlign w:val="center"/>
          </w:tcPr>
          <w:p>
            <w:pPr>
              <w:spacing w:before="60" w:after="60" w:line="240" w:lineRule="auto"/>
            </w:pPr>
            <w:r>
              <w:rPr>
                <w:rFonts w:ascii="Segoe UI" w:hAnsi="Segoe UI" w:cs="Segoe UI"/>
                <w:sz w:val="18"/>
                <w:szCs w:val="18"/>
                <w:color w:val="333333"/>
              </w:rPr>
              <w:t xml:space="preserve">Maintained through affordability ceilings</w:t>
            </w:r>
          </w:p>
        </w:tc>
      </w:tr>
      <w:tr>
        <w:tc>
          <w:tcPr>
            <w:tcW w:w="3500" w:type="dxa"/>
            <w:shd w:val="clear" w:color="auto" w:fill="FFFFFF"/>
            <w:vAlign w:val="center"/>
          </w:tcPr>
          <w:p>
            <w:pPr>
              <w:spacing w:before="60" w:after="60" w:line="240" w:lineRule="auto"/>
            </w:pPr>
            <w:r>
              <w:rPr>
                <w:rFonts w:ascii="Segoe UI" w:hAnsi="Segoe UI" w:cs="Segoe UI"/>
                <w:b/>
                <w:bCs/>
                <w:sz w:val="18"/>
                <w:szCs w:val="18"/>
                <w:color w:val="333333"/>
              </w:rPr>
              <w:t xml:space="preserve">Lender retention rate</w:t>
            </w:r>
          </w:p>
        </w:tc>
        <w:tc>
          <w:tcPr>
            <w:tcW w:w="2750" w:type="dxa"/>
            <w:shd w:val="clear" w:color="auto" w:fill="FFFFFF"/>
            <w:vAlign w:val="center"/>
          </w:tcPr>
          <w:p>
            <w:pPr>
              <w:spacing w:before="60" w:after="60" w:line="240" w:lineRule="auto"/>
            </w:pPr>
            <w:r>
              <w:rPr>
                <w:rFonts w:ascii="Segoe UI" w:hAnsi="Segoe UI" w:cs="Segoe UI"/>
                <w:sz w:val="18"/>
                <w:szCs w:val="18"/>
                <w:color w:val="333333"/>
              </w:rPr>
              <w:t xml:space="preserve">&gt; 90% annual</w:t>
            </w:r>
          </w:p>
        </w:tc>
        <w:tc>
          <w:tcPr>
            <w:tcW w:w="2776" w:type="dxa"/>
            <w:shd w:val="clear" w:color="auto" w:fill="FFFFFF"/>
            <w:vAlign w:val="center"/>
          </w:tcPr>
          <w:p>
            <w:pPr>
              <w:spacing w:before="60" w:after="60" w:line="240" w:lineRule="auto"/>
            </w:pPr>
            <w:r>
              <w:rPr>
                <w:rFonts w:ascii="Segoe UI" w:hAnsi="Segoe UI" w:cs="Segoe UI"/>
                <w:sz w:val="18"/>
                <w:szCs w:val="18"/>
                <w:color w:val="333333"/>
              </w:rPr>
              <w:t xml:space="preserve">Quality approvals keep lenders on platform</w:t>
            </w:r>
          </w:p>
        </w:tc>
      </w:tr>
    </w:tbl>
    <w:p>
      <w:pPr>
        <w:keepNext/>
        <w:spacing w:before="360" w:after="160" w:line="288" w:lineRule="auto"/>
      </w:pPr>
      <w:r>
        <w:rPr>
          <w:rFonts w:ascii="Segoe UI" w:hAnsi="Segoe UI" w:cs="Segoe UI"/>
          <w:b/>
          <w:bCs/>
          <w:sz w:val="34"/>
          <w:szCs w:val="34"/>
          <w:color w:val="1A1A1A"/>
        </w:rPr>
        <w:t xml:space="preserve">8.2 Data Flywheel: How Loss Rates Improve Over Time</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2250"/>
        <w:gridCol w:w="2250"/>
        <w:gridCol w:w="2250"/>
        <w:gridCol w:w="2276"/>
      </w:tblGrid>
      <w:tr>
        <w:trPr>
          <w:tblHeader/>
        </w:trPr>
        <w:tc>
          <w:tcPr>
            <w:tcW w:w="2250" w:type="dxa"/>
            <w:shd w:val="clear" w:color="auto" w:fill="2D2D2D"/>
            <w:vAlign w:val="center"/>
          </w:tcPr>
          <w:p>
            <w:pPr>
              <w:spacing w:before="70" w:after="70" w:line="240" w:lineRule="auto"/>
            </w:pPr>
            <w:r>
              <w:rPr>
                <w:rFonts w:ascii="Segoe UI" w:hAnsi="Segoe UI" w:cs="Segoe UI"/>
                <w:b/>
                <w:bCs/>
                <w:sz w:val="18"/>
                <w:szCs w:val="18"/>
                <w:color w:val="FFFFFF"/>
              </w:rPr>
              <w:t xml:space="preserve">Phase</w:t>
            </w:r>
          </w:p>
        </w:tc>
        <w:tc>
          <w:tcPr>
            <w:tcW w:w="2250" w:type="dxa"/>
            <w:shd w:val="clear" w:color="auto" w:fill="2D2D2D"/>
            <w:vAlign w:val="center"/>
          </w:tcPr>
          <w:p>
            <w:pPr>
              <w:spacing w:before="70" w:after="70" w:line="240" w:lineRule="auto"/>
            </w:pPr>
            <w:r>
              <w:rPr>
                <w:rFonts w:ascii="Segoe UI" w:hAnsi="Segoe UI" w:cs="Segoe UI"/>
                <w:b/>
                <w:bCs/>
                <w:sz w:val="18"/>
                <w:szCs w:val="18"/>
                <w:color w:val="FFFFFF"/>
              </w:rPr>
              <w:t xml:space="preserve">Volume</w:t>
            </w:r>
          </w:p>
        </w:tc>
        <w:tc>
          <w:tcPr>
            <w:tcW w:w="2250" w:type="dxa"/>
            <w:shd w:val="clear" w:color="auto" w:fill="2D2D2D"/>
            <w:vAlign w:val="center"/>
          </w:tcPr>
          <w:p>
            <w:pPr>
              <w:spacing w:before="70" w:after="70" w:line="240" w:lineRule="auto"/>
            </w:pPr>
            <w:r>
              <w:rPr>
                <w:rFonts w:ascii="Segoe UI" w:hAnsi="Segoe UI" w:cs="Segoe UI"/>
                <w:b/>
                <w:bCs/>
                <w:sz w:val="18"/>
                <w:szCs w:val="18"/>
                <w:color w:val="FFFFFF"/>
              </w:rPr>
              <w:t xml:space="preserve">Expected PD</w:t>
            </w:r>
          </w:p>
        </w:tc>
        <w:tc>
          <w:tcPr>
            <w:tcW w:w="2276" w:type="dxa"/>
            <w:shd w:val="clear" w:color="auto" w:fill="2D2D2D"/>
            <w:vAlign w:val="center"/>
          </w:tcPr>
          <w:p>
            <w:pPr>
              <w:spacing w:before="70" w:after="70" w:line="240" w:lineRule="auto"/>
            </w:pPr>
            <w:r>
              <w:rPr>
                <w:rFonts w:ascii="Segoe UI" w:hAnsi="Segoe UI" w:cs="Segoe UI"/>
                <w:b/>
                <w:bCs/>
                <w:sz w:val="18"/>
                <w:szCs w:val="18"/>
                <w:color w:val="FFFFFF"/>
              </w:rPr>
              <w:t xml:space="preserve">Data Advantage</w:t>
            </w:r>
          </w:p>
        </w:tc>
      </w:tr>
      <w:tr>
        <w:tc>
          <w:tcPr>
            <w:tcW w:w="2250" w:type="dxa"/>
            <w:shd w:val="clear" w:color="auto" w:fill="FFFFFF"/>
            <w:vAlign w:val="center"/>
          </w:tcPr>
          <w:p>
            <w:pPr>
              <w:spacing w:before="60" w:after="60" w:line="240" w:lineRule="auto"/>
            </w:pPr>
            <w:r>
              <w:rPr>
                <w:rFonts w:ascii="Segoe UI" w:hAnsi="Segoe UI" w:cs="Segoe UI"/>
                <w:b/>
                <w:bCs/>
                <w:sz w:val="18"/>
                <w:szCs w:val="18"/>
                <w:color w:val="333333"/>
              </w:rPr>
              <w:t xml:space="preserve">Months 1–6 (Cold Start)</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&lt; 500 loans</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~5.0% (conservative)</w:t>
            </w:r>
          </w:p>
        </w:tc>
        <w:tc>
          <w:tcPr>
            <w:tcW w:w="2276" w:type="dxa"/>
            <w:shd w:val="clear" w:color="auto" w:fill="FFFFFF"/>
            <w:vAlign w:val="center"/>
          </w:tcPr>
          <w:p>
            <w:pPr>
              <w:spacing w:before="60" w:after="60" w:line="240" w:lineRule="auto"/>
            </w:pPr>
            <w:r>
              <w:rPr>
                <w:rFonts w:ascii="Segoe UI" w:hAnsi="Segoe UI" w:cs="Segoe UI"/>
                <w:sz w:val="18"/>
                <w:szCs w:val="18"/>
                <w:color w:val="333333"/>
              </w:rPr>
              <w:t xml:space="preserve">Known-provider-only, smaller loans, tight criteria</w:t>
            </w:r>
          </w:p>
        </w:tc>
      </w:tr>
      <w:tr>
        <w:tc>
          <w:tcPr>
            <w:tcW w:w="2250" w:type="dxa"/>
            <w:shd w:val="clear" w:color="auto" w:fill="F8F8F8"/>
            <w:vAlign w:val="center"/>
          </w:tcPr>
          <w:p>
            <w:pPr>
              <w:spacing w:before="60" w:after="60" w:line="240" w:lineRule="auto"/>
            </w:pPr>
            <w:r>
              <w:rPr>
                <w:rFonts w:ascii="Segoe UI" w:hAnsi="Segoe UI" w:cs="Segoe UI"/>
                <w:b/>
                <w:bCs/>
                <w:sz w:val="18"/>
                <w:szCs w:val="18"/>
                <w:color w:val="333333"/>
              </w:rPr>
              <w:t xml:space="preserve">Months 6–12</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2,000 loans</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~3.5%</w:t>
            </w:r>
          </w:p>
        </w:tc>
        <w:tc>
          <w:tcPr>
            <w:tcW w:w="2276" w:type="dxa"/>
            <w:shd w:val="clear" w:color="auto" w:fill="F8F8F8"/>
            <w:vAlign w:val="center"/>
          </w:tcPr>
          <w:p>
            <w:pPr>
              <w:spacing w:before="60" w:after="60" w:line="240" w:lineRule="auto"/>
            </w:pPr>
            <w:r>
              <w:rPr>
                <w:rFonts w:ascii="Segoe UI" w:hAnsi="Segoe UI" w:cs="Segoe UI"/>
                <w:sz w:val="18"/>
                <w:szCs w:val="18"/>
                <w:color w:val="333333"/>
              </w:rPr>
              <w:t xml:space="preserve">Procedure-level default data emerges</w:t>
            </w:r>
          </w:p>
        </w:tc>
      </w:tr>
      <w:tr>
        <w:tc>
          <w:tcPr>
            <w:tcW w:w="2250" w:type="dxa"/>
            <w:shd w:val="clear" w:color="auto" w:fill="FFFFFF"/>
            <w:vAlign w:val="center"/>
          </w:tcPr>
          <w:p>
            <w:pPr>
              <w:spacing w:before="60" w:after="60" w:line="240" w:lineRule="auto"/>
            </w:pPr>
            <w:r>
              <w:rPr>
                <w:rFonts w:ascii="Segoe UI" w:hAnsi="Segoe UI" w:cs="Segoe UI"/>
                <w:b/>
                <w:bCs/>
                <w:sz w:val="18"/>
                <w:szCs w:val="18"/>
                <w:color w:val="333333"/>
              </w:rPr>
              <w:t xml:space="preserve">Year 2</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10,000+ loans</w:t>
            </w:r>
          </w:p>
        </w:tc>
        <w:tc>
          <w:tcPr>
            <w:tcW w:w="2250" w:type="dxa"/>
            <w:shd w:val="clear" w:color="auto" w:fill="FFFFFF"/>
            <w:vAlign w:val="center"/>
          </w:tcPr>
          <w:p>
            <w:pPr>
              <w:spacing w:before="60" w:after="60" w:line="240" w:lineRule="auto"/>
            </w:pPr>
            <w:r>
              <w:rPr>
                <w:rFonts w:ascii="Segoe UI" w:hAnsi="Segoe UI" w:cs="Segoe UI"/>
                <w:sz w:val="18"/>
                <w:szCs w:val="18"/>
                <w:color w:val="333333"/>
              </w:rPr>
              <w:t xml:space="preserve">~2.5–3.2%</w:t>
            </w:r>
          </w:p>
        </w:tc>
        <w:tc>
          <w:tcPr>
            <w:tcW w:w="2276" w:type="dxa"/>
            <w:shd w:val="clear" w:color="auto" w:fill="FFFFFF"/>
            <w:vAlign w:val="center"/>
          </w:tcPr>
          <w:p>
            <w:pPr>
              <w:spacing w:before="60" w:after="60" w:line="240" w:lineRule="auto"/>
            </w:pPr>
            <w:r>
              <w:rPr>
                <w:rFonts w:ascii="Segoe UI" w:hAnsi="Segoe UI" w:cs="Segoe UI"/>
                <w:sz w:val="18"/>
                <w:szCs w:val="18"/>
                <w:color w:val="333333"/>
              </w:rPr>
              <w:t xml:space="preserve">Provider scoring calibrated, repeat patient data available</w:t>
            </w:r>
          </w:p>
        </w:tc>
      </w:tr>
      <w:tr>
        <w:tc>
          <w:tcPr>
            <w:tcW w:w="2250" w:type="dxa"/>
            <w:shd w:val="clear" w:color="auto" w:fill="F8F8F8"/>
            <w:vAlign w:val="center"/>
          </w:tcPr>
          <w:p>
            <w:pPr>
              <w:spacing w:before="60" w:after="60" w:line="240" w:lineRule="auto"/>
            </w:pPr>
            <w:r>
              <w:rPr>
                <w:rFonts w:ascii="Segoe UI" w:hAnsi="Segoe UI" w:cs="Segoe UI"/>
                <w:b/>
                <w:bCs/>
                <w:sz w:val="18"/>
                <w:szCs w:val="18"/>
                <w:color w:val="333333"/>
              </w:rPr>
              <w:t xml:space="preserve">Year 3+ (Multi-lender data)</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50,000+ loans</w:t>
            </w:r>
          </w:p>
        </w:tc>
        <w:tc>
          <w:tcPr>
            <w:tcW w:w="2250" w:type="dxa"/>
            <w:shd w:val="clear" w:color="auto" w:fill="F8F8F8"/>
            <w:vAlign w:val="center"/>
          </w:tcPr>
          <w:p>
            <w:pPr>
              <w:spacing w:before="60" w:after="60" w:line="240" w:lineRule="auto"/>
            </w:pPr>
            <w:r>
              <w:rPr>
                <w:rFonts w:ascii="Segoe UI" w:hAnsi="Segoe UI" w:cs="Segoe UI"/>
                <w:sz w:val="18"/>
                <w:szCs w:val="18"/>
                <w:color w:val="333333"/>
              </w:rPr>
              <w:t xml:space="preserve">&lt; 2.5%</w:t>
            </w:r>
          </w:p>
        </w:tc>
        <w:tc>
          <w:tcPr>
            <w:tcW w:w="2276" w:type="dxa"/>
            <w:shd w:val="clear" w:color="auto" w:fill="F8F8F8"/>
            <w:vAlign w:val="center"/>
          </w:tcPr>
          <w:p>
            <w:pPr>
              <w:spacing w:before="60" w:after="60" w:line="240" w:lineRule="auto"/>
            </w:pPr>
            <w:r>
              <w:rPr>
                <w:rFonts w:ascii="Segoe UI" w:hAnsi="Segoe UI" w:cs="Segoe UI"/>
                <w:sz w:val="18"/>
                <w:szCs w:val="18"/>
                <w:color w:val="333333"/>
              </w:rPr>
              <w:t xml:space="preserve">Cross-lender default patterns create industry-level insight</w:t>
            </w:r>
          </w:p>
        </w:tc>
      </w:tr>
    </w:tbl>
    <w:p>
      <w:pPr>
        <w:spacing w:after="160" w:line="300" w:lineRule="auto"/>
      </w:pPr>
      <w:r>
        <w:rPr>
          <w:rFonts w:ascii="Segoe UI" w:hAnsi="Segoe UI" w:cs="Segoe UI"/>
          <w:sz w:val="22"/>
          <w:szCs w:val="22"/>
          <w:color w:val="333333"/>
        </w:rPr>
        <w:t xml:space="preserve">Every transaction generates a proprietary data point mapping Procedure → Provider → Patient Profile → Repayment Outcome. After 10,000 transactions, this dataset is unreplicable without years of healthcare-specific operation. This is the true moat: not the technology, but the data the technology generates.</w:t>
      </w:r>
    </w:p>
    <w:p>
      <w:pPr>
        <w:keepNext/>
        <w:spacing w:before="360" w:after="160" w:line="288" w:lineRule="auto"/>
      </w:pPr>
      <w:r>
        <w:rPr>
          <w:rFonts w:ascii="Segoe UI" w:hAnsi="Segoe UI" w:cs="Segoe UI"/>
          <w:b/>
          <w:bCs/>
          <w:sz w:val="34"/>
          <w:szCs w:val="34"/>
          <w:color w:val="1A1A1A"/>
        </w:rPr>
        <w:t xml:space="preserve">8.3 The Virtuous Cycle</w:t>
      </w:r>
    </w:p>
    <w:p>
      <w:pPr>
        <w:spacing w:after="160" w:line="300" w:lineRule="auto"/>
      </w:pPr>
      <w:r>
        <w:rPr>
          <w:rFonts w:ascii="Segoe UI" w:hAnsi="Segoe UI" w:cs="Segoe UI"/>
          <w:sz w:val="22"/>
          <w:szCs w:val="22"/>
          <w:color w:val="333333"/>
        </w:rPr>
        <w:t xml:space="preserve">In Shielded Equilibrium, the platform operates a self-reinforcing virtuous cycle:</w:t>
      </w:r>
    </w:p>
    <w:p>
      <w:pPr>
        <w:spacing w:after="100" w:line="300" w:lineRule="auto"/>
        <w:ind w:left="540"/>
      </w:pPr>
      <w:r>
        <w:rPr>
          <w:rFonts w:ascii="Segoe UI" w:hAnsi="Segoe UI" w:cs="Segoe UI"/>
          <w:sz w:val="22"/>
          <w:szCs w:val="22"/>
          <w:color w:val="E01E37"/>
        </w:rPr>
        <w:t xml:space="preserve">•  </w:t>
      </w:r>
      <w:r>
        <w:rPr>
          <w:rFonts w:ascii="Segoe UI" w:hAnsi="Segoe UI" w:cs="Segoe UI"/>
          <w:sz w:val="22"/>
          <w:szCs w:val="22"/>
          <w:color w:val="333333"/>
        </w:rPr>
        <w:t xml:space="preserve">Better underwriting data leads to lower loss rates</w:t>
      </w:r>
    </w:p>
    <w:p>
      <w:pPr>
        <w:spacing w:after="100" w:line="300" w:lineRule="auto"/>
        <w:ind w:left="540"/>
      </w:pPr>
      <w:r>
        <w:rPr>
          <w:rFonts w:ascii="Segoe UI" w:hAnsi="Segoe UI" w:cs="Segoe UI"/>
          <w:sz w:val="22"/>
          <w:szCs w:val="22"/>
          <w:color w:val="E01E37"/>
        </w:rPr>
        <w:t xml:space="preserve">•  </w:t>
      </w:r>
      <w:r>
        <w:rPr>
          <w:rFonts w:ascii="Segoe UI" w:hAnsi="Segoe UI" w:cs="Segoe UI"/>
          <w:sz w:val="22"/>
          <w:szCs w:val="22"/>
          <w:color w:val="333333"/>
        </w:rPr>
        <w:t xml:space="preserve">Lower loss rates attract higher-quality lenders at better rates</w:t>
      </w:r>
    </w:p>
    <w:p>
      <w:pPr>
        <w:spacing w:after="100" w:line="300" w:lineRule="auto"/>
        <w:ind w:left="540"/>
      </w:pPr>
      <w:r>
        <w:rPr>
          <w:rFonts w:ascii="Segoe UI" w:hAnsi="Segoe UI" w:cs="Segoe UI"/>
          <w:sz w:val="22"/>
          <w:szCs w:val="22"/>
          <w:color w:val="E01E37"/>
        </w:rPr>
        <w:t xml:space="preserve">•  </w:t>
      </w:r>
      <w:r>
        <w:rPr>
          <w:rFonts w:ascii="Segoe UI" w:hAnsi="Segoe UI" w:cs="Segoe UI"/>
          <w:sz w:val="22"/>
          <w:szCs w:val="22"/>
          <w:color w:val="333333"/>
        </w:rPr>
        <w:t xml:space="preserve">Better rates attract higher-quality patients (convenience borrowers over necessity borrowers)</w:t>
      </w:r>
    </w:p>
    <w:p>
      <w:pPr>
        <w:spacing w:after="100" w:line="300" w:lineRule="auto"/>
        <w:ind w:left="540"/>
      </w:pPr>
      <w:r>
        <w:rPr>
          <w:rFonts w:ascii="Segoe UI" w:hAnsi="Segoe UI" w:cs="Segoe UI"/>
          <w:sz w:val="22"/>
          <w:szCs w:val="22"/>
          <w:color w:val="E01E37"/>
        </w:rPr>
        <w:t xml:space="preserve">•  </w:t>
      </w:r>
      <w:r>
        <w:rPr>
          <w:rFonts w:ascii="Segoe UI" w:hAnsi="Segoe UI" w:cs="Segoe UI"/>
          <w:sz w:val="22"/>
          <w:szCs w:val="22"/>
          <w:color w:val="333333"/>
        </w:rPr>
        <w:t xml:space="preserve">Higher-quality patients improve repayment data further</w:t>
      </w:r>
    </w:p>
    <w:p>
      <w:pPr>
        <w:spacing w:after="100" w:line="300" w:lineRule="auto"/>
        <w:ind w:left="540"/>
      </w:pPr>
      <w:r>
        <w:rPr>
          <w:rFonts w:ascii="Segoe UI" w:hAnsi="Segoe UI" w:cs="Segoe UI"/>
          <w:sz w:val="22"/>
          <w:szCs w:val="22"/>
          <w:color w:val="E01E37"/>
        </w:rPr>
        <w:t xml:space="preserve">•  </w:t>
      </w:r>
      <w:r>
        <w:rPr>
          <w:rFonts w:ascii="Segoe UI" w:hAnsi="Segoe UI" w:cs="Segoe UI"/>
          <w:sz w:val="22"/>
          <w:szCs w:val="22"/>
          <w:color w:val="333333"/>
        </w:rPr>
        <w:t xml:space="preserve">Better repayment data attracts premium providers who want their patients to access the best terms</w:t>
      </w:r>
    </w:p>
    <w:p>
      <w:pPr>
        <w:spacing w:after="100" w:line="300" w:lineRule="auto"/>
        <w:ind w:left="540"/>
      </w:pPr>
      <w:r>
        <w:rPr>
          <w:rFonts w:ascii="Segoe UI" w:hAnsi="Segoe UI" w:cs="Segoe UI"/>
          <w:sz w:val="22"/>
          <w:szCs w:val="22"/>
          <w:color w:val="E01E37"/>
        </w:rPr>
        <w:t xml:space="preserve">•  </w:t>
      </w:r>
      <w:r>
        <w:rPr>
          <w:rFonts w:ascii="Segoe UI" w:hAnsi="Segoe UI" w:cs="Segoe UI"/>
          <w:sz w:val="22"/>
          <w:szCs w:val="22"/>
          <w:color w:val="333333"/>
        </w:rPr>
        <w:t xml:space="preserve">Premium providers have better clinical outcomes, reducing outcome-driven defaults</w:t>
      </w:r>
    </w:p>
    <w:p>
      <w:pPr>
        <w:spacing w:after="160" w:line="300" w:lineRule="auto"/>
      </w:pPr>
      <w:r>
        <w:rPr>
          <w:rFonts w:ascii="Segoe UI" w:hAnsi="Segoe UI" w:cs="Segoe UI"/>
          <w:sz w:val="22"/>
          <w:szCs w:val="22"/>
          <w:color w:val="333333"/>
        </w:rPr>
        <w:t xml:space="preserve">This cycle compounds over time, creating a structural advantage that generic BNPL or unsecured lending platforms cannot replicate because they lack the healthcare-specific data inputs to initiate the cycle.</w:t>
      </w:r>
    </w:p>
    <w:p>
      <w:pPr>
        <w:spacing w:after="20" w:line="240" w:lineRule="auto"/>
      </w:pPr>
      <w:r>
        <w:rPr>
          <w:rFonts w:ascii="Segoe UI" w:hAnsi="Segoe UI" w:cs="Segoe UI"/>
          <w:b/>
          <w:bCs/>
          <w:caps/>
          <w:sz w:val="18"/>
          <w:szCs w:val="18"/>
          <w:color w:val="E01E37"/>
          <w:spacing w:val="80"/>
        </w:rPr>
        <w:t xml:space="preserve">Section 09</w:t>
      </w:r>
    </w:p>
    <w:p>
      <w:pPr>
        <w:keepNext/>
        <w:pageBreakBefore/>
        <w:spacing w:before="0" w:after="80" w:line="288" w:lineRule="auto"/>
      </w:pPr>
      <w:r>
        <w:rPr>
          <w:rFonts w:ascii="Segoe UI" w:hAnsi="Segoe UI" w:cs="Segoe UI"/>
          <w:b/>
          <w:bCs/>
          <w:sz w:val="52"/>
          <w:szCs w:val="52"/>
          <w:color w:val="1A1A1A"/>
        </w:rPr>
        <w:t xml:space="preserve">Global Replicability: Scaling the Framework</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The PaySick Shield Framework is designed for global deployment. While South Africa serves as the proving ground, every control mechanism requires only local calibration, not fundamental redesign.</w:t>
      </w:r>
    </w:p>
    <w:p>
      <w:pPr>
        <w:keepNext/>
        <w:spacing w:before="360" w:after="160" w:line="288" w:lineRule="auto"/>
      </w:pPr>
      <w:r>
        <w:rPr>
          <w:rFonts w:ascii="Segoe UI" w:hAnsi="Segoe UI" w:cs="Segoe UI"/>
          <w:b/>
          <w:bCs/>
          <w:sz w:val="34"/>
          <w:szCs w:val="34"/>
          <w:color w:val="1A1A1A"/>
        </w:rPr>
        <w:t xml:space="preserve">9.1 Market Entry Calibration Matrix</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1800"/>
        <w:gridCol w:w="1800"/>
        <w:gridCol w:w="1800"/>
        <w:gridCol w:w="1800"/>
        <w:gridCol w:w="1826"/>
      </w:tblGrid>
      <w:tr>
        <w:trPr>
          <w:tblHeader/>
        </w:trPr>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Framework Element</w:t>
            </w:r>
          </w:p>
        </w:tc>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South Africa</w:t>
            </w:r>
          </w:p>
        </w:tc>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Kenya</w:t>
            </w:r>
          </w:p>
        </w:tc>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Nigeria</w:t>
            </w:r>
          </w:p>
        </w:tc>
        <w:tc>
          <w:tcPr>
            <w:tcW w:w="1826" w:type="dxa"/>
            <w:shd w:val="clear" w:color="auto" w:fill="2D2D2D"/>
            <w:vAlign w:val="center"/>
          </w:tcPr>
          <w:p>
            <w:pPr>
              <w:spacing w:before="70" w:after="70" w:line="240" w:lineRule="auto"/>
            </w:pPr>
            <w:r>
              <w:rPr>
                <w:rFonts w:ascii="Segoe UI" w:hAnsi="Segoe UI" w:cs="Segoe UI"/>
                <w:b/>
                <w:bCs/>
                <w:sz w:val="18"/>
                <w:szCs w:val="18"/>
                <w:color w:val="FFFFFF"/>
              </w:rPr>
              <w:t xml:space="preserve">Calibration Required</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Regulatory framework</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NCA, POPIA, HPCSA</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CBK, Data Protection Act</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CBN, NDPR, FCCPC</w:t>
            </w:r>
          </w:p>
        </w:tc>
        <w:tc>
          <w:tcPr>
            <w:tcW w:w="1826" w:type="dxa"/>
            <w:shd w:val="clear" w:color="auto" w:fill="FFFFFF"/>
            <w:vAlign w:val="center"/>
          </w:tcPr>
          <w:p>
            <w:pPr>
              <w:spacing w:before="60" w:after="60" w:line="240" w:lineRule="auto"/>
            </w:pPr>
            <w:r>
              <w:rPr>
                <w:rFonts w:ascii="Segoe UI" w:hAnsi="Segoe UI" w:cs="Segoe UI"/>
                <w:sz w:val="18"/>
                <w:szCs w:val="18"/>
                <w:color w:val="333333"/>
              </w:rPr>
              <w:t xml:space="preserve">Local compliance mapping</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Affordability ceiling</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15–20% of income</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20–25% (adjust for informal income)</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20–25%</w:t>
            </w:r>
          </w:p>
        </w:tc>
        <w:tc>
          <w:tcPr>
            <w:tcW w:w="1826" w:type="dxa"/>
            <w:shd w:val="clear" w:color="auto" w:fill="F8F8F8"/>
            <w:vAlign w:val="center"/>
          </w:tcPr>
          <w:p>
            <w:pPr>
              <w:spacing w:before="60" w:after="60" w:line="240" w:lineRule="auto"/>
            </w:pPr>
            <w:r>
              <w:rPr>
                <w:rFonts w:ascii="Segoe UI" w:hAnsi="Segoe UI" w:cs="Segoe UI"/>
                <w:sz w:val="18"/>
                <w:szCs w:val="18"/>
                <w:color w:val="333333"/>
              </w:rPr>
              <w:t xml:space="preserve">Adjust % per local DTI norms</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Provider onboarding</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HPCSA verification</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KMPDC verification</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MDCN verification</w:t>
            </w:r>
          </w:p>
        </w:tc>
        <w:tc>
          <w:tcPr>
            <w:tcW w:w="1826" w:type="dxa"/>
            <w:shd w:val="clear" w:color="auto" w:fill="FFFFFF"/>
            <w:vAlign w:val="center"/>
          </w:tcPr>
          <w:p>
            <w:pPr>
              <w:spacing w:before="60" w:after="60" w:line="240" w:lineRule="auto"/>
            </w:pPr>
            <w:r>
              <w:rPr>
                <w:rFonts w:ascii="Segoe UI" w:hAnsi="Segoe UI" w:cs="Segoe UI"/>
                <w:sz w:val="18"/>
                <w:szCs w:val="18"/>
                <w:color w:val="333333"/>
              </w:rPr>
              <w:t xml:space="preserve">Local medical council integration</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Insurance integration</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Medical aid schemes</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NHIF / private insurers</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NHIS / HMOs</w:t>
            </w:r>
          </w:p>
        </w:tc>
        <w:tc>
          <w:tcPr>
            <w:tcW w:w="1826" w:type="dxa"/>
            <w:shd w:val="clear" w:color="auto" w:fill="F8F8F8"/>
            <w:vAlign w:val="center"/>
          </w:tcPr>
          <w:p>
            <w:pPr>
              <w:spacing w:before="60" w:after="60" w:line="240" w:lineRule="auto"/>
            </w:pPr>
            <w:r>
              <w:rPr>
                <w:rFonts w:ascii="Segoe UI" w:hAnsi="Segoe UI" w:cs="Segoe UI"/>
                <w:sz w:val="18"/>
                <w:szCs w:val="18"/>
                <w:color w:val="333333"/>
              </w:rPr>
              <w:t xml:space="preserve">Local insurance API development</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Income verification</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Bank statements / open banking</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M-Pesa data / bank statements</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BVN-linked bank data</w:t>
            </w:r>
          </w:p>
        </w:tc>
        <w:tc>
          <w:tcPr>
            <w:tcW w:w="1826" w:type="dxa"/>
            <w:shd w:val="clear" w:color="auto" w:fill="FFFFFF"/>
            <w:vAlign w:val="center"/>
          </w:tcPr>
          <w:p>
            <w:pPr>
              <w:spacing w:before="60" w:after="60" w:line="240" w:lineRule="auto"/>
            </w:pPr>
            <w:r>
              <w:rPr>
                <w:rFonts w:ascii="Segoe UI" w:hAnsi="Segoe UI" w:cs="Segoe UI"/>
                <w:sz w:val="18"/>
                <w:szCs w:val="18"/>
                <w:color w:val="333333"/>
              </w:rPr>
              <w:t xml:space="preserve">Local fintech data source integration</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Circuit breaker thresholds</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6% arrears / 40% BS cap</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8% arrears / 50% BS cap</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8% arrears / 50% BS cap</w:t>
            </w:r>
          </w:p>
        </w:tc>
        <w:tc>
          <w:tcPr>
            <w:tcW w:w="1826" w:type="dxa"/>
            <w:shd w:val="clear" w:color="auto" w:fill="F8F8F8"/>
            <w:vAlign w:val="center"/>
          </w:tcPr>
          <w:p>
            <w:pPr>
              <w:spacing w:before="60" w:after="60" w:line="240" w:lineRule="auto"/>
            </w:pPr>
            <w:r>
              <w:rPr>
                <w:rFonts w:ascii="Segoe UI" w:hAnsi="Segoe UI" w:cs="Segoe UI"/>
                <w:sz w:val="18"/>
                <w:szCs w:val="18"/>
                <w:color w:val="333333"/>
              </w:rPr>
              <w:t xml:space="preserve">Adjust per market maturity</w:t>
            </w:r>
          </w:p>
        </w:tc>
      </w:tr>
    </w:tbl>
    <w:p>
      <w:pPr>
        <w:spacing w:after="160" w:line="300" w:lineRule="auto"/>
      </w:pPr>
      <w:r>
        <w:rPr>
          <w:rFonts w:ascii="Segoe UI" w:hAnsi="Segoe UI" w:cs="Segoe UI"/>
          <w:sz w:val="22"/>
          <w:szCs w:val="22"/>
          <w:color w:val="333333"/>
        </w:rPr>
        <w:t xml:space="preserve">The core architecture is identical across all markets: provider gate, patient gate, lender gate, outcome gate, and portfolio circuit breakers. Only the calibration values change based on local regulatory requirements, income verification infrastructure, and insurance system maturity.</w:t>
      </w:r>
    </w:p>
    <w:p>
      <w:pPr>
        <w:keepNext/>
        <w:spacing w:before="360" w:after="160" w:line="288" w:lineRule="auto"/>
      </w:pPr>
      <w:r>
        <w:rPr>
          <w:rFonts w:ascii="Segoe UI" w:hAnsi="Segoe UI" w:cs="Segoe UI"/>
          <w:b/>
          <w:bCs/>
          <w:sz w:val="34"/>
          <w:szCs w:val="34"/>
          <w:color w:val="1A1A1A"/>
        </w:rPr>
        <w:t xml:space="preserve">9.2 Expansion Market Assessment: Five Priority Markets</w:t>
      </w:r>
    </w:p>
    <w:p>
      <w:pPr>
        <w:spacing w:after="160" w:line="300" w:lineRule="auto"/>
      </w:pPr>
      <w:r>
        <w:rPr>
          <w:rFonts w:ascii="Segoe UI" w:hAnsi="Segoe UI" w:cs="Segoe UI"/>
          <w:sz w:val="22"/>
          <w:szCs w:val="22"/>
          <w:color w:val="333333"/>
        </w:rPr>
        <w:t xml:space="preserve">PaySick’s expansion strategy targets five markets selected against six criteria: structural healthcare financing gap, private sector maturity, fintech infrastructure readiness, cost of capital favourability, regulatory alignment with existing compliance architecture, and absence of dominant incumbent. The sequencing prioritises credibility-building in regulated first-world markets alongside volume growth in high-need emerging economies.</w:t>
      </w:r>
    </w:p>
    <w:p>
      <w:pPr>
        <w:keepNext/>
        <w:spacing w:before="280" w:after="100" w:line="288" w:lineRule="auto"/>
      </w:pPr>
      <w:r>
        <w:rPr>
          <w:rFonts w:ascii="Segoe UI" w:hAnsi="Segoe UI" w:cs="Segoe UI"/>
          <w:b/>
          <w:bCs/>
          <w:sz w:val="26"/>
          <w:szCs w:val="26"/>
          <w:color w:val="1A1A1A"/>
        </w:rPr>
        <w:t xml:space="preserve">Market 1: India — The Scale Engine</w:t>
      </w:r>
    </w:p>
    <w:p>
      <w:pPr>
        <w:spacing w:after="160" w:line="300" w:lineRule="auto"/>
      </w:pPr>
      <w:r>
        <w:rPr>
          <w:rFonts w:ascii="Segoe UI" w:hAnsi="Segoe UI" w:cs="Segoe UI"/>
          <w:sz w:val="22"/>
          <w:szCs w:val="22"/>
          <w:color w:val="333333"/>
        </w:rPr>
        <w:t xml:space="preserve">India presents PaySick’s largest volume opportunity globally. Approximately 400 million Indians remain uninsured and financially vulnerable to medical emergencies, and approximately 30% of the country’s population is not eligible for government or many forms of private insurance (NITI Aayog, 2021). Out-of-pocket expenditure accounted for 39.4% of total health expenditure in 2021–22, declining from 62.6% in 2014–15 but still among the highest of any major economy (National Health Accounts, 2022). Healthcare spending for approximately 90 million Indians has surpassed the catastrophic threshold of 10% of household consumption. Private hospitals account for 27% of current health expenditure.</w:t>
      </w:r>
    </w:p>
    <w:p>
      <w:pPr>
        <w:spacing w:after="160" w:line="300" w:lineRule="auto"/>
      </w:pPr>
      <w:r>
        <w:rPr>
          <w:rFonts w:ascii="Segoe UI" w:hAnsi="Segoe UI" w:cs="Segoe UI"/>
          <w:sz w:val="22"/>
          <w:szCs w:val="22"/>
          <w:color w:val="333333"/>
        </w:rPr>
        <w:t xml:space="preserve">India’s infrastructure advantages are substantial. The Unified Payments Interface processed over 12 billion monthly transactions by 2024, providing world-class payment rails. The Account Aggregator framework enables consent-based financial data sharing, solving PaySick’s income verification requirement natively. The Reserve Bank of India’s policy rate of 6.5% creates comparable NIM opportunity to South Africa. India’s ‘missing middle,’ the population too wealthy for Ayushman Bharat but unable to afford private insurance, represents approximately 400 million people, directly analogous to PaySick’s Segment 2 at 20 times the scale of South Africa.</w:t>
      </w:r>
    </w:p>
    <w:p>
      <w:pPr>
        <w:spacing w:after="160" w:line="300" w:lineRule="auto"/>
      </w:pPr>
      <w:r>
        <w:rPr>
          <w:rFonts w:ascii="Segoe UI" w:hAnsi="Segoe UI" w:cs="Segoe UI"/>
          <w:b/>
          <w:bCs/>
          <w:sz w:val="22"/>
          <w:szCs w:val="22"/>
          <w:color w:val="1A1A1A"/>
        </w:rPr>
        <w:t xml:space="preserve">Key risks: </w:t>
      </w:r>
      <w:r>
        <w:rPr>
          <w:rFonts w:ascii="Segoe UI" w:hAnsi="Segoe UI" w:cs="Segoe UI"/>
          <w:sz w:val="22"/>
          <w:szCs w:val="22"/>
          <w:color w:val="333333"/>
        </w:rPr>
        <w:t xml:space="preserve">Regulatory complexity across 28 states, currency depreciation exposure, extreme price sensitivity requiring product re-engineering for micro-loan ticket sizes, and competitive pressure from domestic fintech players.</w:t>
      </w:r>
    </w:p>
    <w:p>
      <w:pPr>
        <w:keepNext/>
        <w:spacing w:before="280" w:after="100" w:line="288" w:lineRule="auto"/>
      </w:pPr>
      <w:r>
        <w:rPr>
          <w:rFonts w:ascii="Segoe UI" w:hAnsi="Segoe UI" w:cs="Segoe UI"/>
          <w:b/>
          <w:bCs/>
          <w:sz w:val="26"/>
          <w:szCs w:val="26"/>
          <w:color w:val="1A1A1A"/>
        </w:rPr>
        <w:t xml:space="preserve">Market 2: United Kingdom — The Waiting-List Arbitrage</w:t>
      </w:r>
    </w:p>
    <w:p>
      <w:pPr>
        <w:spacing w:after="160" w:line="300" w:lineRule="auto"/>
      </w:pPr>
      <w:r>
        <w:rPr>
          <w:rFonts w:ascii="Segoe UI" w:hAnsi="Segoe UI" w:cs="Segoe UI"/>
          <w:sz w:val="22"/>
          <w:szCs w:val="22"/>
          <w:color w:val="333333"/>
        </w:rPr>
        <w:t xml:space="preserve">The United Kingdom represents the most compelling first-world expansion market for PaySick, driven by a structural crisis in the NHS that is actively creating a self-pay patient financing market. The NHS elective care waiting list exceeded 7.36 million cases as of May 2025, with tens of thousands of patients waiting over 18 months for treatment. This backlog has triggered a historic surge in self-funded private healthcare. A 2025 PHIN report found that over 5.2 million UK residents, approximately one in ten adults, now pay for private medical treatment out-of-pocket each year, with the self-pay market growing by 39% since 2022.</w:t>
      </w:r>
    </w:p>
    <w:p>
      <w:pPr>
        <w:spacing w:after="160" w:line="300" w:lineRule="auto"/>
      </w:pPr>
      <w:r>
        <w:rPr>
          <w:rFonts w:ascii="Segoe UI" w:hAnsi="Segoe UI" w:cs="Segoe UI"/>
          <w:sz w:val="22"/>
          <w:szCs w:val="22"/>
          <w:color w:val="333333"/>
        </w:rPr>
        <w:t xml:space="preserve">The average cost of a private hip replacement in the UK is approximately £13,985, placing it well within PaySick’s optimal loan-size range. In 2024, 939,000 people in the UK chose private hospital treatment, a 3% increase on the prior year. Critically, many private hospitals already offer financing partnerships with consumer credit companies, validating the market demand. However, no specialised healthcare-only financing platform has established dominance.</w:t>
      </w:r>
    </w:p>
    <w:p>
      <w:pPr>
        <w:spacing w:after="160" w:line="300" w:lineRule="auto"/>
      </w:pPr>
      <w:r>
        <w:rPr>
          <w:rFonts w:ascii="Segoe UI" w:hAnsi="Segoe UI" w:cs="Segoe UI"/>
          <w:sz w:val="22"/>
          <w:szCs w:val="22"/>
          <w:color w:val="333333"/>
        </w:rPr>
        <w:t xml:space="preserve">The UK offers structural advantages that no emerging market can replicate. The Bank of England base rate sits at 4.5%, providing the lowest cost of capital among all target markets. The Financial Conduct Authority regulatory framework aligns closely with PaySick’s existing NCA compliance architecture. The population is fully banked with mature open banking infrastructure under the Open Banking Implementation Entity. English-speaking eliminates localisation cost entirely. Average loan sizes of £2,000 to £15,000 dramatically improve unit economics compared to emerging market operations. And the reputational signal of operating under FCA regulation transforms every subsequent investor and partnership conversation.</w:t>
      </w:r>
    </w:p>
    <w:p>
      <w:pPr>
        <w:spacing w:after="160" w:line="300" w:lineRule="auto"/>
      </w:pPr>
      <w:r>
        <w:rPr>
          <w:rFonts w:ascii="Segoe UI" w:hAnsi="Segoe UI" w:cs="Segoe UI"/>
          <w:sz w:val="22"/>
          <w:szCs w:val="22"/>
          <w:color w:val="333333"/>
        </w:rPr>
        <w:t xml:space="preserve">The addressable population is substantial: 67 million people have theoretical access to free NHS care, but 7.36 million are actively waiting for treatment. Within this cohort, those with sufficient income to consider self-pay private treatment represent an estimated 15 to 20 million adults.</w:t>
      </w:r>
    </w:p>
    <w:p>
      <w:pPr>
        <w:spacing w:after="160" w:line="300" w:lineRule="auto"/>
      </w:pPr>
      <w:r>
        <w:rPr>
          <w:rFonts w:ascii="Segoe UI" w:hAnsi="Segoe UI" w:cs="Segoe UI"/>
          <w:b/>
          <w:bCs/>
          <w:sz w:val="22"/>
          <w:szCs w:val="22"/>
          <w:color w:val="1A1A1A"/>
        </w:rPr>
        <w:t xml:space="preserve">Key risks: </w:t>
      </w:r>
      <w:r>
        <w:rPr>
          <w:rFonts w:ascii="Segoe UI" w:hAnsi="Segoe UI" w:cs="Segoe UI"/>
          <w:sz w:val="22"/>
          <w:szCs w:val="22"/>
          <w:color w:val="333333"/>
        </w:rPr>
        <w:t xml:space="preserve">Competition from established consumer credit players such as Klarna and Zip, the political sensitivity of healthcare financing in a system built on the principle of free access, and FCA authorisation timelines.</w:t>
      </w:r>
    </w:p>
    <w:p>
      <w:pPr>
        <w:keepNext/>
        <w:spacing w:before="280" w:after="100" w:line="288" w:lineRule="auto"/>
      </w:pPr>
      <w:r>
        <w:rPr>
          <w:rFonts w:ascii="Segoe UI" w:hAnsi="Segoe UI" w:cs="Segoe UI"/>
          <w:b/>
          <w:bCs/>
          <w:sz w:val="26"/>
          <w:szCs w:val="26"/>
          <w:color w:val="1A1A1A"/>
        </w:rPr>
        <w:t xml:space="preserve">Market 3: Australia — The Premium Gap Financing Market</w:t>
      </w:r>
    </w:p>
    <w:p>
      <w:pPr>
        <w:spacing w:after="160" w:line="300" w:lineRule="auto"/>
      </w:pPr>
      <w:r>
        <w:rPr>
          <w:rFonts w:ascii="Segoe UI" w:hAnsi="Segoe UI" w:cs="Segoe UI"/>
          <w:sz w:val="22"/>
          <w:szCs w:val="22"/>
          <w:color w:val="333333"/>
        </w:rPr>
        <w:t xml:space="preserve">Australia mirrors South Africa’s public-private healthcare duality at a significantly higher value per transaction. As of March 2024, 44.8% of the population (12.2 million people) held private hospital treatment cover (APRA, 2024). However, private health insurance in Australia is legally prohibited from covering gap payments for outpatient services covered by Medicare, creating a structural, regulatory gap that insurance by law cannot fill. This is precisely PaySick’s product: financing the gap that insurance does not cover.</w:t>
      </w:r>
    </w:p>
    <w:p>
      <w:pPr>
        <w:spacing w:after="160" w:line="300" w:lineRule="auto"/>
      </w:pPr>
      <w:r>
        <w:rPr>
          <w:rFonts w:ascii="Segoe UI" w:hAnsi="Segoe UI" w:cs="Segoe UI"/>
          <w:sz w:val="22"/>
          <w:szCs w:val="22"/>
          <w:color w:val="333333"/>
        </w:rPr>
        <w:t xml:space="preserve">Gap payments are accelerating. The average gap for known costs rose from $99 to $135 AUD in five years, while unknown costs (not disclosed in advance) jumped from $418 to $685 AUD. Gap payments are rising three times faster than hospital costs. Only 44% of private hospital admissions had zero out-of-pocket fees, meaning the majority of privately treated patients face some gap exposure. Out-of-pocket fees account for 15% of all health expenditure in Australia, almost double the amount contributed by private health insurers.</w:t>
      </w:r>
    </w:p>
    <w:p>
      <w:pPr>
        <w:spacing w:after="160" w:line="300" w:lineRule="auto"/>
      </w:pPr>
      <w:r>
        <w:rPr>
          <w:rFonts w:ascii="Segoe UI" w:hAnsi="Segoe UI" w:cs="Segoe UI"/>
          <w:b/>
          <w:bCs/>
          <w:sz w:val="22"/>
          <w:szCs w:val="22"/>
          <w:color w:val="1A1A1A"/>
        </w:rPr>
        <w:t xml:space="preserve">Key risks: </w:t>
      </w:r>
      <w:r>
        <w:rPr>
          <w:rFonts w:ascii="Segoe UI" w:hAnsi="Segoe UI" w:cs="Segoe UI"/>
          <w:sz w:val="22"/>
          <w:szCs w:val="22"/>
          <w:color w:val="333333"/>
        </w:rPr>
        <w:t xml:space="preserve">Competitive pressure from Afterpay, Zip, and established consumer finance players; regulatory approval timelines; and the need to build provider networks in a market with no existing relationships.</w:t>
      </w:r>
    </w:p>
    <w:p>
      <w:pPr>
        <w:keepNext/>
        <w:spacing w:before="280" w:after="100" w:line="288" w:lineRule="auto"/>
      </w:pPr>
      <w:r>
        <w:rPr>
          <w:rFonts w:ascii="Segoe UI" w:hAnsi="Segoe UI" w:cs="Segoe UI"/>
          <w:b/>
          <w:bCs/>
          <w:sz w:val="26"/>
          <w:szCs w:val="26"/>
          <w:color w:val="1A1A1A"/>
        </w:rPr>
        <w:t xml:space="preserve">Market 4: Kenya — The African Expansion Proof Point</w:t>
      </w:r>
    </w:p>
    <w:p>
      <w:pPr>
        <w:spacing w:after="160" w:line="300" w:lineRule="auto"/>
      </w:pPr>
      <w:r>
        <w:rPr>
          <w:rFonts w:ascii="Segoe UI" w:hAnsi="Segoe UI" w:cs="Segoe UI"/>
          <w:sz w:val="22"/>
          <w:szCs w:val="22"/>
          <w:color w:val="333333"/>
        </w:rPr>
        <w:t xml:space="preserve">Kenya has the most advanced mobile money infrastructure in the world through M-Pesa, solving PaySick’s income verification and payment collection challenges simultaneously. The CarePay platform (M-TIBA) has already connected 5 million people and 4,000 healthcare providers, proving that the healthcare-fintech model works in this market. Kenya’s NHIF covers only a fraction of the population effectively, leaving significant out-of-pocket exposure. The CBK policy rate at 10% creates attractive NIM potential.</w:t>
      </w:r>
    </w:p>
    <w:p>
      <w:pPr>
        <w:spacing w:after="160" w:line="300" w:lineRule="auto"/>
      </w:pPr>
      <w:r>
        <w:rPr>
          <w:rFonts w:ascii="Segoe UI" w:hAnsi="Segoe UI" w:cs="Segoe UI"/>
          <w:sz w:val="22"/>
          <w:szCs w:val="22"/>
          <w:color w:val="333333"/>
        </w:rPr>
        <w:t xml:space="preserve">Kenya functions as the ideal proof-of-scalability market after South Africa: smaller, more controlled, with world-class fintech rails, a functioning credit reference bureau system, and a fintech-friendly regulatory environment. It is also the strategic gateway to East Africa, including Tanzania, Uganda, and Rwanda. The population of 55 million, combined with the East African Community’s 300 million people, provides long-term regional scale.</w:t>
      </w:r>
    </w:p>
    <w:p>
      <w:pPr>
        <w:spacing w:after="160" w:line="300" w:lineRule="auto"/>
      </w:pPr>
      <w:r>
        <w:rPr>
          <w:rFonts w:ascii="Segoe UI" w:hAnsi="Segoe UI" w:cs="Segoe UI"/>
          <w:b/>
          <w:bCs/>
          <w:sz w:val="22"/>
          <w:szCs w:val="22"/>
          <w:color w:val="1A1A1A"/>
        </w:rPr>
        <w:t xml:space="preserve">Key risks: </w:t>
      </w:r>
      <w:r>
        <w:rPr>
          <w:rFonts w:ascii="Segoe UI" w:hAnsi="Segoe UI" w:cs="Segoe UI"/>
          <w:sz w:val="22"/>
          <w:szCs w:val="22"/>
          <w:color w:val="333333"/>
        </w:rPr>
        <w:t xml:space="preserve">Smaller absolute market size limits near-term revenue contribution, political instability cycles, and healthcare provider fragmentation outside Nairobi and Mombasa.</w:t>
      </w:r>
    </w:p>
    <w:p>
      <w:pPr>
        <w:keepNext/>
        <w:spacing w:before="280" w:after="100" w:line="288" w:lineRule="auto"/>
      </w:pPr>
      <w:r>
        <w:rPr>
          <w:rFonts w:ascii="Segoe UI" w:hAnsi="Segoe UI" w:cs="Segoe UI"/>
          <w:b/>
          <w:bCs/>
          <w:sz w:val="26"/>
          <w:szCs w:val="26"/>
          <w:color w:val="1A1A1A"/>
        </w:rPr>
        <w:t xml:space="preserve">Market 5: Philippines — The APAC Gateway</w:t>
      </w:r>
    </w:p>
    <w:p>
      <w:pPr>
        <w:spacing w:after="160" w:line="300" w:lineRule="auto"/>
      </w:pPr>
      <w:r>
        <w:rPr>
          <w:rFonts w:ascii="Segoe UI" w:hAnsi="Segoe UI" w:cs="Segoe UI"/>
          <w:sz w:val="22"/>
          <w:szCs w:val="22"/>
          <w:color w:val="333333"/>
        </w:rPr>
        <w:t xml:space="preserve">The Philippines has 110 million people, a large private hospital sector, and significant out-of-pocket healthcare spending despite PhilHealth’s theoretical universal coverage. In practice, PhilHealth covers only a fraction of actual costs, creating gap-financing demand identical to PaySick’s Segment 1 in South Africa. The country has a strong BPO-driven middle class earning $400 to $1,200 per month, precisely the income bracket where healthcare financing is most needed and most viable. GCash and Maya provide mobile payment infrastructure comparable to M-Pesa. English is widely spoken, reducing localisation costs to near zero. The BSP has created a fintech-friendly regulatory sandbox that accelerates market entry.</w:t>
      </w:r>
    </w:p>
    <w:p>
      <w:pPr>
        <w:spacing w:after="160" w:line="300" w:lineRule="auto"/>
      </w:pPr>
      <w:r>
        <w:rPr>
          <w:rFonts w:ascii="Segoe UI" w:hAnsi="Segoe UI" w:cs="Segoe UI"/>
          <w:sz w:val="22"/>
          <w:szCs w:val="22"/>
          <w:color w:val="333333"/>
        </w:rPr>
        <w:t xml:space="preserve">The Philippines also serves as the strategic gateway to Indonesia (270 million people, similar private-public healthcare dynamics) and Vietnam (100 million people, rapidly growing private sector).</w:t>
      </w:r>
    </w:p>
    <w:p>
      <w:pPr>
        <w:spacing w:after="160" w:line="300" w:lineRule="auto"/>
      </w:pPr>
      <w:r>
        <w:rPr>
          <w:rFonts w:ascii="Segoe UI" w:hAnsi="Segoe UI" w:cs="Segoe UI"/>
          <w:b/>
          <w:bCs/>
          <w:sz w:val="22"/>
          <w:szCs w:val="22"/>
          <w:color w:val="1A1A1A"/>
        </w:rPr>
        <w:t xml:space="preserve">Key risks: </w:t>
      </w:r>
      <w:r>
        <w:rPr>
          <w:rFonts w:ascii="Segoe UI" w:hAnsi="Segoe UI" w:cs="Segoe UI"/>
          <w:sz w:val="22"/>
          <w:szCs w:val="22"/>
          <w:color w:val="333333"/>
        </w:rPr>
        <w:t xml:space="preserve">Typhoon-driven economic disruption, complex island geography complicating provider network development, and competition from GCash’s own lending products entering adjacent verticals.</w:t>
      </w:r>
    </w:p>
    <w:p>
      <w:pPr>
        <w:keepNext/>
        <w:spacing w:before="280" w:after="100" w:line="288" w:lineRule="auto"/>
      </w:pPr>
      <w:r>
        <w:rPr>
          <w:rFonts w:ascii="Segoe UI" w:hAnsi="Segoe UI" w:cs="Segoe UI"/>
          <w:b/>
          <w:bCs/>
          <w:sz w:val="26"/>
          <w:szCs w:val="26"/>
          <w:color w:val="1A1A1A"/>
        </w:rPr>
        <w:t xml:space="preserve">Expansion Market Comparison Matrix</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1500"/>
        <w:gridCol w:w="1500"/>
        <w:gridCol w:w="1500"/>
        <w:gridCol w:w="1500"/>
        <w:gridCol w:w="1500"/>
        <w:gridCol w:w="1526"/>
      </w:tblGrid>
      <w:tr>
        <w:trPr>
          <w:tblHeader/>
        </w:trPr>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Factor</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India</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UK</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Australia</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Kenya</w:t>
            </w:r>
          </w:p>
        </w:tc>
        <w:tc>
          <w:tcPr>
            <w:tcW w:w="1526" w:type="dxa"/>
            <w:shd w:val="clear" w:color="auto" w:fill="2D2D2D"/>
            <w:vAlign w:val="center"/>
          </w:tcPr>
          <w:p>
            <w:pPr>
              <w:spacing w:before="70" w:after="70" w:line="240" w:lineRule="auto"/>
            </w:pPr>
            <w:r>
              <w:rPr>
                <w:rFonts w:ascii="Segoe UI" w:hAnsi="Segoe UI" w:cs="Segoe UI"/>
                <w:b/>
                <w:bCs/>
                <w:sz w:val="18"/>
                <w:szCs w:val="18"/>
                <w:color w:val="FFFFFF"/>
              </w:rPr>
              <w:t xml:space="preserve">Philippines</w:t>
            </w:r>
          </w:p>
        </w:tc>
      </w:tr>
      <w:tr>
        <w:tc>
          <w:tcPr>
            <w:tcW w:w="1500" w:type="dxa"/>
            <w:shd w:val="clear" w:color="auto" w:fill="FFFFFF"/>
            <w:vAlign w:val="center"/>
          </w:tcPr>
          <w:p>
            <w:pPr>
              <w:spacing w:before="60" w:after="60" w:line="240" w:lineRule="auto"/>
            </w:pPr>
            <w:r>
              <w:rPr>
                <w:rFonts w:ascii="Segoe UI" w:hAnsi="Segoe UI" w:cs="Segoe UI"/>
                <w:b/>
                <w:bCs/>
                <w:sz w:val="18"/>
                <w:szCs w:val="18"/>
                <w:color w:val="333333"/>
              </w:rPr>
              <w:t xml:space="preserve">Population</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1.4 billion</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67 million</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26 million</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55 million</w:t>
            </w:r>
          </w:p>
        </w:tc>
        <w:tc>
          <w:tcPr>
            <w:tcW w:w="1526" w:type="dxa"/>
            <w:shd w:val="clear" w:color="auto" w:fill="FFFFFF"/>
            <w:vAlign w:val="center"/>
          </w:tcPr>
          <w:p>
            <w:pPr>
              <w:spacing w:before="60" w:after="60" w:line="240" w:lineRule="auto"/>
            </w:pPr>
            <w:r>
              <w:rPr>
                <w:rFonts w:ascii="Segoe UI" w:hAnsi="Segoe UI" w:cs="Segoe UI"/>
                <w:sz w:val="18"/>
                <w:szCs w:val="18"/>
                <w:color w:val="333333"/>
              </w:rPr>
              <w:t xml:space="preserve">110 million</w:t>
            </w:r>
          </w:p>
        </w:tc>
      </w:tr>
      <w:tr>
        <w:tc>
          <w:tcPr>
            <w:tcW w:w="1500" w:type="dxa"/>
            <w:shd w:val="clear" w:color="auto" w:fill="F8F8F8"/>
            <w:vAlign w:val="center"/>
          </w:tcPr>
          <w:p>
            <w:pPr>
              <w:spacing w:before="60" w:after="60" w:line="240" w:lineRule="auto"/>
            </w:pPr>
            <w:r>
              <w:rPr>
                <w:rFonts w:ascii="Segoe UI" w:hAnsi="Segoe UI" w:cs="Segoe UI"/>
                <w:b/>
                <w:bCs/>
                <w:sz w:val="18"/>
                <w:szCs w:val="18"/>
                <w:color w:val="333333"/>
              </w:rPr>
              <w:t xml:space="preserve">Uninsured (%)</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~60%</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100% NHS, but 7.4M waiting</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55% no PHI</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~80%</w:t>
            </w:r>
          </w:p>
        </w:tc>
        <w:tc>
          <w:tcPr>
            <w:tcW w:w="1526" w:type="dxa"/>
            <w:shd w:val="clear" w:color="auto" w:fill="F8F8F8"/>
            <w:vAlign w:val="center"/>
          </w:tcPr>
          <w:p>
            <w:pPr>
              <w:spacing w:before="60" w:after="60" w:line="240" w:lineRule="auto"/>
            </w:pPr>
            <w:r>
              <w:rPr>
                <w:rFonts w:ascii="Segoe UI" w:hAnsi="Segoe UI" w:cs="Segoe UI"/>
                <w:sz w:val="18"/>
                <w:szCs w:val="18"/>
                <w:color w:val="333333"/>
              </w:rPr>
              <w:t xml:space="preserve">~65%</w:t>
            </w:r>
          </w:p>
        </w:tc>
      </w:tr>
      <w:tr>
        <w:tc>
          <w:tcPr>
            <w:tcW w:w="1500" w:type="dxa"/>
            <w:shd w:val="clear" w:color="auto" w:fill="FFFFFF"/>
            <w:vAlign w:val="center"/>
          </w:tcPr>
          <w:p>
            <w:pPr>
              <w:spacing w:before="60" w:after="60" w:line="240" w:lineRule="auto"/>
            </w:pPr>
            <w:r>
              <w:rPr>
                <w:rFonts w:ascii="Segoe UI" w:hAnsi="Segoe UI" w:cs="Segoe UI"/>
                <w:b/>
                <w:bCs/>
                <w:sz w:val="18"/>
                <w:szCs w:val="18"/>
                <w:color w:val="333333"/>
              </w:rPr>
              <w:t xml:space="preserve">Policy rate</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6.5%</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4.5%</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4.35%</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10%</w:t>
            </w:r>
          </w:p>
        </w:tc>
        <w:tc>
          <w:tcPr>
            <w:tcW w:w="1526" w:type="dxa"/>
            <w:shd w:val="clear" w:color="auto" w:fill="FFFFFF"/>
            <w:vAlign w:val="center"/>
          </w:tcPr>
          <w:p>
            <w:pPr>
              <w:spacing w:before="60" w:after="60" w:line="240" w:lineRule="auto"/>
            </w:pPr>
            <w:r>
              <w:rPr>
                <w:rFonts w:ascii="Segoe UI" w:hAnsi="Segoe UI" w:cs="Segoe UI"/>
                <w:sz w:val="18"/>
                <w:szCs w:val="18"/>
                <w:color w:val="333333"/>
              </w:rPr>
              <w:t xml:space="preserve">6.5%</w:t>
            </w:r>
          </w:p>
        </w:tc>
      </w:tr>
      <w:tr>
        <w:tc>
          <w:tcPr>
            <w:tcW w:w="1500" w:type="dxa"/>
            <w:shd w:val="clear" w:color="auto" w:fill="F8F8F8"/>
            <w:vAlign w:val="center"/>
          </w:tcPr>
          <w:p>
            <w:pPr>
              <w:spacing w:before="60" w:after="60" w:line="240" w:lineRule="auto"/>
            </w:pPr>
            <w:r>
              <w:rPr>
                <w:rFonts w:ascii="Segoe UI" w:hAnsi="Segoe UI" w:cs="Segoe UI"/>
                <w:b/>
                <w:bCs/>
                <w:sz w:val="18"/>
                <w:szCs w:val="18"/>
                <w:color w:val="333333"/>
              </w:rPr>
              <w:t xml:space="preserve">Avg. loan size</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$150–$2K</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$2K–$18K</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$800–$4K</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$50–$500</w:t>
            </w:r>
          </w:p>
        </w:tc>
        <w:tc>
          <w:tcPr>
            <w:tcW w:w="1526" w:type="dxa"/>
            <w:shd w:val="clear" w:color="auto" w:fill="F8F8F8"/>
            <w:vAlign w:val="center"/>
          </w:tcPr>
          <w:p>
            <w:pPr>
              <w:spacing w:before="60" w:after="60" w:line="240" w:lineRule="auto"/>
            </w:pPr>
            <w:r>
              <w:rPr>
                <w:rFonts w:ascii="Segoe UI" w:hAnsi="Segoe UI" w:cs="Segoe UI"/>
                <w:sz w:val="18"/>
                <w:szCs w:val="18"/>
                <w:color w:val="333333"/>
              </w:rPr>
              <w:t xml:space="preserve">$100–$1.5K</w:t>
            </w:r>
          </w:p>
        </w:tc>
      </w:tr>
      <w:tr>
        <w:tc>
          <w:tcPr>
            <w:tcW w:w="1500" w:type="dxa"/>
            <w:shd w:val="clear" w:color="auto" w:fill="FFFFFF"/>
            <w:vAlign w:val="center"/>
          </w:tcPr>
          <w:p>
            <w:pPr>
              <w:spacing w:before="60" w:after="60" w:line="240" w:lineRule="auto"/>
            </w:pPr>
            <w:r>
              <w:rPr>
                <w:rFonts w:ascii="Segoe UI" w:hAnsi="Segoe UI" w:cs="Segoe UI"/>
                <w:b/>
                <w:bCs/>
                <w:sz w:val="18"/>
                <w:szCs w:val="18"/>
                <w:color w:val="333333"/>
              </w:rPr>
              <w:t xml:space="preserve">Fintech infra.</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Very high (UPI)</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Very high (Open Banking)</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Very high (NPP)</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Very high (M-Pesa)</w:t>
            </w:r>
          </w:p>
        </w:tc>
        <w:tc>
          <w:tcPr>
            <w:tcW w:w="1526" w:type="dxa"/>
            <w:shd w:val="clear" w:color="auto" w:fill="FFFFFF"/>
            <w:vAlign w:val="center"/>
          </w:tcPr>
          <w:p>
            <w:pPr>
              <w:spacing w:before="60" w:after="60" w:line="240" w:lineRule="auto"/>
            </w:pPr>
            <w:r>
              <w:rPr>
                <w:rFonts w:ascii="Segoe UI" w:hAnsi="Segoe UI" w:cs="Segoe UI"/>
                <w:sz w:val="18"/>
                <w:szCs w:val="18"/>
                <w:color w:val="333333"/>
              </w:rPr>
              <w:t xml:space="preserve">High (GCash)</w:t>
            </w:r>
          </w:p>
        </w:tc>
      </w:tr>
      <w:tr>
        <w:tc>
          <w:tcPr>
            <w:tcW w:w="1500" w:type="dxa"/>
            <w:shd w:val="clear" w:color="auto" w:fill="F8F8F8"/>
            <w:vAlign w:val="center"/>
          </w:tcPr>
          <w:p>
            <w:pPr>
              <w:spacing w:before="60" w:after="60" w:line="240" w:lineRule="auto"/>
            </w:pPr>
            <w:r>
              <w:rPr>
                <w:rFonts w:ascii="Segoe UI" w:hAnsi="Segoe UI" w:cs="Segoe UI"/>
                <w:b/>
                <w:bCs/>
                <w:sz w:val="18"/>
                <w:szCs w:val="18"/>
                <w:color w:val="333333"/>
              </w:rPr>
              <w:t xml:space="preserve">Incumbent risk</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Low</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Medium</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Medium</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Low</w:t>
            </w:r>
          </w:p>
        </w:tc>
        <w:tc>
          <w:tcPr>
            <w:tcW w:w="1526" w:type="dxa"/>
            <w:shd w:val="clear" w:color="auto" w:fill="F8F8F8"/>
            <w:vAlign w:val="center"/>
          </w:tcPr>
          <w:p>
            <w:pPr>
              <w:spacing w:before="60" w:after="60" w:line="240" w:lineRule="auto"/>
            </w:pPr>
            <w:r>
              <w:rPr>
                <w:rFonts w:ascii="Segoe UI" w:hAnsi="Segoe UI" w:cs="Segoe UI"/>
                <w:sz w:val="18"/>
                <w:szCs w:val="18"/>
                <w:color w:val="333333"/>
              </w:rPr>
              <w:t xml:space="preserve">Very low</w:t>
            </w:r>
          </w:p>
        </w:tc>
      </w:tr>
      <w:tr>
        <w:tc>
          <w:tcPr>
            <w:tcW w:w="1500" w:type="dxa"/>
            <w:shd w:val="clear" w:color="auto" w:fill="FFFFFF"/>
            <w:vAlign w:val="center"/>
          </w:tcPr>
          <w:p>
            <w:pPr>
              <w:spacing w:before="60" w:after="60" w:line="240" w:lineRule="auto"/>
            </w:pPr>
            <w:r>
              <w:rPr>
                <w:rFonts w:ascii="Segoe UI" w:hAnsi="Segoe UI" w:cs="Segoe UI"/>
                <w:b/>
                <w:bCs/>
                <w:sz w:val="18"/>
                <w:szCs w:val="18"/>
                <w:color w:val="333333"/>
              </w:rPr>
              <w:t xml:space="preserve">Strategic role</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Scale engine</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Credibility anchor</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Premium value</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African proof</w:t>
            </w:r>
          </w:p>
        </w:tc>
        <w:tc>
          <w:tcPr>
            <w:tcW w:w="1526" w:type="dxa"/>
            <w:shd w:val="clear" w:color="auto" w:fill="FFFFFF"/>
            <w:vAlign w:val="center"/>
          </w:tcPr>
          <w:p>
            <w:pPr>
              <w:spacing w:before="60" w:after="60" w:line="240" w:lineRule="auto"/>
            </w:pPr>
            <w:r>
              <w:rPr>
                <w:rFonts w:ascii="Segoe UI" w:hAnsi="Segoe UI" w:cs="Segoe UI"/>
                <w:sz w:val="18"/>
                <w:szCs w:val="18"/>
                <w:color w:val="333333"/>
              </w:rPr>
              <w:t xml:space="preserve">APAC gateway</w:t>
            </w:r>
          </w:p>
        </w:tc>
      </w:tr>
    </w:tbl>
    <w:p>
      <w:pPr>
        <w:spacing w:after="160" w:line="300" w:lineRule="auto"/>
      </w:pPr>
      <w:r>
        <w:rPr>
          <w:rFonts w:ascii="Segoe UI" w:hAnsi="Segoe UI" w:cs="Segoe UI"/>
          <w:b/>
          <w:bCs/>
          <w:sz w:val="22"/>
          <w:szCs w:val="22"/>
          <w:color w:val="1A1A1A"/>
        </w:rPr>
        <w:t xml:space="preserve">Recommended sequencing: </w:t>
      </w:r>
      <w:r>
        <w:rPr>
          <w:rFonts w:ascii="Segoe UI" w:hAnsi="Segoe UI" w:cs="Segoe UI"/>
          <w:sz w:val="22"/>
          <w:szCs w:val="22"/>
          <w:color w:val="333333"/>
        </w:rPr>
        <w:t xml:space="preserve">South Africa (live) → Kenya (Year 2, African expansion proof) → United Kingdom (Year 2–3, credibility anchor under FCA regulation) → India (Year 3–4, global scale play) → Philippines (Year 4–5, APAC gateway). The UK at Phase 2–3 is deliberate: operating under FCA regulation fundamentally transforms investor conversations and validates the model in a high-income, high-trust environment.</w:t>
      </w:r>
    </w:p>
    <w:p>
      <w:pPr>
        <w:keepNext/>
        <w:spacing w:before="360" w:after="160" w:line="288" w:lineRule="auto"/>
      </w:pPr>
      <w:r>
        <w:rPr>
          <w:rFonts w:ascii="Segoe UI" w:hAnsi="Segoe UI" w:cs="Segoe UI"/>
          <w:b/>
          <w:bCs/>
          <w:sz w:val="34"/>
          <w:szCs w:val="34"/>
          <w:color w:val="1A1A1A"/>
        </w:rPr>
        <w:t xml:space="preserve">9.3 Procedure Profitability Analysis: South Africa Launch Verticals</w:t>
      </w:r>
    </w:p>
    <w:p>
      <w:pPr>
        <w:spacing w:after="160" w:line="300" w:lineRule="auto"/>
      </w:pPr>
      <w:r>
        <w:rPr>
          <w:rFonts w:ascii="Segoe UI" w:hAnsi="Segoe UI" w:cs="Segoe UI"/>
          <w:sz w:val="22"/>
          <w:szCs w:val="22"/>
          <w:color w:val="333333"/>
        </w:rPr>
        <w:t xml:space="preserve">Not all medical procedures present equal opportunity for PaySick. Profitability is a function of five variables: procedure cost (which determines loan size and absolute margin), predictability of pricing (which enables accurate underwriting), elective versus urgent nature (which determines borrower risk profile), provider concentration (which enables efficient network development), and frequency (which drives volume).</w:t>
      </w:r>
    </w:p>
    <w:p>
      <w:pPr>
        <w:keepNext/>
        <w:spacing w:before="280" w:after="100" w:line="288" w:lineRule="auto"/>
      </w:pPr>
      <w:r>
        <w:rPr>
          <w:rFonts w:ascii="Segoe UI" w:hAnsi="Segoe UI" w:cs="Segoe UI"/>
          <w:b/>
          <w:bCs/>
          <w:sz w:val="26"/>
          <w:szCs w:val="26"/>
          <w:color w:val="1A1A1A"/>
        </w:rPr>
        <w:t xml:space="preserve">Tier 1: High-Volume Elective Procedures (Highest Profitability)</w:t>
      </w:r>
    </w:p>
    <w:p>
      <w:pPr>
        <w:spacing w:after="160" w:line="300" w:lineRule="auto"/>
      </w:pPr>
      <w:r>
        <w:rPr>
          <w:rFonts w:ascii="Segoe UI" w:hAnsi="Segoe UI" w:cs="Segoe UI"/>
          <w:sz w:val="22"/>
          <w:szCs w:val="22"/>
          <w:color w:val="333333"/>
        </w:rPr>
        <w:t xml:space="preserve">Dental procedures represent PaySick’s single most profitable launch vertical. South Africa has only 6,866 registered dentists serving 63.2 million people, creating acute scarcity in the public sector and driving demand to private practitioners. Procedure costs range from R3,000 for routine restorative work to R80,000 or more for dental implants and full-mouth rehabilitation. Critically, dental procedures are overwhelmingly elective and planned, meaning patients book weeks or months in advance, the strongest signal of convenience borrowing.</w:t>
      </w:r>
    </w:p>
    <w:p>
      <w:pPr>
        <w:spacing w:after="160" w:line="300" w:lineRule="auto"/>
      </w:pPr>
      <w:r>
        <w:rPr>
          <w:rFonts w:ascii="Segoe UI" w:hAnsi="Segoe UI" w:cs="Segoe UI"/>
          <w:sz w:val="22"/>
          <w:szCs w:val="22"/>
          <w:color w:val="333333"/>
        </w:rPr>
        <w:t xml:space="preserve">Ophthalmology is the second-highest priority. Laser eye surgery (LASIK) ranges from R12,000 to R30,000 per eye, cataract surgery from R15,000 to R45,000. These are almost exclusively elective, planned well in advance, performed by specialist practices with standardised pricing, and carry negligible clinical complication risk.</w:t>
      </w:r>
    </w:p>
    <w:p>
      <w:pPr>
        <w:spacing w:after="160" w:line="300" w:lineRule="auto"/>
      </w:pPr>
      <w:r>
        <w:rPr>
          <w:rFonts w:ascii="Segoe UI" w:hAnsi="Segoe UI" w:cs="Segoe UI"/>
          <w:sz w:val="22"/>
          <w:szCs w:val="22"/>
          <w:color w:val="333333"/>
        </w:rPr>
        <w:t xml:space="preserve">Cosmetic and aesthetic surgery rounds out Tier 1. South Africa is a recognised global destination for cosmetic procedures, with rhinoplasty (R30,000 to R80,000), breast augmentation (R45,000 to R90,000), liposuction (R25,000 to R60,000), and abdominoplasty (R40,000 to R100,000) representing the core volume drivers. These are 100% elective, 100% planned, and 100% self-pay.</w:t>
      </w:r>
    </w:p>
    <w:p>
      <w:pPr>
        <w:keepNext/>
        <w:spacing w:before="280" w:after="100" w:line="288" w:lineRule="auto"/>
      </w:pPr>
      <w:r>
        <w:rPr>
          <w:rFonts w:ascii="Segoe UI" w:hAnsi="Segoe UI" w:cs="Segoe UI"/>
          <w:b/>
          <w:bCs/>
          <w:sz w:val="26"/>
          <w:szCs w:val="26"/>
          <w:color w:val="1A1A1A"/>
        </w:rPr>
        <w:t xml:space="preserve">Tier 2: Medium-Ticket Gap Financing (Strong Profitability)</w:t>
      </w:r>
    </w:p>
    <w:p>
      <w:pPr>
        <w:spacing w:after="160" w:line="300" w:lineRule="auto"/>
      </w:pPr>
      <w:r>
        <w:rPr>
          <w:rFonts w:ascii="Segoe UI" w:hAnsi="Segoe UI" w:cs="Segoe UI"/>
          <w:sz w:val="22"/>
          <w:szCs w:val="22"/>
          <w:color w:val="333333"/>
        </w:rPr>
        <w:t xml:space="preserve">Orthopaedic procedures represent the largest gap financing opportunity by value. Hip replacements (R80,000 to R160,000), knee replacements (R70,000 to R140,000), ACL reconstruction (R40,000 to R90,000), and spinal procedures (R60,000 to R250,000) are partially covered by medical aid but almost always generate significant out-of-pocket gaps of R15,000 to R50,000.</w:t>
      </w:r>
    </w:p>
    <w:p>
      <w:pPr>
        <w:spacing w:after="160" w:line="300" w:lineRule="auto"/>
      </w:pPr>
      <w:r>
        <w:rPr>
          <w:rFonts w:ascii="Segoe UI" w:hAnsi="Segoe UI" w:cs="Segoe UI"/>
          <w:sz w:val="22"/>
          <w:szCs w:val="22"/>
          <w:color w:val="333333"/>
        </w:rPr>
        <w:t xml:space="preserve">Fertility treatment occupies a unique profitability position. IVF cycles cost R30,000 to R60,000 per cycle, with many patients requiring two to four cycles. Most medical aid schemes exclude or severely limit fertility benefits. The patient demographic is typically dual-income couples aged 30 to 42 with stable employment and strong financial profiles. PaySick’s revolving Health Line product is particularly well-suited.</w:t>
      </w:r>
    </w:p>
    <w:p>
      <w:pPr>
        <w:keepNext/>
        <w:spacing w:before="280" w:after="100" w:line="288" w:lineRule="auto"/>
      </w:pPr>
      <w:r>
        <w:rPr>
          <w:rFonts w:ascii="Segoe UI" w:hAnsi="Segoe UI" w:cs="Segoe UI"/>
          <w:b/>
          <w:bCs/>
          <w:sz w:val="26"/>
          <w:szCs w:val="26"/>
          <w:color w:val="1A1A1A"/>
        </w:rPr>
        <w:t xml:space="preserve">Tier 3: High-Volume Access Financing (Volume Play)</w:t>
      </w:r>
    </w:p>
    <w:p>
      <w:pPr>
        <w:spacing w:after="160" w:line="300" w:lineRule="auto"/>
      </w:pPr>
      <w:r>
        <w:rPr>
          <w:rFonts w:ascii="Segoe UI" w:hAnsi="Segoe UI" w:cs="Segoe UI"/>
          <w:sz w:val="22"/>
          <w:szCs w:val="22"/>
          <w:color w:val="333333"/>
        </w:rPr>
        <w:t xml:space="preserve">General surgery and gastroenterology encompasses procedures such as hernia repair (R25,000 to R55,000), gallbladder removal (R30,000 to R60,000), appendectomy (R25,000 to R50,000), and endoscopy or colonoscopy (R8,000 to R20,000). These are semi-urgent and function as a volume driver for Segment 2 lending.</w:t>
      </w:r>
    </w:p>
    <w:p>
      <w:pPr>
        <w:spacing w:after="160" w:line="300" w:lineRule="auto"/>
      </w:pPr>
      <w:r>
        <w:rPr>
          <w:rFonts w:ascii="Segoe UI" w:hAnsi="Segoe UI" w:cs="Segoe UI"/>
          <w:sz w:val="22"/>
          <w:szCs w:val="22"/>
          <w:color w:val="333333"/>
        </w:rPr>
        <w:t xml:space="preserve">Maternity and obstetric care represents the highest-frequency procedure category. Private maternity packages range from R25,000 for a natural delivery to R45,000 or more for caesarean section. With South Africa’s caesarean rate in private hospitals exceeding 70%, the average maternity loan is approximately R35,000. This category functions as a patient acquisition channel: a positive maternity financing experience creates lifetime PaySick loyalty.</w:t>
      </w:r>
    </w:p>
    <w:p>
      <w:pPr>
        <w:keepNext/>
        <w:spacing w:before="280" w:after="100" w:line="288" w:lineRule="auto"/>
      </w:pPr>
      <w:r>
        <w:rPr>
          <w:rFonts w:ascii="Segoe UI" w:hAnsi="Segoe UI" w:cs="Segoe UI"/>
          <w:b/>
          <w:bCs/>
          <w:sz w:val="26"/>
          <w:szCs w:val="26"/>
          <w:color w:val="1A1A1A"/>
        </w:rPr>
        <w:t xml:space="preserve">Procedure Priority Matrix</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2000"/>
        <w:gridCol w:w="1800"/>
        <w:gridCol w:w="1500"/>
        <w:gridCol w:w="1800"/>
        <w:gridCol w:w="1926"/>
      </w:tblGrid>
      <w:tr>
        <w:trPr>
          <w:tblHeader/>
        </w:trPr>
        <w:tc>
          <w:tcPr>
            <w:tcW w:w="2000" w:type="dxa"/>
            <w:shd w:val="clear" w:color="auto" w:fill="2D2D2D"/>
            <w:vAlign w:val="center"/>
          </w:tcPr>
          <w:p>
            <w:pPr>
              <w:spacing w:before="70" w:after="70" w:line="240" w:lineRule="auto"/>
            </w:pPr>
            <w:r>
              <w:rPr>
                <w:rFonts w:ascii="Segoe UI" w:hAnsi="Segoe UI" w:cs="Segoe UI"/>
                <w:b/>
                <w:bCs/>
                <w:sz w:val="18"/>
                <w:szCs w:val="18"/>
                <w:color w:val="FFFFFF"/>
              </w:rPr>
              <w:t xml:space="preserve">Procedure Category</w:t>
            </w:r>
          </w:p>
        </w:tc>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Avg. Loan Size</w:t>
            </w:r>
          </w:p>
        </w:tc>
        <w:tc>
          <w:tcPr>
            <w:tcW w:w="1500" w:type="dxa"/>
            <w:shd w:val="clear" w:color="auto" w:fill="2D2D2D"/>
            <w:vAlign w:val="center"/>
          </w:tcPr>
          <w:p>
            <w:pPr>
              <w:spacing w:before="70" w:after="70" w:line="240" w:lineRule="auto"/>
            </w:pPr>
            <w:r>
              <w:rPr>
                <w:rFonts w:ascii="Segoe UI" w:hAnsi="Segoe UI" w:cs="Segoe UI"/>
                <w:b/>
                <w:bCs/>
                <w:sz w:val="18"/>
                <w:szCs w:val="18"/>
                <w:color w:val="FFFFFF"/>
              </w:rPr>
              <w:t xml:space="preserve">Elective %</w:t>
            </w:r>
          </w:p>
        </w:tc>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Expected PD</w:t>
            </w:r>
          </w:p>
        </w:tc>
        <w:tc>
          <w:tcPr>
            <w:tcW w:w="1926" w:type="dxa"/>
            <w:shd w:val="clear" w:color="auto" w:fill="2D2D2D"/>
            <w:vAlign w:val="center"/>
          </w:tcPr>
          <w:p>
            <w:pPr>
              <w:spacing w:before="70" w:after="70" w:line="240" w:lineRule="auto"/>
            </w:pPr>
            <w:r>
              <w:rPr>
                <w:rFonts w:ascii="Segoe UI" w:hAnsi="Segoe UI" w:cs="Segoe UI"/>
                <w:b/>
                <w:bCs/>
                <w:sz w:val="18"/>
                <w:szCs w:val="18"/>
                <w:color w:val="FFFFFF"/>
              </w:rPr>
              <w:t xml:space="preserve">Profitability</w:t>
            </w:r>
          </w:p>
        </w:tc>
      </w:tr>
      <w:tr>
        <w:tc>
          <w:tcPr>
            <w:tcW w:w="2000" w:type="dxa"/>
            <w:shd w:val="clear" w:color="auto" w:fill="FFFFFF"/>
            <w:vAlign w:val="center"/>
          </w:tcPr>
          <w:p>
            <w:pPr>
              <w:spacing w:before="60" w:after="60" w:line="240" w:lineRule="auto"/>
            </w:pPr>
            <w:r>
              <w:rPr>
                <w:rFonts w:ascii="Segoe UI" w:hAnsi="Segoe UI" w:cs="Segoe UI"/>
                <w:b/>
                <w:bCs/>
                <w:sz w:val="18"/>
                <w:szCs w:val="18"/>
                <w:color w:val="333333"/>
              </w:rPr>
              <w:t xml:space="preserve">Dental</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R8K – R35K</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90%+</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1.0 – 2.0%</w:t>
            </w:r>
          </w:p>
        </w:tc>
        <w:tc>
          <w:tcPr>
            <w:tcW w:w="1926" w:type="dxa"/>
            <w:shd w:val="clear" w:color="auto" w:fill="FFFFFF"/>
            <w:vAlign w:val="center"/>
          </w:tcPr>
          <w:p>
            <w:pPr>
              <w:spacing w:before="60" w:after="60" w:line="240" w:lineRule="auto"/>
            </w:pPr>
            <w:r>
              <w:rPr>
                <w:rFonts w:ascii="Segoe UI" w:hAnsi="Segoe UI" w:cs="Segoe UI"/>
                <w:sz w:val="18"/>
                <w:szCs w:val="18"/>
                <w:color w:val="333333"/>
              </w:rPr>
              <w:t xml:space="preserve">Very High</w:t>
            </w:r>
          </w:p>
        </w:tc>
      </w:tr>
      <w:tr>
        <w:tc>
          <w:tcPr>
            <w:tcW w:w="2000" w:type="dxa"/>
            <w:shd w:val="clear" w:color="auto" w:fill="F8F8F8"/>
            <w:vAlign w:val="center"/>
          </w:tcPr>
          <w:p>
            <w:pPr>
              <w:spacing w:before="60" w:after="60" w:line="240" w:lineRule="auto"/>
            </w:pPr>
            <w:r>
              <w:rPr>
                <w:rFonts w:ascii="Segoe UI" w:hAnsi="Segoe UI" w:cs="Segoe UI"/>
                <w:b/>
                <w:bCs/>
                <w:sz w:val="18"/>
                <w:szCs w:val="18"/>
                <w:color w:val="333333"/>
              </w:rPr>
              <w:t xml:space="preserve">Ophthalmology</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R12K – R45K</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95%+</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1.0 – 1.5%</w:t>
            </w:r>
          </w:p>
        </w:tc>
        <w:tc>
          <w:tcPr>
            <w:tcW w:w="1926" w:type="dxa"/>
            <w:shd w:val="clear" w:color="auto" w:fill="F8F8F8"/>
            <w:vAlign w:val="center"/>
          </w:tcPr>
          <w:p>
            <w:pPr>
              <w:spacing w:before="60" w:after="60" w:line="240" w:lineRule="auto"/>
            </w:pPr>
            <w:r>
              <w:rPr>
                <w:rFonts w:ascii="Segoe UI" w:hAnsi="Segoe UI" w:cs="Segoe UI"/>
                <w:sz w:val="18"/>
                <w:szCs w:val="18"/>
                <w:color w:val="333333"/>
              </w:rPr>
              <w:t xml:space="preserve">Very High</w:t>
            </w:r>
          </w:p>
        </w:tc>
      </w:tr>
      <w:tr>
        <w:tc>
          <w:tcPr>
            <w:tcW w:w="2000" w:type="dxa"/>
            <w:shd w:val="clear" w:color="auto" w:fill="FFFFFF"/>
            <w:vAlign w:val="center"/>
          </w:tcPr>
          <w:p>
            <w:pPr>
              <w:spacing w:before="60" w:after="60" w:line="240" w:lineRule="auto"/>
            </w:pPr>
            <w:r>
              <w:rPr>
                <w:rFonts w:ascii="Segoe UI" w:hAnsi="Segoe UI" w:cs="Segoe UI"/>
                <w:b/>
                <w:bCs/>
                <w:sz w:val="18"/>
                <w:szCs w:val="18"/>
                <w:color w:val="333333"/>
              </w:rPr>
              <w:t xml:space="preserve">Cosmetic surgery</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R25K – R100K</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100%</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0.8 – 1.5%</w:t>
            </w:r>
          </w:p>
        </w:tc>
        <w:tc>
          <w:tcPr>
            <w:tcW w:w="1926" w:type="dxa"/>
            <w:shd w:val="clear" w:color="auto" w:fill="FFFFFF"/>
            <w:vAlign w:val="center"/>
          </w:tcPr>
          <w:p>
            <w:pPr>
              <w:spacing w:before="60" w:after="60" w:line="240" w:lineRule="auto"/>
            </w:pPr>
            <w:r>
              <w:rPr>
                <w:rFonts w:ascii="Segoe UI" w:hAnsi="Segoe UI" w:cs="Segoe UI"/>
                <w:sz w:val="18"/>
                <w:szCs w:val="18"/>
                <w:color w:val="333333"/>
              </w:rPr>
              <w:t xml:space="preserve">Very High</w:t>
            </w:r>
          </w:p>
        </w:tc>
      </w:tr>
      <w:tr>
        <w:tc>
          <w:tcPr>
            <w:tcW w:w="2000" w:type="dxa"/>
            <w:shd w:val="clear" w:color="auto" w:fill="F8F8F8"/>
            <w:vAlign w:val="center"/>
          </w:tcPr>
          <w:p>
            <w:pPr>
              <w:spacing w:before="60" w:after="60" w:line="240" w:lineRule="auto"/>
            </w:pPr>
            <w:r>
              <w:rPr>
                <w:rFonts w:ascii="Segoe UI" w:hAnsi="Segoe UI" w:cs="Segoe UI"/>
                <w:b/>
                <w:bCs/>
                <w:sz w:val="18"/>
                <w:szCs w:val="18"/>
                <w:color w:val="333333"/>
              </w:rPr>
              <w:t xml:space="preserve">Orthopaedics (gap)</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R15K – R50K gap</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70%</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1.5 – 2.5%</w:t>
            </w:r>
          </w:p>
        </w:tc>
        <w:tc>
          <w:tcPr>
            <w:tcW w:w="1926" w:type="dxa"/>
            <w:shd w:val="clear" w:color="auto" w:fill="F8F8F8"/>
            <w:vAlign w:val="center"/>
          </w:tcPr>
          <w:p>
            <w:pPr>
              <w:spacing w:before="60" w:after="60" w:line="240" w:lineRule="auto"/>
            </w:pPr>
            <w:r>
              <w:rPr>
                <w:rFonts w:ascii="Segoe UI" w:hAnsi="Segoe UI" w:cs="Segoe UI"/>
                <w:sz w:val="18"/>
                <w:szCs w:val="18"/>
                <w:color w:val="333333"/>
              </w:rPr>
              <w:t xml:space="preserve">High</w:t>
            </w:r>
          </w:p>
        </w:tc>
      </w:tr>
      <w:tr>
        <w:tc>
          <w:tcPr>
            <w:tcW w:w="2000" w:type="dxa"/>
            <w:shd w:val="clear" w:color="auto" w:fill="FFFFFF"/>
            <w:vAlign w:val="center"/>
          </w:tcPr>
          <w:p>
            <w:pPr>
              <w:spacing w:before="60" w:after="60" w:line="240" w:lineRule="auto"/>
            </w:pPr>
            <w:r>
              <w:rPr>
                <w:rFonts w:ascii="Segoe UI" w:hAnsi="Segoe UI" w:cs="Segoe UI"/>
                <w:b/>
                <w:bCs/>
                <w:sz w:val="18"/>
                <w:szCs w:val="18"/>
                <w:color w:val="333333"/>
              </w:rPr>
              <w:t xml:space="preserve">Fertility / IVF</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R30K – R60K/cycle</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100%</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1.5 – 2.0%</w:t>
            </w:r>
          </w:p>
        </w:tc>
        <w:tc>
          <w:tcPr>
            <w:tcW w:w="1926" w:type="dxa"/>
            <w:shd w:val="clear" w:color="auto" w:fill="FFFFFF"/>
            <w:vAlign w:val="center"/>
          </w:tcPr>
          <w:p>
            <w:pPr>
              <w:spacing w:before="60" w:after="60" w:line="240" w:lineRule="auto"/>
            </w:pPr>
            <w:r>
              <w:rPr>
                <w:rFonts w:ascii="Segoe UI" w:hAnsi="Segoe UI" w:cs="Segoe UI"/>
                <w:sz w:val="18"/>
                <w:szCs w:val="18"/>
                <w:color w:val="333333"/>
              </w:rPr>
              <w:t xml:space="preserve">High</w:t>
            </w:r>
          </w:p>
        </w:tc>
      </w:tr>
      <w:tr>
        <w:tc>
          <w:tcPr>
            <w:tcW w:w="2000" w:type="dxa"/>
            <w:shd w:val="clear" w:color="auto" w:fill="F8F8F8"/>
            <w:vAlign w:val="center"/>
          </w:tcPr>
          <w:p>
            <w:pPr>
              <w:spacing w:before="60" w:after="60" w:line="240" w:lineRule="auto"/>
            </w:pPr>
            <w:r>
              <w:rPr>
                <w:rFonts w:ascii="Segoe UI" w:hAnsi="Segoe UI" w:cs="Segoe UI"/>
                <w:b/>
                <w:bCs/>
                <w:sz w:val="18"/>
                <w:szCs w:val="18"/>
                <w:color w:val="333333"/>
              </w:rPr>
              <w:t xml:space="preserve">General surgery</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R25K – R60K</w:t>
            </w:r>
          </w:p>
        </w:tc>
        <w:tc>
          <w:tcPr>
            <w:tcW w:w="1500" w:type="dxa"/>
            <w:shd w:val="clear" w:color="auto" w:fill="F8F8F8"/>
            <w:vAlign w:val="center"/>
          </w:tcPr>
          <w:p>
            <w:pPr>
              <w:spacing w:before="60" w:after="60" w:line="240" w:lineRule="auto"/>
            </w:pPr>
            <w:r>
              <w:rPr>
                <w:rFonts w:ascii="Segoe UI" w:hAnsi="Segoe UI" w:cs="Segoe UI"/>
                <w:sz w:val="18"/>
                <w:szCs w:val="18"/>
                <w:color w:val="333333"/>
              </w:rPr>
              <w:t xml:space="preserve">40%</w:t>
            </w:r>
          </w:p>
        </w:tc>
        <w:tc>
          <w:tcPr>
            <w:tcW w:w="1800" w:type="dxa"/>
            <w:shd w:val="clear" w:color="auto" w:fill="F8F8F8"/>
            <w:vAlign w:val="center"/>
          </w:tcPr>
          <w:p>
            <w:pPr>
              <w:spacing w:before="60" w:after="60" w:line="240" w:lineRule="auto"/>
            </w:pPr>
            <w:r>
              <w:rPr>
                <w:rFonts w:ascii="Segoe UI" w:hAnsi="Segoe UI" w:cs="Segoe UI"/>
                <w:sz w:val="18"/>
                <w:szCs w:val="18"/>
                <w:color w:val="333333"/>
              </w:rPr>
              <w:t xml:space="preserve">2.5 – 4.0%</w:t>
            </w:r>
          </w:p>
        </w:tc>
        <w:tc>
          <w:tcPr>
            <w:tcW w:w="1926" w:type="dxa"/>
            <w:shd w:val="clear" w:color="auto" w:fill="F8F8F8"/>
            <w:vAlign w:val="center"/>
          </w:tcPr>
          <w:p>
            <w:pPr>
              <w:spacing w:before="60" w:after="60" w:line="240" w:lineRule="auto"/>
            </w:pPr>
            <w:r>
              <w:rPr>
                <w:rFonts w:ascii="Segoe UI" w:hAnsi="Segoe UI" w:cs="Segoe UI"/>
                <w:sz w:val="18"/>
                <w:szCs w:val="18"/>
                <w:color w:val="333333"/>
              </w:rPr>
              <w:t xml:space="preserve">Moderate-High</w:t>
            </w:r>
          </w:p>
        </w:tc>
      </w:tr>
      <w:tr>
        <w:tc>
          <w:tcPr>
            <w:tcW w:w="2000" w:type="dxa"/>
            <w:shd w:val="clear" w:color="auto" w:fill="FFFFFF"/>
            <w:vAlign w:val="center"/>
          </w:tcPr>
          <w:p>
            <w:pPr>
              <w:spacing w:before="60" w:after="60" w:line="240" w:lineRule="auto"/>
            </w:pPr>
            <w:r>
              <w:rPr>
                <w:rFonts w:ascii="Segoe UI" w:hAnsi="Segoe UI" w:cs="Segoe UI"/>
                <w:b/>
                <w:bCs/>
                <w:sz w:val="18"/>
                <w:szCs w:val="18"/>
                <w:color w:val="333333"/>
              </w:rPr>
              <w:t xml:space="preserve">Maternity</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R25K – R45K</w:t>
            </w:r>
          </w:p>
        </w:tc>
        <w:tc>
          <w:tcPr>
            <w:tcW w:w="1500" w:type="dxa"/>
            <w:shd w:val="clear" w:color="auto" w:fill="FFFFFF"/>
            <w:vAlign w:val="center"/>
          </w:tcPr>
          <w:p>
            <w:pPr>
              <w:spacing w:before="60" w:after="60" w:line="240" w:lineRule="auto"/>
            </w:pPr>
            <w:r>
              <w:rPr>
                <w:rFonts w:ascii="Segoe UI" w:hAnsi="Segoe UI" w:cs="Segoe UI"/>
                <w:sz w:val="18"/>
                <w:szCs w:val="18"/>
                <w:color w:val="333333"/>
              </w:rPr>
              <w:t xml:space="preserve">Planned</w:t>
            </w:r>
          </w:p>
        </w:tc>
        <w:tc>
          <w:tcPr>
            <w:tcW w:w="1800" w:type="dxa"/>
            <w:shd w:val="clear" w:color="auto" w:fill="FFFFFF"/>
            <w:vAlign w:val="center"/>
          </w:tcPr>
          <w:p>
            <w:pPr>
              <w:spacing w:before="60" w:after="60" w:line="240" w:lineRule="auto"/>
            </w:pPr>
            <w:r>
              <w:rPr>
                <w:rFonts w:ascii="Segoe UI" w:hAnsi="Segoe UI" w:cs="Segoe UI"/>
                <w:sz w:val="18"/>
                <w:szCs w:val="18"/>
                <w:color w:val="333333"/>
              </w:rPr>
              <w:t xml:space="preserve">2.0 – 3.5%</w:t>
            </w:r>
          </w:p>
        </w:tc>
        <w:tc>
          <w:tcPr>
            <w:tcW w:w="1926" w:type="dxa"/>
            <w:shd w:val="clear" w:color="auto" w:fill="FFFFFF"/>
            <w:vAlign w:val="center"/>
          </w:tcPr>
          <w:p>
            <w:pPr>
              <w:spacing w:before="60" w:after="60" w:line="240" w:lineRule="auto"/>
            </w:pPr>
            <w:r>
              <w:rPr>
                <w:rFonts w:ascii="Segoe UI" w:hAnsi="Segoe UI" w:cs="Segoe UI"/>
                <w:sz w:val="18"/>
                <w:szCs w:val="18"/>
                <w:color w:val="333333"/>
              </w:rPr>
              <w:t xml:space="preserve">Moderate-High</w:t>
            </w:r>
          </w:p>
        </w:tc>
      </w:tr>
    </w:tbl>
    <w:p>
      <w:pPr>
        <w:spacing w:after="160" w:line="300" w:lineRule="auto"/>
      </w:pPr>
      <w:r>
        <w:rPr>
          <w:rFonts w:ascii="Segoe UI" w:hAnsi="Segoe UI" w:cs="Segoe UI"/>
          <w:b/>
          <w:bCs/>
          <w:sz w:val="22"/>
          <w:szCs w:val="22"/>
          <w:color w:val="1A1A1A"/>
        </w:rPr>
        <w:t xml:space="preserve">Recommended launch sequence: </w:t>
      </w:r>
      <w:r>
        <w:rPr>
          <w:rFonts w:ascii="Segoe UI" w:hAnsi="Segoe UI" w:cs="Segoe UI"/>
          <w:sz w:val="22"/>
          <w:szCs w:val="22"/>
          <w:color w:val="333333"/>
        </w:rPr>
        <w:t xml:space="preserve">PaySick should prioritise provider onboarding in the following order: (1) dental practices and ophthalmology clinics for the highest-quality initial portfolio and lowest default rates, (2) cosmetic surgery practices and fertility clinics for premium ticket sizes, (3) orthopaedic specialists and maternity hospitals for medical aid gap financing volume, and (4) general surgery and gastroenterology for Segment 2 expansion.</w:t>
      </w:r>
    </w:p>
    <w:p>
      <w:pPr>
        <w:spacing w:after="20" w:line="240" w:lineRule="auto"/>
      </w:pPr>
      <w:r>
        <w:rPr>
          <w:rFonts w:ascii="Segoe UI" w:hAnsi="Segoe UI" w:cs="Segoe UI"/>
          <w:b/>
          <w:bCs/>
          <w:caps/>
          <w:sz w:val="18"/>
          <w:szCs w:val="18"/>
          <w:color w:val="E01E37"/>
          <w:spacing w:val="80"/>
        </w:rPr>
        <w:t xml:space="preserve">Section 10</w:t>
      </w:r>
    </w:p>
    <w:p>
      <w:pPr>
        <w:keepNext/>
        <w:pageBreakBefore/>
        <w:spacing w:before="0" w:after="80" w:line="288" w:lineRule="auto"/>
      </w:pPr>
      <w:r>
        <w:rPr>
          <w:rFonts w:ascii="Segoe UI" w:hAnsi="Segoe UI" w:cs="Segoe UI"/>
          <w:b/>
          <w:bCs/>
          <w:sz w:val="52"/>
          <w:szCs w:val="52"/>
          <w:color w:val="1A1A1A"/>
        </w:rPr>
        <w:t xml:space="preserve">Risk-Sharing Waterfall: Who Bears What</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A clear understanding of risk allocation across the value chain is essential for investor confidence. The PaySick model distributes risk structurally across four parties:</w:t>
      </w:r>
    </w:p>
    <w:tbl>
      <w:tblPr>
        <w:tblStyle w:val="TableGrid"/>
        <w:tblW w:w="0" w:type="auto"/>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CellMar>
          <w:top w:w="60" w:type="dxa"/>
          <w:bottom w:w="60" w:type="dxa"/>
          <w:left w:w="120" w:type="dxa"/>
          <w:right w:w="120" w:type="dxa"/>
        </w:tblCellMar>
        <w:tblLook w:val="04A0" w:firstRow="1"/>
      </w:tblPr>
      <w:tblGrid>
        <w:gridCol w:w="1800"/>
        <w:gridCol w:w="2600"/>
        <w:gridCol w:w="2400"/>
        <w:gridCol w:w="2226"/>
      </w:tblGrid>
      <w:tr>
        <w:trPr>
          <w:tblHeader/>
        </w:trPr>
        <w:tc>
          <w:tcPr>
            <w:tcW w:w="1800" w:type="dxa"/>
            <w:shd w:val="clear" w:color="auto" w:fill="2D2D2D"/>
            <w:vAlign w:val="center"/>
          </w:tcPr>
          <w:p>
            <w:pPr>
              <w:spacing w:before="70" w:after="70" w:line="240" w:lineRule="auto"/>
            </w:pPr>
            <w:r>
              <w:rPr>
                <w:rFonts w:ascii="Segoe UI" w:hAnsi="Segoe UI" w:cs="Segoe UI"/>
                <w:b/>
                <w:bCs/>
                <w:sz w:val="18"/>
                <w:szCs w:val="18"/>
                <w:color w:val="FFFFFF"/>
              </w:rPr>
              <w:t xml:space="preserve">Party</w:t>
            </w:r>
          </w:p>
        </w:tc>
        <w:tc>
          <w:tcPr>
            <w:tcW w:w="2600" w:type="dxa"/>
            <w:shd w:val="clear" w:color="auto" w:fill="2D2D2D"/>
            <w:vAlign w:val="center"/>
          </w:tcPr>
          <w:p>
            <w:pPr>
              <w:spacing w:before="70" w:after="70" w:line="240" w:lineRule="auto"/>
            </w:pPr>
            <w:r>
              <w:rPr>
                <w:rFonts w:ascii="Segoe UI" w:hAnsi="Segoe UI" w:cs="Segoe UI"/>
                <w:b/>
                <w:bCs/>
                <w:sz w:val="18"/>
                <w:szCs w:val="18"/>
                <w:color w:val="FFFFFF"/>
              </w:rPr>
              <w:t xml:space="preserve">Risk Exposure</w:t>
            </w:r>
          </w:p>
        </w:tc>
        <w:tc>
          <w:tcPr>
            <w:tcW w:w="2400" w:type="dxa"/>
            <w:shd w:val="clear" w:color="auto" w:fill="2D2D2D"/>
            <w:vAlign w:val="center"/>
          </w:tcPr>
          <w:p>
            <w:pPr>
              <w:spacing w:before="70" w:after="70" w:line="240" w:lineRule="auto"/>
            </w:pPr>
            <w:r>
              <w:rPr>
                <w:rFonts w:ascii="Segoe UI" w:hAnsi="Segoe UI" w:cs="Segoe UI"/>
                <w:b/>
                <w:bCs/>
                <w:sz w:val="18"/>
                <w:szCs w:val="18"/>
                <w:color w:val="FFFFFF"/>
              </w:rPr>
              <w:t xml:space="preserve">Mitigation</w:t>
            </w:r>
          </w:p>
        </w:tc>
        <w:tc>
          <w:tcPr>
            <w:tcW w:w="2226" w:type="dxa"/>
            <w:shd w:val="clear" w:color="auto" w:fill="2D2D2D"/>
            <w:vAlign w:val="center"/>
          </w:tcPr>
          <w:p>
            <w:pPr>
              <w:spacing w:before="70" w:after="70" w:line="240" w:lineRule="auto"/>
            </w:pPr>
            <w:r>
              <w:rPr>
                <w:rFonts w:ascii="Segoe UI" w:hAnsi="Segoe UI" w:cs="Segoe UI"/>
                <w:b/>
                <w:bCs/>
                <w:sz w:val="18"/>
                <w:szCs w:val="18"/>
                <w:color w:val="FFFFFF"/>
              </w:rPr>
              <w:t xml:space="preserve">Incentive Alignment</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Provider</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Zero direct credit risk (paid in 24hrs). Indirect risk via provider scoring affecting future approval limits and payout speed.</w:t>
            </w:r>
          </w:p>
        </w:tc>
        <w:tc>
          <w:tcPr>
            <w:tcW w:w="2400" w:type="dxa"/>
            <w:shd w:val="clear" w:color="auto" w:fill="FFFFFF"/>
            <w:vAlign w:val="center"/>
          </w:tcPr>
          <w:p>
            <w:pPr>
              <w:spacing w:before="60" w:after="60" w:line="240" w:lineRule="auto"/>
            </w:pPr>
            <w:r>
              <w:rPr>
                <w:rFonts w:ascii="Segoe UI" w:hAnsi="Segoe UI" w:cs="Segoe UI"/>
                <w:sz w:val="18"/>
                <w:szCs w:val="18"/>
                <w:color w:val="333333"/>
              </w:rPr>
              <w:t xml:space="preserve">Co-payment holdback on new providers. Graduated trust. Treatment benchmarking.</w:t>
            </w:r>
          </w:p>
        </w:tc>
        <w:tc>
          <w:tcPr>
            <w:tcW w:w="2226" w:type="dxa"/>
            <w:shd w:val="clear" w:color="auto" w:fill="FFFFFF"/>
            <w:vAlign w:val="center"/>
          </w:tcPr>
          <w:p>
            <w:pPr>
              <w:spacing w:before="60" w:after="60" w:line="240" w:lineRule="auto"/>
            </w:pPr>
            <w:r>
              <w:rPr>
                <w:rFonts w:ascii="Segoe UI" w:hAnsi="Segoe UI" w:cs="Segoe UI"/>
                <w:sz w:val="18"/>
                <w:szCs w:val="18"/>
                <w:color w:val="333333"/>
              </w:rPr>
              <w:t xml:space="preserve">Better patient repayment = higher limits, faster payouts, more patients.</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PaySick (Marketplace)</w:t>
            </w:r>
          </w:p>
        </w:tc>
        <w:tc>
          <w:tcPr>
            <w:tcW w:w="2600" w:type="dxa"/>
            <w:shd w:val="clear" w:color="auto" w:fill="F8F8F8"/>
            <w:vAlign w:val="center"/>
          </w:tcPr>
          <w:p>
            <w:pPr>
              <w:spacing w:before="60" w:after="60" w:line="240" w:lineRule="auto"/>
            </w:pPr>
            <w:r>
              <w:rPr>
                <w:rFonts w:ascii="Segoe UI" w:hAnsi="Segoe UI" w:cs="Segoe UI"/>
                <w:sz w:val="18"/>
                <w:szCs w:val="18"/>
                <w:color w:val="333333"/>
              </w:rPr>
              <w:t xml:space="preserve">Earns origination fee. Bears no credit risk on marketplace loans. Bears reputational risk from poor lender behaviour.</w:t>
            </w:r>
          </w:p>
        </w:tc>
        <w:tc>
          <w:tcPr>
            <w:tcW w:w="2400" w:type="dxa"/>
            <w:shd w:val="clear" w:color="auto" w:fill="F8F8F8"/>
            <w:vAlign w:val="center"/>
          </w:tcPr>
          <w:p>
            <w:pPr>
              <w:spacing w:before="60" w:after="60" w:line="240" w:lineRule="auto"/>
            </w:pPr>
            <w:r>
              <w:rPr>
                <w:rFonts w:ascii="Segoe UI" w:hAnsi="Segoe UI" w:cs="Segoe UI"/>
                <w:sz w:val="18"/>
                <w:szCs w:val="18"/>
                <w:color w:val="333333"/>
              </w:rPr>
              <w:t xml:space="preserve">Rate caps, lender quality scoring, minimum coverage requirements.</w:t>
            </w:r>
          </w:p>
        </w:tc>
        <w:tc>
          <w:tcPr>
            <w:tcW w:w="2226" w:type="dxa"/>
            <w:shd w:val="clear" w:color="auto" w:fill="F8F8F8"/>
            <w:vAlign w:val="center"/>
          </w:tcPr>
          <w:p>
            <w:pPr>
              <w:spacing w:before="60" w:after="60" w:line="240" w:lineRule="auto"/>
            </w:pPr>
            <w:r>
              <w:rPr>
                <w:rFonts w:ascii="Segoe UI" w:hAnsi="Segoe UI" w:cs="Segoe UI"/>
                <w:sz w:val="18"/>
                <w:szCs w:val="18"/>
                <w:color w:val="333333"/>
              </w:rPr>
              <w:t xml:space="preserve">Better approval quality = lender retention = sustained fee income.</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PaySick (Balance Sheet)</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Bears full credit risk on directly funded loans (target 35% of revenue). This is the learning engine.</w:t>
            </w:r>
          </w:p>
        </w:tc>
        <w:tc>
          <w:tcPr>
            <w:tcW w:w="2400" w:type="dxa"/>
            <w:shd w:val="clear" w:color="auto" w:fill="FFFFFF"/>
            <w:vAlign w:val="center"/>
          </w:tcPr>
          <w:p>
            <w:pPr>
              <w:spacing w:before="60" w:after="60" w:line="240" w:lineRule="auto"/>
            </w:pPr>
            <w:r>
              <w:rPr>
                <w:rFonts w:ascii="Segoe UI" w:hAnsi="Segoe UI" w:cs="Segoe UI"/>
                <w:sz w:val="18"/>
                <w:szCs w:val="18"/>
                <w:color w:val="333333"/>
              </w:rPr>
              <w:t xml:space="preserve">Healthcare-specific underwriting. Cap at 40% of total book. Circuit breakers at 6% arrears.</w:t>
            </w:r>
          </w:p>
        </w:tc>
        <w:tc>
          <w:tcPr>
            <w:tcW w:w="2226" w:type="dxa"/>
            <w:shd w:val="clear" w:color="auto" w:fill="FFFFFF"/>
            <w:vAlign w:val="center"/>
          </w:tcPr>
          <w:p>
            <w:pPr>
              <w:spacing w:before="60" w:after="60" w:line="240" w:lineRule="auto"/>
            </w:pPr>
            <w:r>
              <w:rPr>
                <w:rFonts w:ascii="Segoe UI" w:hAnsi="Segoe UI" w:cs="Segoe UI"/>
                <w:sz w:val="18"/>
                <w:szCs w:val="18"/>
                <w:color w:val="333333"/>
              </w:rPr>
              <w:t xml:space="preserve">Balance sheet data trains marketplace algorithms. Exposure shrinks as marketplace scales.</w:t>
            </w:r>
          </w:p>
        </w:tc>
      </w:tr>
      <w:tr>
        <w:tc>
          <w:tcPr>
            <w:tcW w:w="1800" w:type="dxa"/>
            <w:shd w:val="clear" w:color="auto" w:fill="F8F8F8"/>
            <w:vAlign w:val="center"/>
          </w:tcPr>
          <w:p>
            <w:pPr>
              <w:spacing w:before="60" w:after="60" w:line="240" w:lineRule="auto"/>
            </w:pPr>
            <w:r>
              <w:rPr>
                <w:rFonts w:ascii="Segoe UI" w:hAnsi="Segoe UI" w:cs="Segoe UI"/>
                <w:b/>
                <w:bCs/>
                <w:sz w:val="18"/>
                <w:szCs w:val="18"/>
                <w:color w:val="333333"/>
              </w:rPr>
              <w:t xml:space="preserve">Lender Partners</w:t>
            </w:r>
          </w:p>
        </w:tc>
        <w:tc>
          <w:tcPr>
            <w:tcW w:w="2600" w:type="dxa"/>
            <w:shd w:val="clear" w:color="auto" w:fill="F8F8F8"/>
            <w:vAlign w:val="center"/>
          </w:tcPr>
          <w:p>
            <w:pPr>
              <w:spacing w:before="60" w:after="60" w:line="240" w:lineRule="auto"/>
            </w:pPr>
            <w:r>
              <w:rPr>
                <w:rFonts w:ascii="Segoe UI" w:hAnsi="Segoe UI" w:cs="Segoe UI"/>
                <w:sz w:val="18"/>
                <w:szCs w:val="18"/>
                <w:color w:val="333333"/>
              </w:rPr>
              <w:t xml:space="preserve">Bear credit risk on marketplace loans. Protected by PaySick’s pre-screening (only qualified patients reach marketplace).</w:t>
            </w:r>
          </w:p>
        </w:tc>
        <w:tc>
          <w:tcPr>
            <w:tcW w:w="2400" w:type="dxa"/>
            <w:shd w:val="clear" w:color="auto" w:fill="F8F8F8"/>
            <w:vAlign w:val="center"/>
          </w:tcPr>
          <w:p>
            <w:pPr>
              <w:spacing w:before="60" w:after="60" w:line="240" w:lineRule="auto"/>
            </w:pPr>
            <w:r>
              <w:rPr>
                <w:rFonts w:ascii="Segoe UI" w:hAnsi="Segoe UI" w:cs="Segoe UI"/>
                <w:sz w:val="18"/>
                <w:szCs w:val="18"/>
                <w:color w:val="333333"/>
              </w:rPr>
              <w:t xml:space="preserve">First-loss data from PaySick’s own book. Diversification across procedure types and providers.</w:t>
            </w:r>
          </w:p>
        </w:tc>
        <w:tc>
          <w:tcPr>
            <w:tcW w:w="2226" w:type="dxa"/>
            <w:shd w:val="clear" w:color="auto" w:fill="F8F8F8"/>
            <w:vAlign w:val="center"/>
          </w:tcPr>
          <w:p>
            <w:pPr>
              <w:spacing w:before="60" w:after="60" w:line="240" w:lineRule="auto"/>
            </w:pPr>
            <w:r>
              <w:rPr>
                <w:rFonts w:ascii="Segoe UI" w:hAnsi="Segoe UI" w:cs="Segoe UI"/>
                <w:sz w:val="18"/>
                <w:szCs w:val="18"/>
                <w:color w:val="333333"/>
              </w:rPr>
              <w:t xml:space="preserve">PaySick’s balance sheet acts as canary: if PaySick’s own book deteriorates, lenders see the signal early.</w:t>
            </w:r>
          </w:p>
        </w:tc>
      </w:tr>
      <w:tr>
        <w:tc>
          <w:tcPr>
            <w:tcW w:w="1800" w:type="dxa"/>
            <w:shd w:val="clear" w:color="auto" w:fill="FFFFFF"/>
            <w:vAlign w:val="center"/>
          </w:tcPr>
          <w:p>
            <w:pPr>
              <w:spacing w:before="60" w:after="60" w:line="240" w:lineRule="auto"/>
            </w:pPr>
            <w:r>
              <w:rPr>
                <w:rFonts w:ascii="Segoe UI" w:hAnsi="Segoe UI" w:cs="Segoe UI"/>
                <w:b/>
                <w:bCs/>
                <w:sz w:val="18"/>
                <w:szCs w:val="18"/>
                <w:color w:val="333333"/>
              </w:rPr>
              <w:t xml:space="preserve">Patient</w:t>
            </w:r>
          </w:p>
        </w:tc>
        <w:tc>
          <w:tcPr>
            <w:tcW w:w="2600" w:type="dxa"/>
            <w:shd w:val="clear" w:color="auto" w:fill="FFFFFF"/>
            <w:vAlign w:val="center"/>
          </w:tcPr>
          <w:p>
            <w:pPr>
              <w:spacing w:before="60" w:after="60" w:line="240" w:lineRule="auto"/>
            </w:pPr>
            <w:r>
              <w:rPr>
                <w:rFonts w:ascii="Segoe UI" w:hAnsi="Segoe UI" w:cs="Segoe UI"/>
                <w:sz w:val="18"/>
                <w:szCs w:val="18"/>
                <w:color w:val="333333"/>
              </w:rPr>
              <w:t xml:space="preserve">Bears repayment obligation. Protected by affordability checks, flexible restructuring, and transparent terms.</w:t>
            </w:r>
          </w:p>
        </w:tc>
        <w:tc>
          <w:tcPr>
            <w:tcW w:w="2400" w:type="dxa"/>
            <w:shd w:val="clear" w:color="auto" w:fill="FFFFFF"/>
            <w:vAlign w:val="center"/>
          </w:tcPr>
          <w:p>
            <w:pPr>
              <w:spacing w:before="60" w:after="60" w:line="240" w:lineRule="auto"/>
            </w:pPr>
            <w:r>
              <w:rPr>
                <w:rFonts w:ascii="Segoe UI" w:hAnsi="Segoe UI" w:cs="Segoe UI"/>
                <w:sz w:val="18"/>
                <w:szCs w:val="18"/>
                <w:color w:val="333333"/>
              </w:rPr>
              <w:t xml:space="preserve">Hard income ceiling prevents over-extension. Proactive restructuring for complications. No hidden fees.</w:t>
            </w:r>
          </w:p>
        </w:tc>
        <w:tc>
          <w:tcPr>
            <w:tcW w:w="2226" w:type="dxa"/>
            <w:shd w:val="clear" w:color="auto" w:fill="FFFFFF"/>
            <w:vAlign w:val="center"/>
          </w:tcPr>
          <w:p>
            <w:pPr>
              <w:spacing w:before="60" w:after="60" w:line="240" w:lineRule="auto"/>
            </w:pPr>
            <w:r>
              <w:rPr>
                <w:rFonts w:ascii="Segoe UI" w:hAnsi="Segoe UI" w:cs="Segoe UI"/>
                <w:sz w:val="18"/>
                <w:szCs w:val="18"/>
                <w:color w:val="333333"/>
              </w:rPr>
              <w:t xml:space="preserve">Medical debt carries social and family support dynamics. Patients return for follow-up care.</w:t>
            </w:r>
          </w:p>
        </w:tc>
      </w:tr>
    </w:tbl>
    <w:p>
      <w:pPr>
        <w:spacing w:before="240" w:after="240" w:line="280" w:lineRule="auto"/>
        <w:pBdr>
          <w:left w:val="single" w:sz="18" w:space="14" w:color="E01E37"/>
        </w:pBdr>
        <w:shd w:val="clear" w:color="auto" w:fill="FFF5F6"/>
      </w:pPr>
      <w:r>
        <w:rPr>
          <w:rFonts w:ascii="Segoe UI" w:hAnsi="Segoe UI" w:cs="Segoe UI"/>
          <w:b/>
          <w:bCs/>
          <w:sz w:val="20"/>
          <w:szCs w:val="20"/>
          <w:color w:val="1A1A1A"/>
        </w:rPr>
        <w:t xml:space="preserve">The Critical Insight: As the marketplace scales, PaySick’s own balance sheet exposure shrinks as a percentage of total volume, while the underwriting intelligence from balance sheet lending improves marketplace quality. The balance sheet is a learning engine, not the long-term risk centre.</w:t>
      </w:r>
    </w:p>
    <w:p>
      <w:pPr>
        <w:spacing w:after="20" w:line="240" w:lineRule="auto"/>
      </w:pPr>
      <w:r>
        <w:rPr>
          <w:rFonts w:ascii="Segoe UI" w:hAnsi="Segoe UI" w:cs="Segoe UI"/>
          <w:b/>
          <w:bCs/>
          <w:caps/>
          <w:sz w:val="18"/>
          <w:szCs w:val="18"/>
          <w:color w:val="E01E37"/>
          <w:spacing w:val="80"/>
        </w:rPr>
        <w:t xml:space="preserve">Section 11</w:t>
      </w:r>
    </w:p>
    <w:p>
      <w:pPr>
        <w:keepNext/>
        <w:pageBreakBefore/>
        <w:spacing w:before="0" w:after="80" w:line="288" w:lineRule="auto"/>
      </w:pPr>
      <w:r>
        <w:rPr>
          <w:rFonts w:ascii="Segoe UI" w:hAnsi="Segoe UI" w:cs="Segoe UI"/>
          <w:b/>
          <w:bCs/>
          <w:sz w:val="52"/>
          <w:szCs w:val="52"/>
          <w:color w:val="1A1A1A"/>
        </w:rPr>
        <w:t xml:space="preserve">Conclusion</w:t>
      </w:r>
    </w:p>
    <w:p>
      <w:pPr>
        <w:spacing w:after="280" w:line="240" w:lineRule="auto"/>
        <w:pBdr>
          <w:bottom w:val="single" w:sz="12" w:space="6" w:color="E01E37"/>
        </w:pBdr>
      </w:pPr>
      <w:r>
        <w:t xml:space="preserve"> </w:t>
      </w:r>
    </w:p>
    <w:p>
      <w:pPr>
        <w:spacing w:after="160" w:line="300" w:lineRule="auto"/>
      </w:pPr>
      <w:r>
        <w:rPr>
          <w:rFonts w:ascii="Segoe UI" w:hAnsi="Segoe UI" w:cs="Segoe UI"/>
          <w:sz w:val="22"/>
          <w:szCs w:val="22"/>
          <w:color w:val="333333"/>
        </w:rPr>
        <w:t xml:space="preserve">Healthcare lending is not retail BNPL with a different label. It operates in a fundamentally different risk environment characterised by non-discretionary demand, provider-mediated distribution, and multi-party incentive dynamics that generic consumer lending models are not equipped to manage.</w:t>
      </w:r>
    </w:p>
    <w:p>
      <w:pPr>
        <w:spacing w:after="160" w:line="300" w:lineRule="auto"/>
      </w:pPr>
      <w:r>
        <w:rPr>
          <w:rFonts w:ascii="Segoe UI" w:hAnsi="Segoe UI" w:cs="Segoe UI"/>
          <w:sz w:val="22"/>
          <w:szCs w:val="22"/>
          <w:color w:val="333333"/>
        </w:rPr>
        <w:t xml:space="preserve">The PaySick Shield Framework addresses this by building five layers of structural protection, each designed to break the adverse selection cascade at a different point. The framework achieves three objectives simultaneously:</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Loss prevention: </w:t>
      </w:r>
      <w:r>
        <w:rPr>
          <w:rFonts w:ascii="Segoe UI" w:hAnsi="Segoe UI" w:cs="Segoe UI"/>
          <w:sz w:val="22"/>
          <w:szCs w:val="22"/>
          <w:color w:val="333333"/>
        </w:rPr>
        <w:t xml:space="preserve">Target net loss rate of 1.0–1.44%, with structural break-even at PD of 14%+ and multiple circuit breakers long before that threshold.</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Data compounding: </w:t>
      </w:r>
      <w:r>
        <w:rPr>
          <w:rFonts w:ascii="Segoe UI" w:hAnsi="Segoe UI" w:cs="Segoe UI"/>
          <w:sz w:val="22"/>
          <w:szCs w:val="22"/>
          <w:color w:val="333333"/>
        </w:rPr>
        <w:t xml:space="preserve">Every transaction strengthens the model, creating an unreplicable dataset that improves loss rates over time, from an expected 5% PD at cold start to below 2.5% at scale.</w:t>
      </w:r>
    </w:p>
    <w:p>
      <w:pPr>
        <w:spacing w:after="100" w:line="300" w:lineRule="auto"/>
        <w:ind w:left="540"/>
      </w:pPr>
      <w:r>
        <w:rPr>
          <w:rFonts w:ascii="Segoe UI" w:hAnsi="Segoe UI" w:cs="Segoe UI"/>
          <w:sz w:val="22"/>
          <w:szCs w:val="22"/>
          <w:color w:val="E01E37"/>
        </w:rPr>
        <w:t xml:space="preserve">•  </w:t>
      </w:r>
      <w:r>
        <w:rPr>
          <w:rFonts w:ascii="Segoe UI" w:hAnsi="Segoe UI" w:cs="Segoe UI"/>
          <w:b/>
          <w:bCs/>
          <w:sz w:val="22"/>
          <w:szCs w:val="22"/>
          <w:color w:val="1A1A1A"/>
        </w:rPr>
        <w:t xml:space="preserve">Global scalability: </w:t>
      </w:r>
      <w:r>
        <w:rPr>
          <w:rFonts w:ascii="Segoe UI" w:hAnsi="Segoe UI" w:cs="Segoe UI"/>
          <w:sz w:val="22"/>
          <w:szCs w:val="22"/>
          <w:color w:val="333333"/>
        </w:rPr>
        <w:t xml:space="preserve">The framework is market-agnostic by design, requiring only local calibration of regulatory thresholds, affordability ceilings, and provider onboarding criteria.</w:t>
      </w:r>
    </w:p>
    <w:p>
      <w:pPr>
        <w:spacing w:after="160" w:line="300" w:lineRule="auto"/>
      </w:pPr>
      <w:r>
        <w:rPr>
          <w:rFonts w:ascii="Segoe UI" w:hAnsi="Segoe UI" w:cs="Segoe UI"/>
          <w:sz w:val="22"/>
          <w:szCs w:val="22"/>
          <w:color w:val="333333"/>
        </w:rPr>
        <w:t xml:space="preserve">The single most important insight for investors: the provider gets paid in 24 hours, but trust is earned over 6 months. New providers start with capped limits and graduated payouts tied to their patients’ repayment performance. This one structural control, when combined with patient affordability ceilings and portfolio circuit breakers, creates a healthcare lending platform that is structurally resistant to the adverse selection dynamics that plague retail consumer credit.</w:t>
      </w:r>
    </w:p>
    <w:p>
      <w:pPr>
        <w:spacing w:before="240" w:after="240" w:line="280" w:lineRule="auto"/>
        <w:pBdr>
          <w:left w:val="single" w:sz="18" w:space="14" w:color="E01E37"/>
        </w:pBdr>
        <w:shd w:val="clear" w:color="auto" w:fill="FFF5F6"/>
      </w:pPr>
      <w:r>
        <w:rPr>
          <w:rFonts w:ascii="Segoe UI" w:hAnsi="Segoe UI" w:cs="Segoe UI"/>
          <w:b/>
          <w:bCs/>
          <w:sz w:val="20"/>
          <w:szCs w:val="20"/>
          <w:color w:val="1A1A1A"/>
        </w:rPr>
        <w:t xml:space="preserve">PaySick’s risk framework is not a credit score with a healthcare label. It is a three-dimensional model encompassing clinical, financial, and insurance dimensions that improves with every transaction. Generic fintechs see a loan. PaySick sees a procedure, a provider, a patient, and a payer. That is why our loss rates will structurally outperform, and that is why this framework scales.</w:t>
      </w:r>
    </w:p>
    <w:p>
      <w:pPr>
        <w:spacing w:after="20" w:line="240" w:lineRule="auto"/>
      </w:pPr>
      <w:r>
        <w:rPr>
          <w:rFonts w:ascii="Segoe UI" w:hAnsi="Segoe UI" w:cs="Segoe UI"/>
          <w:b/>
          <w:bCs/>
          <w:caps/>
          <w:sz w:val="18"/>
          <w:szCs w:val="18"/>
          <w:color w:val="E01E37"/>
          <w:spacing w:val="80"/>
        </w:rPr>
        <w:t xml:space="preserve">References</w:t>
      </w:r>
    </w:p>
    <w:p>
      <w:pPr>
        <w:keepNext/>
        <w:pageBreakBefore/>
        <w:spacing w:before="0" w:after="80" w:line="288" w:lineRule="auto"/>
      </w:pPr>
      <w:r>
        <w:rPr>
          <w:rFonts w:ascii="Segoe UI" w:hAnsi="Segoe UI" w:cs="Segoe UI"/>
          <w:b/>
          <w:bCs/>
          <w:sz w:val="52"/>
          <w:szCs w:val="52"/>
          <w:color w:val="1A1A1A"/>
        </w:rPr>
        <w:t xml:space="preserve">References</w:t>
      </w:r>
    </w:p>
    <w:p>
      <w:pPr>
        <w:spacing w:after="280" w:line="240" w:lineRule="auto"/>
        <w:pBdr>
          <w:bottom w:val="single" w:sz="12" w:space="6" w:color="E01E37"/>
        </w:pBdr>
      </w:pPr>
      <w:r>
        <w:t xml:space="preserve"> </w:t>
      </w:r>
    </w:p>
    <w:p>
      <w:pPr>
        <w:spacing w:after="80" w:line="280" w:lineRule="auto"/>
      </w:pPr>
      <w:r>
        <w:rPr>
          <w:rFonts w:ascii="Segoe UI" w:hAnsi="Segoe UI" w:cs="Segoe UI"/>
          <w:sz w:val="20"/>
          <w:szCs w:val="20"/>
          <w:color w:val="333333"/>
        </w:rPr>
        <w:t xml:space="preserve">Browne Commission (1986) Report of the Commission of Inquiry into Health Services. Pretoria: Government Printer.</w:t>
      </w:r>
    </w:p>
    <w:p>
      <w:pPr>
        <w:spacing w:after="80" w:line="280" w:lineRule="auto"/>
      </w:pPr>
      <w:r>
        <w:rPr>
          <w:rFonts w:ascii="Segoe UI" w:hAnsi="Segoe UI" w:cs="Segoe UI"/>
          <w:sz w:val="20"/>
          <w:szCs w:val="20"/>
          <w:color w:val="333333"/>
        </w:rPr>
        <w:t xml:space="preserve">Consumer Financial Protection Bureau (CFPB) (2024) Buy Now, Pay Later: Market Trends and Consumer Impacts. Washington, DC: CFPB Office of Research.</w:t>
      </w:r>
    </w:p>
    <w:p>
      <w:pPr>
        <w:spacing w:after="80" w:line="280" w:lineRule="auto"/>
      </w:pPr>
      <w:r>
        <w:rPr>
          <w:rFonts w:ascii="Segoe UI" w:hAnsi="Segoe UI" w:cs="Segoe UI"/>
          <w:sz w:val="20"/>
          <w:szCs w:val="20"/>
          <w:color w:val="333333"/>
        </w:rPr>
        <w:t xml:space="preserve">Council for Medical Schemes (2018) Annual Report 2017–2018: Financial Analysis of Medical Schemes in South Africa. Pretoria: Council for Medical Schemes.</w:t>
      </w:r>
    </w:p>
    <w:p>
      <w:pPr>
        <w:spacing w:after="80" w:line="280" w:lineRule="auto"/>
      </w:pPr>
      <w:r>
        <w:rPr>
          <w:rFonts w:ascii="Segoe UI" w:hAnsi="Segoe UI" w:cs="Segoe UI"/>
          <w:sz w:val="20"/>
          <w:szCs w:val="20"/>
          <w:color w:val="333333"/>
        </w:rPr>
        <w:t xml:space="preserve">DebtBusters (2024) Quarterly Debt Index Q2 2024: South African Consumer Debt Trends. Cape Town: DebtBusters Pty Ltd.</w:t>
      </w:r>
    </w:p>
    <w:p>
      <w:pPr>
        <w:spacing w:after="80" w:line="280" w:lineRule="auto"/>
      </w:pPr>
      <w:r>
        <w:rPr>
          <w:rFonts w:ascii="Segoe UI" w:hAnsi="Segoe UI" w:cs="Segoe UI"/>
          <w:sz w:val="20"/>
          <w:szCs w:val="20"/>
          <w:color w:val="333333"/>
        </w:rPr>
        <w:t xml:space="preserve">De Villiers, K., Van Rensburg, M.J. and Van Schaik, N. (2021) ‘Primary healthcare seeking behaviour of low-income patients across the public and private health sectors in South Africa’, BMC Public Health, 21(1), pp. 1–12.</w:t>
      </w:r>
    </w:p>
    <w:p>
      <w:pPr>
        <w:spacing w:after="80" w:line="280" w:lineRule="auto"/>
      </w:pPr>
      <w:r>
        <w:rPr>
          <w:rFonts w:ascii="Segoe UI" w:hAnsi="Segoe UI" w:cs="Segoe UI"/>
          <w:sz w:val="20"/>
          <w:szCs w:val="20"/>
          <w:color w:val="333333"/>
        </w:rPr>
        <w:t xml:space="preserve">Discovery Bank (2024) SpendTrend 2024 Report: South African Consumer Income and Spending Patterns. Johannesburg: Discovery Bank.</w:t>
      </w:r>
    </w:p>
    <w:p>
      <w:pPr>
        <w:spacing w:after="80" w:line="280" w:lineRule="auto"/>
      </w:pPr>
      <w:r>
        <w:rPr>
          <w:rFonts w:ascii="Segoe UI" w:hAnsi="Segoe UI" w:cs="Segoe UI"/>
          <w:sz w:val="20"/>
          <w:szCs w:val="20"/>
          <w:color w:val="333333"/>
        </w:rPr>
        <w:t xml:space="preserve">Koch, S.F. (2009) ‘Medical aid scheme coverage in South Africa: evidence from General Household Surveys 2002–2007’, Development Southern Africa, 34(5), pp. 575–592.</w:t>
      </w:r>
    </w:p>
    <w:p>
      <w:pPr>
        <w:spacing w:after="80" w:line="280" w:lineRule="auto"/>
      </w:pPr>
      <w:r>
        <w:rPr>
          <w:rFonts w:ascii="Segoe UI" w:hAnsi="Segoe UI" w:cs="Segoe UI"/>
          <w:sz w:val="20"/>
          <w:szCs w:val="20"/>
          <w:color w:val="333333"/>
        </w:rPr>
        <w:t xml:space="preserve">LendingTree (2025) Buy Now, Pay Later Consumer Tracker Q1 2025. Charlotte, NC: LendingTree Inc.</w:t>
      </w:r>
    </w:p>
    <w:p>
      <w:pPr>
        <w:spacing w:after="80" w:line="280" w:lineRule="auto"/>
      </w:pPr>
      <w:r>
        <w:rPr>
          <w:rFonts w:ascii="Segoe UI" w:hAnsi="Segoe UI" w:cs="Segoe UI"/>
          <w:sz w:val="20"/>
          <w:szCs w:val="20"/>
          <w:color w:val="333333"/>
        </w:rPr>
        <w:t xml:space="preserve">Mayosi, B.M. and Benatar, S.R. (2014) ‘Health and health care in South Africa: 20 years after Mandela’, New England Journal of Medicine, 371(14), pp. 1344–1353.</w:t>
      </w:r>
    </w:p>
    <w:p>
      <w:pPr>
        <w:spacing w:after="80" w:line="280" w:lineRule="auto"/>
      </w:pPr>
      <w:r>
        <w:rPr>
          <w:rFonts w:ascii="Segoe UI" w:hAnsi="Segoe UI" w:cs="Segoe UI"/>
          <w:sz w:val="20"/>
          <w:szCs w:val="20"/>
          <w:color w:val="333333"/>
        </w:rPr>
        <w:t xml:space="preserve">McIntyre, D. (2010) ‘Private sector involvement in funding and providing health services in South Africa: implications for equity and access to health care’, EQUINET Discussion Paper Series 84. Harare: EQUINET.</w:t>
      </w:r>
    </w:p>
    <w:p>
      <w:pPr>
        <w:spacing w:after="80" w:line="280" w:lineRule="auto"/>
      </w:pPr>
      <w:r>
        <w:rPr>
          <w:rFonts w:ascii="Segoe UI" w:hAnsi="Segoe UI" w:cs="Segoe UI"/>
          <w:sz w:val="20"/>
          <w:szCs w:val="20"/>
          <w:color w:val="333333"/>
        </w:rPr>
        <w:t xml:space="preserve">Morgan Stanley (2025) Global BNPL Market Assessment: Credit Risk and Growth Trajectories. New York: Morgan Stanley Research.</w:t>
      </w:r>
    </w:p>
    <w:p>
      <w:pPr>
        <w:spacing w:after="80" w:line="280" w:lineRule="auto"/>
      </w:pPr>
      <w:r>
        <w:rPr>
          <w:rFonts w:ascii="Segoe UI" w:hAnsi="Segoe UI" w:cs="Segoe UI"/>
          <w:sz w:val="20"/>
          <w:szCs w:val="20"/>
          <w:color w:val="333333"/>
        </w:rPr>
        <w:t xml:space="preserve">Ndlovu, T. (2021) ‘Financial health of medical schemes in South Africa’, Finance Research Letters, 50(1), pp. 103–118.</w:t>
      </w:r>
    </w:p>
    <w:p>
      <w:pPr>
        <w:spacing w:after="80" w:line="280" w:lineRule="auto"/>
      </w:pPr>
      <w:r>
        <w:rPr>
          <w:rFonts w:ascii="Segoe UI" w:hAnsi="Segoe UI" w:cs="Segoe UI"/>
          <w:sz w:val="20"/>
          <w:szCs w:val="20"/>
          <w:color w:val="333333"/>
        </w:rPr>
        <w:t xml:space="preserve">Prospect Capital Management (2025) Healthcare Credit Outlook 2025: Cumulative Default Analysis 2000–2025. New York: Prospect Capital Corporation.</w:t>
      </w:r>
    </w:p>
    <w:p>
      <w:pPr>
        <w:spacing w:after="80" w:line="280" w:lineRule="auto"/>
      </w:pPr>
      <w:r>
        <w:rPr>
          <w:rFonts w:ascii="Segoe UI" w:hAnsi="Segoe UI" w:cs="Segoe UI"/>
          <w:sz w:val="20"/>
          <w:szCs w:val="20"/>
          <w:color w:val="333333"/>
        </w:rPr>
        <w:t xml:space="preserve">Richmond Federal Reserve (2025) BNPL Market Report: Systemic Risk Assessment in Consumer Credit. Richmond, VA: Federal Reserve Bank of Richmond.</w:t>
      </w:r>
    </w:p>
    <w:p>
      <w:pPr>
        <w:spacing w:after="80" w:line="280" w:lineRule="auto"/>
      </w:pPr>
      <w:r>
        <w:rPr>
          <w:rFonts w:ascii="Segoe UI" w:hAnsi="Segoe UI" w:cs="Segoe UI"/>
          <w:sz w:val="20"/>
          <w:szCs w:val="20"/>
          <w:color w:val="333333"/>
        </w:rPr>
        <w:t xml:space="preserve">Schneider, H., Gilson, L. and Nxumalo, N. (2024) ‘South Africa’s health-care reform in limbo following election’, Think Global Health. Council on Foreign Relations.</w:t>
      </w:r>
    </w:p>
    <w:p>
      <w:pPr>
        <w:spacing w:after="80" w:line="280" w:lineRule="auto"/>
      </w:pPr>
      <w:r>
        <w:rPr>
          <w:rFonts w:ascii="Segoe UI" w:hAnsi="Segoe UI" w:cs="Segoe UI"/>
          <w:sz w:val="20"/>
          <w:szCs w:val="20"/>
          <w:color w:val="333333"/>
        </w:rPr>
        <w:t xml:space="preserve">South African Audience Research Foundation (SAARF) (2023) Living Standards Measure (LSM) 2023: Segmentation Framework. Johannesburg: SAARF.</w:t>
      </w:r>
    </w:p>
    <w:p>
      <w:pPr>
        <w:spacing w:after="80" w:line="280" w:lineRule="auto"/>
      </w:pPr>
      <w:r>
        <w:rPr>
          <w:rFonts w:ascii="Segoe UI" w:hAnsi="Segoe UI" w:cs="Segoe UI"/>
          <w:sz w:val="20"/>
          <w:szCs w:val="20"/>
          <w:color w:val="333333"/>
        </w:rPr>
        <w:t xml:space="preserve">South African Reserve Bank (SARB) (2026) Monetary Policy Committee Statement, January 2026. Pretoria: SARB.</w:t>
      </w:r>
    </w:p>
    <w:p>
      <w:pPr>
        <w:spacing w:after="80" w:line="280" w:lineRule="auto"/>
      </w:pPr>
      <w:r>
        <w:rPr>
          <w:rFonts w:ascii="Segoe UI" w:hAnsi="Segoe UI" w:cs="Segoe UI"/>
          <w:sz w:val="20"/>
          <w:szCs w:val="20"/>
          <w:color w:val="333333"/>
        </w:rPr>
        <w:t xml:space="preserve">Statista (2025) Consumption Indicators: South Africa Healthcare Spending Per Capita Forecast 2025. Hamburg: Statista GmbH.</w:t>
      </w:r>
    </w:p>
    <w:p>
      <w:pPr>
        <w:spacing w:after="80" w:line="280" w:lineRule="auto"/>
      </w:pPr>
      <w:r>
        <w:rPr>
          <w:rFonts w:ascii="Segoe UI" w:hAnsi="Segoe UI" w:cs="Segoe UI"/>
          <w:sz w:val="20"/>
          <w:szCs w:val="20"/>
          <w:color w:val="333333"/>
        </w:rPr>
        <w:t xml:space="preserve">Statistics South Africa (2023) General Household Survey 2022: Medical Aid Coverage and Healthcare Access. Pretoria: Statistics South Africa.</w:t>
      </w:r>
    </w:p>
    <w:p>
      <w:pPr>
        <w:spacing w:after="80" w:line="280" w:lineRule="auto"/>
      </w:pPr>
      <w:r>
        <w:rPr>
          <w:rFonts w:ascii="Segoe UI" w:hAnsi="Segoe UI" w:cs="Segoe UI"/>
          <w:sz w:val="20"/>
          <w:szCs w:val="20"/>
          <w:color w:val="333333"/>
        </w:rPr>
        <w:t xml:space="preserve">Statistics South Africa (2025) Income and Expenditure Survey (IES) 2022/2023: Household Consumption Expenditure. Pretoria: Statistics South Africa.</w:t>
      </w:r>
    </w:p>
    <w:p>
      <w:pPr>
        <w:spacing w:after="80" w:line="280" w:lineRule="auto"/>
      </w:pPr>
      <w:r>
        <w:rPr>
          <w:rFonts w:ascii="Segoe UI" w:hAnsi="Segoe UI" w:cs="Segoe UI"/>
          <w:sz w:val="20"/>
          <w:szCs w:val="20"/>
          <w:color w:val="333333"/>
        </w:rPr>
        <w:t xml:space="preserve">World Health Organisation (WHO) (2023) Global Health Expenditure Database: Africa Regional Analysis. Geneva: WHO.</w:t>
      </w:r>
    </w:p>
    <w:p>
      <w:pPr>
        <w:spacing w:after="80" w:line="280" w:lineRule="auto"/>
      </w:pPr>
      <w:r>
        <w:rPr>
          <w:rFonts w:ascii="Segoe UI" w:hAnsi="Segoe UI" w:cs="Segoe UI"/>
          <w:sz w:val="20"/>
          <w:szCs w:val="20"/>
          <w:color w:val="333333"/>
        </w:rPr>
        <w:t xml:space="preserve">Australian Prudential Regulation Authority (APRA) (2024) Quarterly Private Health Insurance Statistics: March 2024. Sydney: APRA.</w:t>
      </w:r>
    </w:p>
    <w:p>
      <w:pPr>
        <w:spacing w:after="80" w:line="280" w:lineRule="auto"/>
      </w:pPr>
      <w:r>
        <w:rPr>
          <w:rFonts w:ascii="Segoe UI" w:hAnsi="Segoe UI" w:cs="Segoe UI"/>
          <w:sz w:val="20"/>
          <w:szCs w:val="20"/>
          <w:color w:val="333333"/>
        </w:rPr>
        <w:t xml:space="preserve">Health Professions Council of South Africa (HPCSA) (2024) Registration Statistics: Dental Practitioners. Pretoria: HPCSA.</w:t>
      </w:r>
    </w:p>
    <w:p>
      <w:pPr>
        <w:spacing w:after="80" w:line="280" w:lineRule="auto"/>
      </w:pPr>
      <w:r>
        <w:rPr>
          <w:rFonts w:ascii="Segoe UI" w:hAnsi="Segoe UI" w:cs="Segoe UI"/>
          <w:sz w:val="20"/>
          <w:szCs w:val="20"/>
          <w:color w:val="333333"/>
        </w:rPr>
        <w:t xml:space="preserve">National Health Accounts (India) (2022) National Health Accounts Estimates 2020–21 and 2021–22. New Delhi: Ministry of Health and Family Welfare.</w:t>
      </w:r>
    </w:p>
    <w:p>
      <w:pPr>
        <w:spacing w:after="80" w:line="280" w:lineRule="auto"/>
      </w:pPr>
      <w:r>
        <w:rPr>
          <w:rFonts w:ascii="Segoe UI" w:hAnsi="Segoe UI" w:cs="Segoe UI"/>
          <w:sz w:val="20"/>
          <w:szCs w:val="20"/>
          <w:color w:val="333333"/>
        </w:rPr>
        <w:t xml:space="preserve">NHS England (2025) Referral to Treatment Waiting Times Statistics. London: NHS England.</w:t>
      </w:r>
    </w:p>
    <w:p>
      <w:pPr>
        <w:spacing w:after="80" w:line="280" w:lineRule="auto"/>
      </w:pPr>
      <w:r>
        <w:rPr>
          <w:rFonts w:ascii="Segoe UI" w:hAnsi="Segoe UI" w:cs="Segoe UI"/>
          <w:sz w:val="20"/>
          <w:szCs w:val="20"/>
          <w:color w:val="333333"/>
        </w:rPr>
        <w:t xml:space="preserve">NITI Aayog (2021) Health Insurance for India’s Missing Middle. New Delhi: NITI Aayog, Government of India.</w:t>
      </w:r>
    </w:p>
    <w:p>
      <w:pPr>
        <w:spacing w:after="80" w:line="280" w:lineRule="auto"/>
      </w:pPr>
      <w:r>
        <w:rPr>
          <w:rFonts w:ascii="Segoe UI" w:hAnsi="Segoe UI" w:cs="Segoe UI"/>
          <w:sz w:val="20"/>
          <w:szCs w:val="20"/>
          <w:color w:val="333333"/>
        </w:rPr>
        <w:t xml:space="preserve">Private Healthcare Information Network (PHIN) (2025) Annual Self-Pay and Private Hospital Admissions Report 2024. London: PHIN.</w:t>
      </w:r>
    </w:p>
    <w:p>
      <w:pPr>
        <w:spacing w:after="300" w:line="240" w:lineRule="auto"/>
      </w:pPr>
      <w:r>
        <w:rPr>
          <w:rFonts w:ascii="Segoe UI" w:hAnsi="Segoe UI" w:cs="Segoe UI"/>
        </w:rPr>
        <w:t xml:space="preserve"/>
      </w:r>
    </w:p>
    <w:p>
      <w:pPr>
        <w:spacing w:after="120" w:line="240" w:lineRule="auto"/>
        <w:jc w:val="center"/>
      </w:pPr>
      <w:r>
        <w:rPr>
          <w:rFonts w:ascii="Segoe UI" w:hAnsi="Segoe UI" w:cs="Segoe UI"/>
          <w:sz w:val="22"/>
          <w:szCs w:val="22"/>
          <w:color w:val="8A8A8A"/>
        </w:rPr>
        <w:t xml:space="preserve">— END —</w:t>
      </w:r>
    </w:p>
    <w:p>
      <w:pPr>
        <w:spacing w:after="200" w:line="240" w:lineRule="auto"/>
      </w:pPr>
      <w:r>
        <w:rPr>
          <w:rFonts w:ascii="Segoe UI" w:hAnsi="Segoe UI" w:cs="Segoe UI"/>
        </w:rPr>
        <w:t xml:space="preserve"/>
      </w:r>
    </w:p>
    <w:p>
      <w:pPr>
        <w:spacing w:after="20" w:line="240" w:lineRule="auto"/>
        <w:jc w:val="center"/>
      </w:pPr>
      <w:r>
        <w:rPr>
          <w:rFonts w:ascii="Segoe UI" w:hAnsi="Segoe UI" w:cs="Segoe UI"/>
          <w:sz w:val="28"/>
          <w:szCs w:val="28"/>
          <w:color w:val="1A1A1A"/>
        </w:rPr>
        <w:t xml:space="preserve">Pay</w:t>
      </w:r>
      <w:r>
        <w:rPr>
          <w:rFonts w:ascii="Segoe UI" w:hAnsi="Segoe UI" w:cs="Segoe UI"/>
          <w:sz w:val="28"/>
          <w:szCs w:val="28"/>
          <w:color w:val="4A4A4A"/>
        </w:rPr>
        <w:t xml:space="preserve">Sick</w:t>
      </w:r>
    </w:p>
    <w:p>
      <w:pPr>
        <w:spacing w:after="80" w:line="240" w:lineRule="auto"/>
        <w:jc w:val="center"/>
      </w:pPr>
      <w:r>
        <w:rPr>
          <w:rFonts w:ascii="Segoe UI" w:hAnsi="Segoe UI" w:cs="Segoe UI"/>
          <w:sz w:val="20"/>
          <w:szCs w:val="20"/>
          <w:color w:val="8A8A8A"/>
        </w:rPr>
        <w:t xml:space="preserve">Heal Now, Pay Later</w:t>
      </w:r>
    </w:p>
    <w:p>
      <w:pPr>
        <w:spacing w:after="20" w:line="240" w:lineRule="auto"/>
        <w:jc w:val="center"/>
      </w:pPr>
      <w:r>
        <w:rPr>
          <w:rFonts w:ascii="Segoe UI" w:hAnsi="Segoe UI" w:cs="Segoe UI"/>
          <w:sz w:val="18"/>
          <w:szCs w:val="18"/>
          <w:color w:val="C0C0C0"/>
        </w:rPr>
        <w:t xml:space="preserve">© 2026 PaySick (Pty) Ltd. All rights reserved.</w:t>
      </w:r>
    </w:p>
    <w:p>
      <w:pPr>
        <w:spacing w:after="20" w:line="240" w:lineRule="auto"/>
        <w:jc w:val="center"/>
      </w:pPr>
      <w:r>
        <w:rPr>
          <w:rFonts w:ascii="Segoe UI" w:hAnsi="Segoe UI" w:cs="Segoe UI"/>
          <w:sz w:val="18"/>
          <w:szCs w:val="18"/>
          <w:color w:val="C0C0C0"/>
        </w:rPr>
        <w:t xml:space="preserve">This document is confidential and intended solely for the use of intended recipients.</w:t>
      </w:r>
    </w:p>
    <w:p>
      <w:pPr>
        <w:spacing w:after="0" w:line="240" w:lineRule="auto"/>
        <w:jc w:val="center"/>
      </w:pPr>
      <w:r>
        <w:rPr>
          <w:rFonts w:ascii="Segoe UI" w:hAnsi="Segoe UI" w:cs="Segoe UI"/>
          <w:sz w:val="18"/>
          <w:szCs w:val="18"/>
          <w:color w:val="C0C0C0"/>
        </w:rPr>
        <w:t xml:space="preserve">Unauthorised distribution is prohibited.</w:t>
      </w:r>
    </w:p>
    <w:sectPr>
      <w:pgSz w:w="11906" w:h="16838"/>
      <w:pgMar w:top="1440" w:right="1440" w:bottom="1700" w:left="1440" w:header="720" w:footer="720" w:gutter="0"/>
      <w:cols w:space="720"/>
    </w:sectPr>
  </w:body>
</w:document>
</file>

<file path=word/fontTable.xml><?xml version="1.0" encoding="utf-8"?>
<w:fonts xmlns:w="http://schemas.openxmlformats.org/wordprocessingml/2006/main">
  <w:font w:name="Segoe UI">
    <w:panose1 w:val="020B0502040204020203"/>
    <w:charset w:val="00"/>
    <w:family w:val="swiss"/>
    <w:pitch w:val="variable"/>
  </w:font>
</w:fonts>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eastAsia="Segoe UI"/>
        <w:sz w:val="22"/>
        <w:szCs w:val="22"/>
        <w:lang w:val="en-ZA"/>
      </w:rPr>
    </w:rPrDefault>
    <w:pPrDefault>
      <w:pPr>
        <w:spacing w:after="160" w:line="288" w:lineRule="auto"/>
      </w:pPr>
    </w:pPrDefault>
  </w:docDefaults>
  <w:style w:type="table" w:styleId="TableGrid">
    <w:name w:val="Table Grid"/>
    <w:tblPr>
      <w:tblBorders>
        <w:top w:val="single" w:sz="2" w:space="0" w:color="E0E0E0"/>
        <w:left w:val="none" w:sz="0" w:space="0" w:color="auto"/>
        <w:bottom w:val="single" w:sz="2" w:space="0" w:color="E0E0E0"/>
        <w:right w:val="none" w:sz="0" w:space="0" w:color="auto"/>
        <w:insideH w:val="single" w:sz="2" w:space="0" w:color="E0E0E0"/>
        <w:insideV w:val="none" w:sz="0"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10" Type="http://schemas.openxmlformats.org/officeDocument/2006/relationships/image" Target="media/logo.png"/>
</Relationships>
</file>