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0C65" w14:textId="7CC08124" w:rsidR="00A238F4" w:rsidRPr="00416371" w:rsidRDefault="00416371" w:rsidP="00416371">
      <w:pPr>
        <w:spacing w:after="0" w:line="240" w:lineRule="auto"/>
        <w:ind w:left="360"/>
        <w:rPr>
          <w:rFonts w:ascii="Arial" w:hAnsi="Arial" w:cs="Arial"/>
        </w:rPr>
      </w:pPr>
      <w:r w:rsidRPr="00416371">
        <w:rPr>
          <w:rFonts w:ascii="Arial" w:hAnsi="Arial" w:cs="Arial"/>
        </w:rPr>
        <w:t>As part of Acadia's vendor selection process, respondents are requested to provide information regarding the cybersecurity, privacy, business continuity, and third-party risk controls applicable to the proposed solution. The information provided will be used as part of the initial vendor evaluation and may be supplemented by a more detailed security assessment for shortlisted vendors.</w:t>
      </w:r>
    </w:p>
    <w:p w14:paraId="451226E4" w14:textId="77777777" w:rsidR="00416371" w:rsidRPr="00416371" w:rsidRDefault="00416371" w:rsidP="00294493">
      <w:pPr>
        <w:spacing w:after="0" w:line="240" w:lineRule="auto"/>
        <w:ind w:left="720" w:hanging="360"/>
        <w:rPr>
          <w:rFonts w:ascii="Arial" w:hAnsi="Arial" w:cs="Arial"/>
        </w:rPr>
      </w:pPr>
    </w:p>
    <w:p w14:paraId="69407E12" w14:textId="2C2D4645" w:rsidR="00A238F4" w:rsidRPr="00502DBF" w:rsidRDefault="00A238F4" w:rsidP="00294493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02DBF">
        <w:rPr>
          <w:rFonts w:ascii="Arial" w:eastAsia="Times New Roman" w:hAnsi="Arial" w:cs="Arial"/>
          <w:b/>
          <w:bCs/>
          <w:kern w:val="0"/>
          <w14:ligatures w14:val="none"/>
        </w:rPr>
        <w:t>List any current cybersecurity or privacy certifications, attestations, or independent assessments relevant to the proposed solution (e.g., SOC 2, ISO 27001, HITRUST).</w:t>
      </w:r>
    </w:p>
    <w:p w14:paraId="4898A0E1" w14:textId="77777777" w:rsidR="00502DBF" w:rsidRDefault="00502DBF" w:rsidP="00502DBF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zh-CN"/>
          <w14:ligatures w14:val="none"/>
        </w:rPr>
      </w:pPr>
    </w:p>
    <w:p w14:paraId="26255AD9" w14:textId="2360256A" w:rsidR="00502DBF" w:rsidRDefault="00502DBF" w:rsidP="00502DBF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zh-CN"/>
          <w14:ligatures w14:val="none"/>
        </w:rPr>
      </w:pPr>
      <w:r w:rsidRPr="00502DBF">
        <w:rPr>
          <w:rFonts w:ascii="Arial" w:eastAsia="Times New Roman" w:hAnsi="Arial" w:cs="Arial"/>
          <w:kern w:val="0"/>
          <w14:ligatures w14:val="none"/>
        </w:rPr>
        <w:t xml:space="preserve">Chemical.AI holds ISO/IEC 27001 (information security management) and ISO 9001 (quality management). The SaaS platform runs on AWS, which maintains SOC 1/2/3 and ISO 27001 / 27017 / 27018. Independent assurance is provided through bi-annual external penetration tests and annual application security assessments combining automated and manual testing. </w:t>
      </w:r>
    </w:p>
    <w:p w14:paraId="11F08728" w14:textId="77777777" w:rsidR="00502DBF" w:rsidRPr="00502DBF" w:rsidRDefault="00502DBF" w:rsidP="00502DBF">
      <w:pPr>
        <w:spacing w:after="0" w:line="240" w:lineRule="auto"/>
        <w:rPr>
          <w:rFonts w:ascii="Arial" w:eastAsia="Times New Roman" w:hAnsi="Arial" w:cs="Arial"/>
          <w:kern w:val="0"/>
          <w:lang w:eastAsia="zh-CN"/>
          <w14:ligatures w14:val="none"/>
        </w:rPr>
      </w:pPr>
    </w:p>
    <w:p w14:paraId="452CF491" w14:textId="77777777" w:rsidR="00502DBF" w:rsidRPr="00416371" w:rsidRDefault="00502DBF" w:rsidP="00502DBF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zh-CN"/>
          <w14:ligatures w14:val="none"/>
        </w:rPr>
      </w:pPr>
    </w:p>
    <w:p w14:paraId="780E80CC" w14:textId="669D6650" w:rsidR="00502DBF" w:rsidRPr="00502DBF" w:rsidRDefault="00294493" w:rsidP="00502DBF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02DBF">
        <w:rPr>
          <w:rFonts w:ascii="Arial" w:eastAsia="Times New Roman" w:hAnsi="Arial" w:cs="Arial"/>
          <w:b/>
          <w:bCs/>
          <w:kern w:val="0"/>
          <w14:ligatures w14:val="none"/>
        </w:rPr>
        <w:t xml:space="preserve">Describe </w:t>
      </w:r>
      <w:r w:rsidR="00A238F4" w:rsidRPr="00502DBF">
        <w:rPr>
          <w:rFonts w:ascii="Arial" w:eastAsia="Times New Roman" w:hAnsi="Arial" w:cs="Arial"/>
          <w:b/>
          <w:bCs/>
          <w:kern w:val="0"/>
          <w14:ligatures w14:val="none"/>
        </w:rPr>
        <w:t>your</w:t>
      </w:r>
      <w:r w:rsidRPr="00502DBF">
        <w:rPr>
          <w:rFonts w:ascii="Arial" w:eastAsia="Times New Roman" w:hAnsi="Arial" w:cs="Arial"/>
          <w:b/>
          <w:bCs/>
          <w:kern w:val="0"/>
          <w14:ligatures w14:val="none"/>
        </w:rPr>
        <w:t xml:space="preserve"> cybersecurity and privacy programs.</w:t>
      </w:r>
    </w:p>
    <w:p w14:paraId="78307E21" w14:textId="77777777" w:rsidR="00502DBF" w:rsidRDefault="00502DBF" w:rsidP="00502DBF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3215FD" w14:textId="7D430F8D" w:rsidR="00502DBF" w:rsidRDefault="00502DBF" w:rsidP="00502DBF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zh-CN"/>
          <w14:ligatures w14:val="none"/>
        </w:rPr>
      </w:pPr>
      <w:r w:rsidRPr="00502DBF">
        <w:rPr>
          <w:rFonts w:ascii="Arial" w:eastAsia="Times New Roman" w:hAnsi="Arial" w:cs="Arial"/>
          <w:kern w:val="0"/>
          <w14:ligatures w14:val="none"/>
        </w:rPr>
        <w:t xml:space="preserve">Security is governed by an ISO 27001 ISMS operated by a dedicated data-security team, with a Data Protection Officer. Controls span secure SDLC (SonarQube and </w:t>
      </w:r>
      <w:proofErr w:type="spellStart"/>
      <w:r w:rsidRPr="00502DBF">
        <w:rPr>
          <w:rFonts w:ascii="Arial" w:eastAsia="Times New Roman" w:hAnsi="Arial" w:cs="Arial"/>
          <w:kern w:val="0"/>
          <w14:ligatures w14:val="none"/>
        </w:rPr>
        <w:t>Trivy</w:t>
      </w:r>
      <w:proofErr w:type="spellEnd"/>
      <w:r w:rsidRPr="00502DBF">
        <w:rPr>
          <w:rFonts w:ascii="Arial" w:eastAsia="Times New Roman" w:hAnsi="Arial" w:cs="Arial"/>
          <w:kern w:val="0"/>
          <w14:ligatures w14:val="none"/>
        </w:rPr>
        <w:t xml:space="preserve"> in CI/CD, OWASP scanning each release), continuous monitoring (AWS </w:t>
      </w:r>
      <w:proofErr w:type="spellStart"/>
      <w:r w:rsidRPr="00502DBF">
        <w:rPr>
          <w:rFonts w:ascii="Arial" w:eastAsia="Times New Roman" w:hAnsi="Arial" w:cs="Arial"/>
          <w:kern w:val="0"/>
          <w14:ligatures w14:val="none"/>
        </w:rPr>
        <w:t>GuardDuty</w:t>
      </w:r>
      <w:proofErr w:type="spellEnd"/>
      <w:r w:rsidRPr="00502DBF">
        <w:rPr>
          <w:rFonts w:ascii="Arial" w:eastAsia="Times New Roman" w:hAnsi="Arial" w:cs="Arial"/>
          <w:kern w:val="0"/>
          <w14:ligatures w14:val="none"/>
        </w:rPr>
        <w:t>, WAF, hardware firewalls, threat-intelligence feeds), RBAC and privileged-access management, and regular vulnerability management. The privacy program is GDPR-aligned, with a GDPR-compliant Data Processing Agreement available (Chemical.AI as processor) and a published privacy policy. Only minimal PII is processed (name, email, company name); no data is shared with third parties, and for SaaS there is no international data transfer (data remains in AWS us-west-1).</w:t>
      </w:r>
    </w:p>
    <w:p w14:paraId="5A2E897A" w14:textId="77777777" w:rsidR="00502DBF" w:rsidRPr="00502DBF" w:rsidRDefault="00502DBF" w:rsidP="00502DBF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zh-CN"/>
          <w14:ligatures w14:val="none"/>
        </w:rPr>
      </w:pPr>
    </w:p>
    <w:p w14:paraId="136DEABE" w14:textId="5F8733E6" w:rsidR="00294493" w:rsidRPr="00502DBF" w:rsidRDefault="00294493" w:rsidP="00294493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02DBF">
        <w:rPr>
          <w:rFonts w:ascii="Arial" w:eastAsia="Times New Roman" w:hAnsi="Arial" w:cs="Arial"/>
          <w:b/>
          <w:bCs/>
          <w:kern w:val="0"/>
          <w14:ligatures w14:val="none"/>
        </w:rPr>
        <w:t xml:space="preserve">Describe </w:t>
      </w:r>
      <w:r w:rsidR="00A238F4" w:rsidRPr="00502DBF">
        <w:rPr>
          <w:rFonts w:ascii="Arial" w:eastAsia="Times New Roman" w:hAnsi="Arial" w:cs="Arial"/>
          <w:b/>
          <w:bCs/>
          <w:kern w:val="0"/>
          <w14:ligatures w14:val="none"/>
        </w:rPr>
        <w:t>your</w:t>
      </w:r>
      <w:r w:rsidRPr="00502DBF">
        <w:rPr>
          <w:rFonts w:ascii="Arial" w:eastAsia="Times New Roman" w:hAnsi="Arial" w:cs="Arial"/>
          <w:b/>
          <w:bCs/>
          <w:kern w:val="0"/>
          <w14:ligatures w14:val="none"/>
        </w:rPr>
        <w:t xml:space="preserve"> incident management program. </w:t>
      </w:r>
    </w:p>
    <w:p w14:paraId="622571D0" w14:textId="77777777" w:rsidR="00502DBF" w:rsidRDefault="00502DBF" w:rsidP="00502DBF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5FA6905" w14:textId="50210590" w:rsidR="00502DBF" w:rsidRDefault="00502DBF" w:rsidP="00502DBF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zh-CN"/>
          <w14:ligatures w14:val="none"/>
        </w:rPr>
      </w:pPr>
      <w:r w:rsidRPr="00502DBF">
        <w:rPr>
          <w:rFonts w:ascii="Arial" w:eastAsia="Times New Roman" w:hAnsi="Arial" w:cs="Arial"/>
          <w:kern w:val="0"/>
          <w14:ligatures w14:val="none"/>
        </w:rPr>
        <w:t>A dedicated incident-response team (security specialists, operations, and development leads) monitors, identifies and responds to security events. The documented process covers classification/prioritization, initial assessment, threat isolation, impact mitigation, and post-incident root-cause analysis with control improvement. Evidence is preserved for forensic analysis, and the DPA commits Chemical.AI to prompt breach notification to the customer.</w:t>
      </w:r>
    </w:p>
    <w:p w14:paraId="198C2113" w14:textId="77777777" w:rsidR="00502DBF" w:rsidRPr="00416371" w:rsidRDefault="00502DBF" w:rsidP="00502DBF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zh-CN"/>
          <w14:ligatures w14:val="none"/>
        </w:rPr>
      </w:pPr>
    </w:p>
    <w:p w14:paraId="1574961A" w14:textId="00A50715" w:rsidR="00294493" w:rsidRPr="00502DBF" w:rsidRDefault="00294493" w:rsidP="00294493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02DBF">
        <w:rPr>
          <w:rFonts w:ascii="Arial" w:eastAsia="Times New Roman" w:hAnsi="Arial" w:cs="Arial"/>
          <w:b/>
          <w:bCs/>
          <w:kern w:val="0"/>
          <w14:ligatures w14:val="none"/>
        </w:rPr>
        <w:t xml:space="preserve">Describe </w:t>
      </w:r>
      <w:r w:rsidR="00A238F4" w:rsidRPr="00502DBF">
        <w:rPr>
          <w:rFonts w:ascii="Arial" w:eastAsia="Times New Roman" w:hAnsi="Arial" w:cs="Arial"/>
          <w:b/>
          <w:bCs/>
          <w:kern w:val="0"/>
          <w14:ligatures w14:val="none"/>
        </w:rPr>
        <w:t>your</w:t>
      </w:r>
      <w:r w:rsidRPr="00502DBF">
        <w:rPr>
          <w:rFonts w:ascii="Arial" w:eastAsia="Times New Roman" w:hAnsi="Arial" w:cs="Arial"/>
          <w:b/>
          <w:bCs/>
          <w:kern w:val="0"/>
          <w14:ligatures w14:val="none"/>
        </w:rPr>
        <w:t xml:space="preserve"> process to review user access.</w:t>
      </w:r>
    </w:p>
    <w:p w14:paraId="581EC45B" w14:textId="77777777" w:rsidR="00502DBF" w:rsidRDefault="00502DBF" w:rsidP="00502DBF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45D89A" w14:textId="363B4003" w:rsidR="00502DBF" w:rsidRDefault="00502DBF" w:rsidP="00502DBF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02DBF">
        <w:rPr>
          <w:rFonts w:ascii="Arial" w:eastAsia="Times New Roman" w:hAnsi="Arial" w:cs="Arial"/>
          <w:kern w:val="0"/>
          <w14:ligatures w14:val="none"/>
        </w:rPr>
        <w:t>Access is role-based (RBAC) under the Access Control Policy and Privileged Access Management Policy</w:t>
      </w:r>
      <w:r w:rsidR="00E55DD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02DBF">
        <w:rPr>
          <w:rFonts w:ascii="Arial" w:eastAsia="Times New Roman" w:hAnsi="Arial" w:cs="Arial"/>
          <w:kern w:val="0"/>
          <w14:ligatures w14:val="none"/>
        </w:rPr>
        <w:t xml:space="preserve">applying least-privilege and separation-of-duties. Permissions are reviewed on a defined cadence — quarterly for privileged accounts and semi-annually for regular users — with all permission changes recorded. All access to sensitive systems and data is logged and auditable; in </w:t>
      </w:r>
      <w:r w:rsidRPr="00502DBF">
        <w:rPr>
          <w:rFonts w:ascii="Arial" w:eastAsia="Times New Roman" w:hAnsi="Arial" w:cs="Arial"/>
          <w:kern w:val="0"/>
          <w14:ligatures w14:val="none"/>
        </w:rPr>
        <w:lastRenderedPageBreak/>
        <w:t>SaaS, Chemical.AI data access requires a one-time, CEO-approved privilege with business justification.</w:t>
      </w:r>
    </w:p>
    <w:p w14:paraId="08149692" w14:textId="77777777" w:rsidR="00502DBF" w:rsidRPr="00416371" w:rsidRDefault="00502DBF" w:rsidP="00502DBF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4AF2469" w14:textId="5958E098" w:rsidR="00294493" w:rsidRPr="00052925" w:rsidRDefault="00294493" w:rsidP="00294493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52925">
        <w:rPr>
          <w:rFonts w:ascii="Arial" w:eastAsia="Times New Roman" w:hAnsi="Arial" w:cs="Arial"/>
          <w:b/>
          <w:bCs/>
          <w:kern w:val="0"/>
          <w14:ligatures w14:val="none"/>
        </w:rPr>
        <w:t>Describe how multi-factor authentication is utilized, include type of MFA and to which systems it applies to.</w:t>
      </w:r>
    </w:p>
    <w:p w14:paraId="0540704C" w14:textId="77777777" w:rsid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0A3AA85" w14:textId="65AE884E" w:rsidR="00052925" w:rsidRDefault="004B6CAC" w:rsidP="004B6CAC">
      <w:pPr>
        <w:spacing w:after="0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4B6CAC">
        <w:rPr>
          <w:rFonts w:ascii="Arial" w:eastAsia="Times New Roman" w:hAnsi="Arial" w:cs="Arial"/>
          <w:kern w:val="0"/>
          <w14:ligatures w14:val="none"/>
        </w:rPr>
        <w:t xml:space="preserve">MFA is enabled for the </w:t>
      </w:r>
      <w:proofErr w:type="spellStart"/>
      <w:r w:rsidRPr="004B6CAC">
        <w:rPr>
          <w:rFonts w:ascii="Arial" w:eastAsia="Times New Roman" w:hAnsi="Arial" w:cs="Arial"/>
          <w:kern w:val="0"/>
          <w14:ligatures w14:val="none"/>
        </w:rPr>
        <w:t>ChemAIRS</w:t>
      </w:r>
      <w:proofErr w:type="spellEnd"/>
      <w:r w:rsidRPr="004B6CAC">
        <w:rPr>
          <w:rFonts w:ascii="Arial" w:eastAsia="Times New Roman" w:hAnsi="Arial" w:cs="Arial"/>
          <w:kern w:val="0"/>
          <w14:ligatures w14:val="none"/>
        </w:rPr>
        <w:t xml:space="preserve"> application via time-based one-time passwords (TOTP) using an authenticator app (e.g., Google/Microsoft Authenticator), layered on the primary password credential. Additionally, </w:t>
      </w:r>
      <w:proofErr w:type="spellStart"/>
      <w:r w:rsidRPr="004B6CAC">
        <w:rPr>
          <w:rFonts w:ascii="Arial" w:eastAsia="Times New Roman" w:hAnsi="Arial" w:cs="Arial"/>
          <w:kern w:val="0"/>
          <w14:ligatures w14:val="none"/>
        </w:rPr>
        <w:t>ChemAIRS</w:t>
      </w:r>
      <w:proofErr w:type="spellEnd"/>
      <w:r w:rsidRPr="004B6CAC">
        <w:rPr>
          <w:rFonts w:ascii="Arial" w:eastAsia="Times New Roman" w:hAnsi="Arial" w:cs="Arial"/>
          <w:kern w:val="0"/>
          <w14:ligatures w14:val="none"/>
        </w:rPr>
        <w:t xml:space="preserve"> supports federated SSO via Azure AD (SAML 2.0 / OAuth 2.0), allowing MFA to be enforced through the customer's own identity provider — recommended for privileged and sensitive-data access. MFA applies to interactive user access to the </w:t>
      </w:r>
      <w:proofErr w:type="spellStart"/>
      <w:r w:rsidRPr="004B6CAC">
        <w:rPr>
          <w:rFonts w:ascii="Arial" w:eastAsia="Times New Roman" w:hAnsi="Arial" w:cs="Arial"/>
          <w:kern w:val="0"/>
          <w14:ligatures w14:val="none"/>
        </w:rPr>
        <w:t>ChemAIRS</w:t>
      </w:r>
      <w:proofErr w:type="spellEnd"/>
      <w:r w:rsidRPr="004B6CAC">
        <w:rPr>
          <w:rFonts w:ascii="Arial" w:eastAsia="Times New Roman" w:hAnsi="Arial" w:cs="Arial"/>
          <w:kern w:val="0"/>
          <w14:ligatures w14:val="none"/>
        </w:rPr>
        <w:t xml:space="preserve"> application.</w:t>
      </w:r>
    </w:p>
    <w:p w14:paraId="4109ED16" w14:textId="77777777" w:rsidR="004B6CAC" w:rsidRPr="00052925" w:rsidRDefault="004B6CAC" w:rsidP="0005292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149621" w14:textId="4EA0D5C6" w:rsidR="00294493" w:rsidRDefault="00294493" w:rsidP="00294493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52925">
        <w:rPr>
          <w:rFonts w:ascii="Arial" w:eastAsia="Times New Roman" w:hAnsi="Arial" w:cs="Arial"/>
          <w:b/>
          <w:bCs/>
          <w:kern w:val="0"/>
          <w14:ligatures w14:val="none"/>
        </w:rPr>
        <w:t xml:space="preserve">Describe </w:t>
      </w:r>
      <w:r w:rsidR="00A238F4" w:rsidRPr="00052925">
        <w:rPr>
          <w:rFonts w:ascii="Arial" w:eastAsia="Times New Roman" w:hAnsi="Arial" w:cs="Arial"/>
          <w:b/>
          <w:bCs/>
          <w:kern w:val="0"/>
          <w14:ligatures w14:val="none"/>
        </w:rPr>
        <w:t>your</w:t>
      </w:r>
      <w:r w:rsidRPr="00052925">
        <w:rPr>
          <w:rFonts w:ascii="Arial" w:eastAsia="Times New Roman" w:hAnsi="Arial" w:cs="Arial"/>
          <w:b/>
          <w:bCs/>
          <w:kern w:val="0"/>
          <w14:ligatures w14:val="none"/>
        </w:rPr>
        <w:t xml:space="preserve"> security awareness training program.</w:t>
      </w:r>
    </w:p>
    <w:p w14:paraId="531AB83E" w14:textId="77777777" w:rsidR="00052925" w:rsidRP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5631FAC5" w14:textId="1B0EA44A" w:rsid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52925">
        <w:rPr>
          <w:rFonts w:ascii="Arial" w:eastAsia="Times New Roman" w:hAnsi="Arial" w:cs="Arial"/>
          <w:kern w:val="0"/>
          <w14:ligatures w14:val="none"/>
        </w:rPr>
        <w:t>All employees complete mandatory security awareness training twice per year,</w:t>
      </w:r>
    </w:p>
    <w:p w14:paraId="63AFA834" w14:textId="77777777" w:rsidR="00052925" w:rsidRPr="00416371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19B656" w14:textId="77F566A4" w:rsidR="00294493" w:rsidRPr="00052925" w:rsidRDefault="00A238F4" w:rsidP="00294493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52925">
        <w:rPr>
          <w:rFonts w:ascii="Arial" w:eastAsia="Times New Roman" w:hAnsi="Arial" w:cs="Arial"/>
          <w:b/>
          <w:bCs/>
          <w:kern w:val="0"/>
          <w14:ligatures w14:val="none"/>
        </w:rPr>
        <w:t>Encryption is required for all in-scope data for the solution to be considered for selection. Describe how in-scope data is protected in transit and at rest, including the encryption standards utilized.</w:t>
      </w:r>
    </w:p>
    <w:p w14:paraId="1D4B894F" w14:textId="77777777" w:rsid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13B8054" w14:textId="4B9D1D0D" w:rsid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52925">
        <w:rPr>
          <w:rFonts w:ascii="Arial" w:eastAsia="Times New Roman" w:hAnsi="Arial" w:cs="Arial"/>
          <w:kern w:val="0"/>
          <w14:ligatures w14:val="none"/>
        </w:rPr>
        <w:t>In transit: TLS 1.3 (preferred), TLS 1.2 minimum, with AES-256; HTTPS enforced for all web traffic and TLS for database connections. At rest: AES-256 for sensitive data, with data stored using a private encryption algorithm in hashed-and-salted form; sensitive fields (e.g., chemical structures/SMILES, passwords) are AES-256 encrypted in memory before storage. Backups are AES-256 encrypted.</w:t>
      </w:r>
    </w:p>
    <w:p w14:paraId="20F29E13" w14:textId="77777777" w:rsidR="00052925" w:rsidRPr="00416371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AD72B4" w14:textId="77777777" w:rsidR="00294493" w:rsidRPr="00052925" w:rsidRDefault="00294493" w:rsidP="00294493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52925">
        <w:rPr>
          <w:rFonts w:ascii="Arial" w:eastAsia="Times New Roman" w:hAnsi="Arial" w:cs="Arial"/>
          <w:b/>
          <w:bCs/>
          <w:kern w:val="0"/>
          <w14:ligatures w14:val="none"/>
        </w:rPr>
        <w:t>Describe how in scope systems/data are protected against malicious or accidental data loss, data alteration, and data destruction.</w:t>
      </w:r>
    </w:p>
    <w:p w14:paraId="169C189A" w14:textId="77777777" w:rsid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42B1FD" w14:textId="1FFF036C" w:rsid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52925">
        <w:rPr>
          <w:rFonts w:ascii="Arial" w:eastAsia="Times New Roman" w:hAnsi="Arial" w:cs="Arial"/>
          <w:kern w:val="0"/>
          <w14:ligatures w14:val="none"/>
        </w:rPr>
        <w:t>Layered controls: daily full backups (7 generations) stored across multiple physically isolated AWS availability zones, plus a remote disaster-recovery backup; backups are AES-256 encrypted and isolated to limit ransomware exposure, with regular automated recovery testing. Integrity and least-privilege controls include RBAC, tenant isolation, comprehensive audit logging (traceability of every action on data), AWS WAF/</w:t>
      </w:r>
      <w:proofErr w:type="spellStart"/>
      <w:r w:rsidRPr="00052925">
        <w:rPr>
          <w:rFonts w:ascii="Arial" w:eastAsia="Times New Roman" w:hAnsi="Arial" w:cs="Arial"/>
          <w:kern w:val="0"/>
          <w14:ligatures w14:val="none"/>
        </w:rPr>
        <w:t>GuardDuty</w:t>
      </w:r>
      <w:proofErr w:type="spellEnd"/>
      <w:r w:rsidRPr="00052925">
        <w:rPr>
          <w:rFonts w:ascii="Arial" w:eastAsia="Times New Roman" w:hAnsi="Arial" w:cs="Arial"/>
          <w:kern w:val="0"/>
          <w14:ligatures w14:val="none"/>
        </w:rPr>
        <w:t>/firewalls and malware scanning. Data deletion occurs only through an authorized, audited workflow.</w:t>
      </w:r>
    </w:p>
    <w:p w14:paraId="605A8483" w14:textId="77777777" w:rsidR="00052925" w:rsidRPr="00416371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1667CA" w14:textId="72CC9182" w:rsidR="00294493" w:rsidRPr="00052925" w:rsidRDefault="00294493" w:rsidP="00294493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52925">
        <w:rPr>
          <w:rFonts w:ascii="Arial" w:eastAsia="Times New Roman" w:hAnsi="Arial" w:cs="Arial"/>
          <w:b/>
          <w:bCs/>
          <w:kern w:val="0"/>
          <w14:ligatures w14:val="none"/>
        </w:rPr>
        <w:t>Describe the recovery time objective (RTO) for in scope systems/data.</w:t>
      </w:r>
    </w:p>
    <w:p w14:paraId="3F585922" w14:textId="77777777" w:rsid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338482" w14:textId="5A729E40" w:rsid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52925">
        <w:rPr>
          <w:rFonts w:ascii="Arial" w:eastAsia="Times New Roman" w:hAnsi="Arial" w:cs="Arial" w:hint="eastAsia"/>
          <w:kern w:val="0"/>
          <w14:ligatures w14:val="none"/>
        </w:rPr>
        <w:t>≤ 4 hours.</w:t>
      </w:r>
    </w:p>
    <w:p w14:paraId="501F2B4C" w14:textId="77777777" w:rsidR="00052925" w:rsidRPr="00416371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3DEC3DF" w14:textId="594A1015" w:rsidR="00052925" w:rsidRPr="00052925" w:rsidRDefault="00294493" w:rsidP="00052925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52925">
        <w:rPr>
          <w:rFonts w:ascii="Arial" w:eastAsia="Times New Roman" w:hAnsi="Arial" w:cs="Arial"/>
          <w:b/>
          <w:bCs/>
          <w:kern w:val="0"/>
          <w14:ligatures w14:val="none"/>
        </w:rPr>
        <w:t>Describe the recovery point objective (RPO) for in scope systems/data.</w:t>
      </w:r>
    </w:p>
    <w:p w14:paraId="604EC792" w14:textId="77777777" w:rsid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2C66DD" w14:textId="311EE3EC" w:rsidR="00052925" w:rsidRP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52925">
        <w:rPr>
          <w:rFonts w:ascii="Arial" w:eastAsia="Times New Roman" w:hAnsi="Arial" w:cs="Arial" w:hint="eastAsia"/>
          <w:kern w:val="0"/>
          <w14:ligatures w14:val="none"/>
        </w:rPr>
        <w:lastRenderedPageBreak/>
        <w:t>≤ 1 hour.</w:t>
      </w:r>
    </w:p>
    <w:p w14:paraId="16C200F8" w14:textId="63706E7C" w:rsidR="00294493" w:rsidRPr="00052925" w:rsidRDefault="00294493" w:rsidP="00294493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52925">
        <w:rPr>
          <w:rFonts w:ascii="Arial" w:eastAsia="Times New Roman" w:hAnsi="Arial" w:cs="Arial"/>
          <w:b/>
          <w:bCs/>
          <w:kern w:val="0"/>
          <w14:ligatures w14:val="none"/>
        </w:rPr>
        <w:t>Describe your vendor risk management program.</w:t>
      </w:r>
    </w:p>
    <w:p w14:paraId="6288A83B" w14:textId="77777777" w:rsid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EC8473E" w14:textId="6B8DA24A" w:rsidR="00052925" w:rsidRDefault="00052925" w:rsidP="00052925">
      <w:pPr>
        <w:spacing w:after="0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052925">
        <w:rPr>
          <w:rFonts w:ascii="Arial" w:eastAsia="Times New Roman" w:hAnsi="Arial" w:cs="Arial"/>
          <w:kern w:val="0"/>
          <w14:ligatures w14:val="none"/>
        </w:rPr>
        <w:t>Chemical.AI maintains a minimal third-party footprint. For the SaaS offering, the only external service provider is Amazon Web Services (AWS), which provides the underlying cloud infrastructure and maintains SOC 1/2/3 and ISO 27001/27017/27018 certifications. No subcontractors are used, and no other third parties have access to in-scope systems or data.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52925">
        <w:rPr>
          <w:rFonts w:ascii="Arial" w:eastAsia="Times New Roman" w:hAnsi="Arial" w:cs="Arial"/>
          <w:kern w:val="0"/>
          <w14:ligatures w14:val="none"/>
        </w:rPr>
        <w:t>For local (on-premise) deployment, no third parties have any access — all data remains within the customer's own infrastructure.</w:t>
      </w:r>
    </w:p>
    <w:p w14:paraId="7B4C97A1" w14:textId="77777777" w:rsidR="00052925" w:rsidRPr="00052925" w:rsidRDefault="00052925" w:rsidP="0005292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D9DAB19" w14:textId="792BFCB5" w:rsidR="00052925" w:rsidRPr="00052925" w:rsidRDefault="00294493" w:rsidP="00052925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52925">
        <w:rPr>
          <w:rFonts w:ascii="Arial" w:eastAsia="Times New Roman" w:hAnsi="Arial" w:cs="Arial"/>
          <w:b/>
          <w:bCs/>
          <w:kern w:val="0"/>
          <w14:ligatures w14:val="none"/>
        </w:rPr>
        <w:t>List all third-party organizations (fourth-party to Acadia) that have access to in scope systems/data.</w:t>
      </w:r>
    </w:p>
    <w:p w14:paraId="490C982B" w14:textId="77777777" w:rsid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AB9F7A" w14:textId="3B5634F1" w:rsid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52925">
        <w:rPr>
          <w:rFonts w:ascii="Arial" w:eastAsia="Times New Roman" w:hAnsi="Arial" w:cs="Arial"/>
          <w:kern w:val="0"/>
          <w14:ligatures w14:val="none"/>
        </w:rPr>
        <w:t xml:space="preserve">For SaaS, the sole fourth party is Amazon Web Services (AWS), providing infrastructure services (RDS, EKS, S3 for limited static assets, CloudWatch, </w:t>
      </w:r>
      <w:proofErr w:type="spellStart"/>
      <w:r w:rsidRPr="00052925">
        <w:rPr>
          <w:rFonts w:ascii="Arial" w:eastAsia="Times New Roman" w:hAnsi="Arial" w:cs="Arial"/>
          <w:kern w:val="0"/>
          <w14:ligatures w14:val="none"/>
        </w:rPr>
        <w:t>GuardDuty</w:t>
      </w:r>
      <w:proofErr w:type="spellEnd"/>
      <w:r w:rsidRPr="00052925">
        <w:rPr>
          <w:rFonts w:ascii="Arial" w:eastAsia="Times New Roman" w:hAnsi="Arial" w:cs="Arial"/>
          <w:kern w:val="0"/>
          <w14:ligatures w14:val="none"/>
        </w:rPr>
        <w:t>, WAF) in us-west-1; AWS provides the hosting layer and does not access application data content. No other subcontractors are used.</w:t>
      </w:r>
    </w:p>
    <w:p w14:paraId="005A9E5C" w14:textId="77777777" w:rsidR="00052925" w:rsidRPr="00052925" w:rsidRDefault="00052925" w:rsidP="0005292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8714BD4" w14:textId="74F0FFD5" w:rsidR="00052925" w:rsidRPr="00052925" w:rsidRDefault="00294493" w:rsidP="00052925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52925">
        <w:rPr>
          <w:rFonts w:ascii="Arial" w:eastAsia="Times New Roman" w:hAnsi="Arial" w:cs="Arial"/>
          <w:b/>
          <w:bCs/>
          <w:kern w:val="0"/>
          <w14:ligatures w14:val="none"/>
        </w:rPr>
        <w:t>Detail how AI/ML/LLM systems are used for in scope systems/data, to include model training and where automation is used to make decisions.</w:t>
      </w:r>
    </w:p>
    <w:p w14:paraId="15A9D20C" w14:textId="77777777" w:rsid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761709" w14:textId="1918F9AB" w:rsidR="00052925" w:rsidRPr="00052925" w:rsidRDefault="00052925" w:rsidP="00052925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052925">
        <w:rPr>
          <w:rFonts w:ascii="Arial" w:eastAsia="Times New Roman" w:hAnsi="Arial" w:cs="Arial"/>
          <w:kern w:val="0"/>
          <w14:ligatures w14:val="none"/>
        </w:rPr>
        <w:t>ChemAIRS</w:t>
      </w:r>
      <w:proofErr w:type="spellEnd"/>
      <w:r w:rsidRPr="00052925">
        <w:rPr>
          <w:rFonts w:ascii="Arial" w:eastAsia="Times New Roman" w:hAnsi="Arial" w:cs="Arial"/>
          <w:kern w:val="0"/>
          <w14:ligatures w14:val="none"/>
        </w:rPr>
        <w:t xml:space="preserve"> applies AI/ML to chemistry tasks only — retrosynthesis route prediction, forward synthesis, impurity prediction, condition optimization, and synthetic-feasibility analysis. It uses pre-trained models for inference only. In-scope/client data is never used to train or fine-tune models — no transfer learning, no data reuse, no contribution to </w:t>
      </w:r>
      <w:proofErr w:type="spellStart"/>
      <w:r w:rsidRPr="00052925">
        <w:rPr>
          <w:rFonts w:ascii="Arial" w:eastAsia="Times New Roman" w:hAnsi="Arial" w:cs="Arial"/>
          <w:kern w:val="0"/>
          <w14:ligatures w14:val="none"/>
        </w:rPr>
        <w:t>Chemical.AI's</w:t>
      </w:r>
      <w:proofErr w:type="spellEnd"/>
      <w:r w:rsidRPr="00052925">
        <w:rPr>
          <w:rFonts w:ascii="Arial" w:eastAsia="Times New Roman" w:hAnsi="Arial" w:cs="Arial"/>
          <w:kern w:val="0"/>
          <w14:ligatures w14:val="none"/>
        </w:rPr>
        <w:t xml:space="preserve"> general models.</w:t>
      </w:r>
    </w:p>
    <w:sectPr w:rsidR="00052925" w:rsidRPr="00052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44C45"/>
    <w:multiLevelType w:val="hybridMultilevel"/>
    <w:tmpl w:val="75D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21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93"/>
    <w:rsid w:val="00052925"/>
    <w:rsid w:val="000755A0"/>
    <w:rsid w:val="00294493"/>
    <w:rsid w:val="00387E20"/>
    <w:rsid w:val="00416371"/>
    <w:rsid w:val="00465F87"/>
    <w:rsid w:val="004B6CAC"/>
    <w:rsid w:val="004C3722"/>
    <w:rsid w:val="00502DBF"/>
    <w:rsid w:val="00A238F4"/>
    <w:rsid w:val="00AE0264"/>
    <w:rsid w:val="00DD0897"/>
    <w:rsid w:val="00E55DD5"/>
    <w:rsid w:val="00F41619"/>
    <w:rsid w:val="00F67365"/>
    <w:rsid w:val="00FA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BB97A"/>
  <w15:chartTrackingRefBased/>
  <w15:docId w15:val="{BE69FE56-AB91-43B6-814E-3AFA5049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d7b117-fca4-411d-962b-cb9dab10dbe2">
      <Terms xmlns="http://schemas.microsoft.com/office/infopath/2007/PartnerControls"/>
    </lcf76f155ced4ddcb4097134ff3c332f>
    <TaxCatchAll xmlns="123c28e7-461e-4bbd-8aa2-23d6276d309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8EA519744314FB20867797A560ADD" ma:contentTypeVersion="11" ma:contentTypeDescription="Create a new document." ma:contentTypeScope="" ma:versionID="7450be870a812f69ebe7db2b9ac57ce1">
  <xsd:schema xmlns:xsd="http://www.w3.org/2001/XMLSchema" xmlns:xs="http://www.w3.org/2001/XMLSchema" xmlns:p="http://schemas.microsoft.com/office/2006/metadata/properties" xmlns:ns2="36d7b117-fca4-411d-962b-cb9dab10dbe2" xmlns:ns3="123c28e7-461e-4bbd-8aa2-23d6276d3090" targetNamespace="http://schemas.microsoft.com/office/2006/metadata/properties" ma:root="true" ma:fieldsID="4545ace2b15c21c22df6dd08b14ea877" ns2:_="" ns3:_="">
    <xsd:import namespace="36d7b117-fca4-411d-962b-cb9dab10dbe2"/>
    <xsd:import namespace="123c28e7-461e-4bbd-8aa2-23d6276d30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7b117-fca4-411d-962b-cb9dab10d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3c2fcfb-e4dc-4053-b1d0-2c69f7662c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c28e7-461e-4bbd-8aa2-23d6276d30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98e272f-3688-4fa0-81cd-f056e0e474fa}" ma:internalName="TaxCatchAll" ma:showField="CatchAllData" ma:web="123c28e7-461e-4bbd-8aa2-23d6276d30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006780-BBE0-4053-B80E-25008410BA6F}">
  <ds:schemaRefs>
    <ds:schemaRef ds:uri="http://schemas.microsoft.com/office/2006/metadata/properties"/>
    <ds:schemaRef ds:uri="http://schemas.microsoft.com/office/infopath/2007/PartnerControls"/>
    <ds:schemaRef ds:uri="36d7b117-fca4-411d-962b-cb9dab10dbe2"/>
    <ds:schemaRef ds:uri="123c28e7-461e-4bbd-8aa2-23d6276d3090"/>
  </ds:schemaRefs>
</ds:datastoreItem>
</file>

<file path=customXml/itemProps2.xml><?xml version="1.0" encoding="utf-8"?>
<ds:datastoreItem xmlns:ds="http://schemas.openxmlformats.org/officeDocument/2006/customXml" ds:itemID="{98BFAEBE-D334-4667-8EB1-4F699537B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7b117-fca4-411d-962b-cb9dab10dbe2"/>
    <ds:schemaRef ds:uri="123c28e7-461e-4bbd-8aa2-23d6276d3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7942E6-0EB2-4280-A7D2-DE1022591E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Condos</dc:creator>
  <cp:keywords/>
  <dc:description/>
  <cp:lastModifiedBy>Jay Huang</cp:lastModifiedBy>
  <cp:revision>10</cp:revision>
  <dcterms:created xsi:type="dcterms:W3CDTF">2026-07-07T16:42:00Z</dcterms:created>
  <dcterms:modified xsi:type="dcterms:W3CDTF">2026-07-10T14:12:00Z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0x0101009CE8EA519744314FB20867797A560ADD</vt:lpwstr>
  </property>
</Properties>
</file>