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Udaan Multi-Speciality Centre — CT investment proposal</w:t>
      </w:r>
    </w:p>
    <w:p>
      <w:pPr>
        <w:pStyle w:val="Heading1"/>
      </w:pPr>
      <w:r>
        <w:t xml:space="preserve">1. Executive summary</w:t>
      </w:r>
    </w:p>
    <w:p>
      <w:r>
        <w:t xml:space="preserve">Based on the entered assumptions, the proposed CT investment shows a simple payback period of 1.9 yr and an estimated ROI of 63.1% on the realized-revenue view. The Investment Outlook is Strong (100/100); the project may require approximately ₹22,21,373 of working capital support around month 14.</w:t>
      </w:r>
    </w:p>
    <w:p>
      <w:pPr>
        <w:pStyle w:val="Heading1"/>
      </w:pPr>
      <w:r>
        <w:t xml:space="preserve">2. Investment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Hospital</w:t>
            </w:r>
          </w:p>
        </w:tc>
        <w:tc>
          <w:tcPr>
            <w:tcW w:type="pct" w:w="55%"/>
          </w:tcPr>
          <w:p>
            <w:r>
              <w:t xml:space="preserve">Udaan Multi-Speciality Centre</w:t>
            </w:r>
          </w:p>
        </w:tc>
      </w:tr>
      <w:tr>
        <w:tc>
          <w:tcPr>
            <w:tcW w:type="pct" w:w="45%"/>
          </w:tcPr>
          <w:p>
            <w:r>
              <w:t xml:space="preserve">Equipment</w:t>
            </w:r>
          </w:p>
        </w:tc>
        <w:tc>
          <w:tcPr>
            <w:tcW w:type="pct" w:w="55%"/>
          </w:tcPr>
          <w:p>
            <w:r>
              <w:t xml:space="preserve">CT</w:t>
            </w:r>
          </w:p>
        </w:tc>
      </w:tr>
      <w:tr>
        <w:tc>
          <w:tcPr>
            <w:tcW w:type="pct" w:w="45%"/>
          </w:tcPr>
          <w:p>
            <w:r>
              <w:t xml:space="preserve">Initial investment</w:t>
            </w:r>
          </w:p>
        </w:tc>
        <w:tc>
          <w:tcPr>
            <w:tcW w:type="pct" w:w="55%"/>
          </w:tcPr>
          <w:p>
            <w:r>
              <w:t xml:space="preserve">₹4,85,00,000</w:t>
            </w:r>
          </w:p>
        </w:tc>
      </w:tr>
      <w:tr>
        <w:tc>
          <w:tcPr>
            <w:tcW w:type="pct" w:w="45%"/>
          </w:tcPr>
          <w:p>
            <w:r>
              <w:t xml:space="preserve">Useful life</w:t>
            </w:r>
          </w:p>
        </w:tc>
        <w:tc>
          <w:tcPr>
            <w:tcW w:type="pct" w:w="55%"/>
          </w:tcPr>
          <w:p>
            <w:r>
              <w:t xml:space="preserve">13 years</w:t>
            </w:r>
          </w:p>
        </w:tc>
      </w:tr>
      <w:tr>
        <w:tc>
          <w:tcPr>
            <w:tcW w:type="pct" w:w="45%"/>
          </w:tcPr>
          <w:p>
            <w:r>
              <w:t xml:space="preserve">Financing</w:t>
            </w:r>
          </w:p>
        </w:tc>
        <w:tc>
          <w:tcPr>
            <w:tcW w:type="pct" w:w="55%"/>
          </w:tcPr>
          <w:p>
            <w:r>
              <w:t xml:space="preserve">Purchased outright (cash)</w:t>
            </w:r>
          </w:p>
        </w:tc>
      </w:tr>
    </w:tbl>
    <w:p>
      <w:pPr>
        <w:pStyle w:val="Heading1"/>
      </w:pPr>
      <w:r>
        <w:t xml:space="preserve">3. Key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Usage per day</w:t>
            </w:r>
          </w:p>
        </w:tc>
        <w:tc>
          <w:tcPr>
            <w:tcW w:type="pct" w:w="55%"/>
          </w:tcPr>
          <w:p>
            <w:r>
              <w:t xml:space="preserve">14</w:t>
            </w:r>
          </w:p>
        </w:tc>
      </w:tr>
      <w:tr>
        <w:tc>
          <w:tcPr>
            <w:tcW w:type="pct" w:w="45%"/>
          </w:tcPr>
          <w:p>
            <w:r>
              <w:t xml:space="preserve">Working days per month</w:t>
            </w:r>
          </w:p>
        </w:tc>
        <w:tc>
          <w:tcPr>
            <w:tcW w:type="pct" w:w="55%"/>
          </w:tcPr>
          <w:p>
            <w:r>
              <w:t xml:space="preserve">25</w:t>
            </w:r>
          </w:p>
        </w:tc>
      </w:tr>
      <w:tr>
        <w:tc>
          <w:tcPr>
            <w:tcW w:type="pct" w:w="45%"/>
          </w:tcPr>
          <w:p>
            <w:r>
              <w:t xml:space="preserve">Variable cost per use</w:t>
            </w:r>
          </w:p>
        </w:tc>
        <w:tc>
          <w:tcPr>
            <w:tcW w:type="pct" w:w="55%"/>
          </w:tcPr>
          <w:p>
            <w:r>
              <w:t xml:space="preserve">₹500</w:t>
            </w:r>
          </w:p>
        </w:tc>
      </w:tr>
      <w:tr>
        <w:tc>
          <w:tcPr>
            <w:tcW w:type="pct" w:w="45%"/>
          </w:tcPr>
          <w:p>
            <w:r>
              <w:t xml:space="preserve">Fixed cost per month</w:t>
            </w:r>
          </w:p>
        </w:tc>
        <w:tc>
          <w:tcPr>
            <w:tcW w:type="pct" w:w="55%"/>
          </w:tcPr>
          <w:p>
            <w:r>
              <w:t xml:space="preserve">₹52,500</w:t>
            </w:r>
          </w:p>
        </w:tc>
      </w:tr>
      <w:tr>
        <w:tc>
          <w:tcPr>
            <w:tcW w:type="pct" w:w="45%"/>
          </w:tcPr>
          <w:p>
            <w:r>
              <w:t xml:space="preserve">Discount rate</w:t>
            </w:r>
          </w:p>
        </w:tc>
        <w:tc>
          <w:tcPr>
            <w:tcW w:type="pct" w:w="55%"/>
          </w:tcPr>
          <w:p>
            <w:r>
              <w:t xml:space="preserve">12.5%</w:t>
            </w:r>
          </w:p>
        </w:tc>
      </w:tr>
      <w:tr>
        <w:tc>
          <w:tcPr>
            <w:tcW w:type="pct" w:w="45%"/>
          </w:tcPr>
          <w:p>
            <w:r>
              <w:t xml:space="preserve">Salvage value</w:t>
            </w:r>
          </w:p>
        </w:tc>
        <w:tc>
          <w:tcPr>
            <w:tcW w:type="pct" w:w="55%"/>
          </w:tcPr>
          <w:p>
            <w:r>
              <w:t xml:space="preserve">5.0%</w:t>
            </w:r>
          </w:p>
        </w:tc>
      </w:tr>
      <w:tr>
        <w:tc>
          <w:tcPr>
            <w:tcW w:type="pct" w:w="45%"/>
          </w:tcPr>
          <w:p>
            <w:r>
              <w:t xml:space="preserve">Warranty years</w:t>
            </w:r>
          </w:p>
        </w:tc>
        <w:tc>
          <w:tcPr>
            <w:tcW w:type="pct" w:w="55%"/>
          </w:tcPr>
          <w:p>
            <w:r>
              <w:t xml:space="preserve">4</w:t>
            </w:r>
          </w:p>
        </w:tc>
      </w:tr>
      <w:tr>
        <w:tc>
          <w:tcPr>
            <w:tcW w:type="pct" w:w="45%"/>
          </w:tcPr>
          <w:p>
            <w:r>
              <w:t xml:space="preserve">CMC years / annual cost</w:t>
            </w:r>
          </w:p>
        </w:tc>
        <w:tc>
          <w:tcPr>
            <w:tcW w:type="pct" w:w="55%"/>
          </w:tcPr>
          <w:p>
            <w:r>
              <w:t xml:space="preserve">5 / ₹29,25,000</w:t>
            </w:r>
          </w:p>
        </w:tc>
      </w:tr>
      <w:tr>
        <w:tc>
          <w:tcPr>
            <w:tcW w:type="pct" w:w="45%"/>
          </w:tcPr>
          <w:p>
            <w:r>
              <w:t xml:space="preserve">AMC annual cost</w:t>
            </w:r>
          </w:p>
        </w:tc>
        <w:tc>
          <w:tcPr>
            <w:tcW w:type="pct" w:w="55%"/>
          </w:tcPr>
          <w:p>
            <w:r>
              <w:t xml:space="preserve">₹10,12,500</w:t>
            </w:r>
          </w:p>
        </w:tc>
      </w:tr>
    </w:tbl>
    <w:p>
      <w:r>
        <w:t xml:space="preserve">Payer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Private cash</w:t>
            </w:r>
          </w:p>
        </w:tc>
        <w:tc>
          <w:tcPr>
            <w:tcW w:type="pct" w:w="55%"/>
          </w:tcPr>
          <w:p>
            <w:r>
              <w:t xml:space="preserve">55% share, ₹8,500 tariff, 100.0% realization, 0-day collection</w:t>
            </w:r>
          </w:p>
        </w:tc>
      </w:tr>
      <w:tr>
        <w:tc>
          <w:tcPr>
            <w:tcW w:type="pct" w:w="45%"/>
          </w:tcPr>
          <w:p>
            <w:r>
              <w:t xml:space="preserve">Insurance / TPA</w:t>
            </w:r>
          </w:p>
        </w:tc>
        <w:tc>
          <w:tcPr>
            <w:tcW w:type="pct" w:w="55%"/>
          </w:tcPr>
          <w:p>
            <w:r>
              <w:t xml:space="preserve">25% share, ₹8,500 tariff, 85.5% realization, 45-day collection</w:t>
            </w:r>
          </w:p>
        </w:tc>
      </w:tr>
      <w:tr>
        <w:tc>
          <w:tcPr>
            <w:tcW w:type="pct" w:w="45%"/>
          </w:tcPr>
          <w:p>
            <w:r>
              <w:t xml:space="preserve">Corporate credit</w:t>
            </w:r>
          </w:p>
        </w:tc>
        <w:tc>
          <w:tcPr>
            <w:tcW w:type="pct" w:w="55%"/>
          </w:tcPr>
          <w:p>
            <w:r>
              <w:t xml:space="preserve">10% share, ₹8,500 tariff, 93.1% realization, 30-day collection</w:t>
            </w:r>
          </w:p>
        </w:tc>
      </w:tr>
      <w:tr>
        <w:tc>
          <w:tcPr>
            <w:tcW w:type="pct" w:w="45%"/>
          </w:tcPr>
          <w:p>
            <w:r>
              <w:t xml:space="preserve">PM-JAY / government</w:t>
            </w:r>
          </w:p>
        </w:tc>
        <w:tc>
          <w:tcPr>
            <w:tcW w:type="pct" w:w="55%"/>
          </w:tcPr>
          <w:p>
            <w:r>
              <w:t xml:space="preserve">10% share, ₹8,500 tariff, 76.5% realization, 60-day collection</w:t>
            </w:r>
          </w:p>
        </w:tc>
      </w:tr>
      <w:tr>
        <w:tc>
          <w:tcPr>
            <w:tcW w:type="pct" w:w="45%"/>
          </w:tcPr>
          <w:p>
            <w:r>
              <w:t xml:space="preserve">Other</w:t>
            </w:r>
          </w:p>
        </w:tc>
        <w:tc>
          <w:tcPr>
            <w:tcW w:type="pct" w:w="55%"/>
          </w:tcPr>
          <w:p>
            <w:r>
              <w:t xml:space="preserve">0% share, ₹5,000 tariff, 100.0% realization, 0-day collection</w:t>
            </w:r>
          </w:p>
        </w:tc>
      </w:tr>
    </w:tbl>
    <w:p>
      <w:pPr>
        <w:pStyle w:val="Heading1"/>
      </w:pPr>
      <w:r>
        <w:t xml:space="preserve">4. Financial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NPV</w:t>
            </w:r>
          </w:p>
        </w:tc>
        <w:tc>
          <w:tcPr>
            <w:tcW w:type="pct" w:w="55%"/>
          </w:tcPr>
          <w:p>
            <w:r>
              <w:t xml:space="preserve">₹13,14,26,719</w:t>
            </w:r>
          </w:p>
        </w:tc>
      </w:tr>
      <w:tr>
        <w:tc>
          <w:tcPr>
            <w:tcW w:type="pct" w:w="45%"/>
          </w:tcPr>
          <w:p>
            <w:r>
              <w:t xml:space="preserve">IRR</w:t>
            </w:r>
          </w:p>
        </w:tc>
        <w:tc>
          <w:tcPr>
            <w:tcW w:type="pct" w:w="55%"/>
          </w:tcPr>
          <w:p>
            <w:r>
              <w:t xml:space="preserve">56.1%</w:t>
            </w:r>
          </w:p>
        </w:tc>
      </w:tr>
      <w:tr>
        <w:tc>
          <w:tcPr>
            <w:tcW w:type="pct" w:w="45%"/>
          </w:tcPr>
          <w:p>
            <w:r>
              <w:t xml:space="preserve">Simple payback</w:t>
            </w:r>
          </w:p>
        </w:tc>
        <w:tc>
          <w:tcPr>
            <w:tcW w:type="pct" w:w="55%"/>
          </w:tcPr>
          <w:p>
            <w:r>
              <w:t xml:space="preserve">1.9 yr</w:t>
            </w:r>
          </w:p>
        </w:tc>
      </w:tr>
      <w:tr>
        <w:tc>
          <w:tcPr>
            <w:tcW w:type="pct" w:w="45%"/>
          </w:tcPr>
          <w:p>
            <w:r>
              <w:t xml:space="preserve">Discounted payback</w:t>
            </w:r>
          </w:p>
        </w:tc>
        <w:tc>
          <w:tcPr>
            <w:tcW w:type="pct" w:w="55%"/>
          </w:tcPr>
          <w:p>
            <w:r>
              <w:t xml:space="preserve">2.2 yr</w:t>
            </w:r>
          </w:p>
        </w:tc>
      </w:tr>
      <w:tr>
        <w:tc>
          <w:tcPr>
            <w:tcW w:type="pct" w:w="45%"/>
          </w:tcPr>
          <w:p>
            <w:r>
              <w:t xml:space="preserve">ROI — billed view</w:t>
            </w:r>
          </w:p>
        </w:tc>
        <w:tc>
          <w:tcPr>
            <w:tcW w:type="pct" w:w="55%"/>
          </w:tcPr>
          <w:p>
            <w:r>
              <w:t xml:space="preserve">68.0%</w:t>
            </w:r>
          </w:p>
        </w:tc>
      </w:tr>
      <w:tr>
        <w:tc>
          <w:tcPr>
            <w:tcW w:type="pct" w:w="45%"/>
          </w:tcPr>
          <w:p>
            <w:r>
              <w:t xml:space="preserve">ROI — realized view</w:t>
            </w:r>
          </w:p>
        </w:tc>
        <w:tc>
          <w:tcPr>
            <w:tcW w:type="pct" w:w="55%"/>
          </w:tcPr>
          <w:p>
            <w:r>
              <w:t xml:space="preserve">63.1%</w:t>
            </w:r>
          </w:p>
        </w:tc>
      </w:tr>
      <w:tr>
        <w:tc>
          <w:tcPr>
            <w:tcW w:type="pct" w:w="45%"/>
          </w:tcPr>
          <w:p>
            <w:r>
              <w:t xml:space="preserve">ROI — cash-flow view</w:t>
            </w:r>
          </w:p>
        </w:tc>
        <w:tc>
          <w:tcPr>
            <w:tcW w:type="pct" w:w="55%"/>
          </w:tcPr>
          <w:p>
            <w:r>
              <w:t xml:space="preserve">45.4%</w:t>
            </w:r>
          </w:p>
        </w:tc>
      </w:tr>
      <w:tr>
        <w:tc>
          <w:tcPr>
            <w:tcW w:type="pct" w:w="45%"/>
          </w:tcPr>
          <w:p>
            <w:r>
              <w:t xml:space="preserve">Equivalent annual cost</w:t>
            </w:r>
          </w:p>
        </w:tc>
        <w:tc>
          <w:tcPr>
            <w:tcW w:type="pct" w:w="55%"/>
          </w:tcPr>
          <w:p>
            <w:r>
              <w:t xml:space="preserve">₹1,10,59,483</w:t>
            </w:r>
          </w:p>
        </w:tc>
      </w:tr>
      <w:tr>
        <w:tc>
          <w:tcPr>
            <w:tcW w:type="pct" w:w="45%"/>
          </w:tcPr>
          <w:p>
            <w:r>
              <w:t xml:space="preserve">Investment Outlook</w:t>
            </w:r>
          </w:p>
        </w:tc>
        <w:tc>
          <w:tcPr>
            <w:tcW w:type="pct" w:w="55%"/>
          </w:tcPr>
          <w:p>
            <w:r>
              <w:t xml:space="preserve">Strong (100/100)</w:t>
            </w:r>
          </w:p>
        </w:tc>
      </w:tr>
    </w:tbl>
    <w:p>
      <w:pPr>
        <w:keepLines/>
      </w:pPr>
      <w:r>
        <w:t xml:space="preserve">Note: the ROI figures above reflect mature (fully ramped-up) monthly utilization. NPV, IRR, and both payback figures already account for the slower utilization ramp-up entered for this assessment (see the Usage assumptions), so they will differ from a simple ROI-based projection during the ramp-up period — see the Monthly tab of the Excel export for the month-by-month figures.</w:t>
      </w:r>
    </w:p>
    <w:p>
      <w:pPr>
        <w:pStyle w:val="Heading1"/>
      </w:pPr>
      <w:r>
        <w:t xml:space="preserve">5. Billed vs. realized revenue</w:t>
      </w:r>
    </w:p>
    <w:p>
      <w:r>
        <w:t xml:space="preserve">Billed revenue reflects the full tariff charged (₹29,75,000/month at mature utilization); realized revenue (₹27,76,716/month at mature utilization) nets out each payer type's realization % — the portion actually collectible after claim deduction/disallowance. The gap between the two is the payer-mix and realization assumption, not a cost — see the Methodology section for the full waterfall. Both figures are shown at mature (fully ramped-up) utilization; actual monthly revenue is lower during the ramp-up period entered for this assessment — see the Excel export's Monthly tab for the month-by-month trajectory.</w:t>
      </w:r>
    </w:p>
    <w:p>
      <w:pPr>
        <w:pStyle w:val="Heading1"/>
      </w:pPr>
      <w:r>
        <w:t xml:space="preserve">6. Cash flow and working capital</w:t>
      </w:r>
    </w:p>
    <w:p>
      <w:r>
        <w:t xml:space="preserve">Collection delays across the payer mix create a peak working-capital gap of approximately ₹22,21,373 around month 14.</w:t>
      </w:r>
    </w:p>
    <w:p>
      <w:r>
        <w:t xml:space="preserve">Cumulative cash position by year (starting at -initial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Year 1</w:t>
            </w:r>
          </w:p>
        </w:tc>
        <w:tc>
          <w:tcPr>
            <w:tcW w:type="pct" w:w="55%"/>
          </w:tcPr>
          <w:p>
            <w:r>
              <w:t xml:space="preserve">−₹2,64,95,069</w:t>
            </w:r>
          </w:p>
        </w:tc>
      </w:tr>
      <w:tr>
        <w:tc>
          <w:tcPr>
            <w:tcW w:type="pct" w:w="45%"/>
          </w:tcPr>
          <w:p>
            <w:r>
              <w:t xml:space="preserve">Year 2</w:t>
            </w:r>
          </w:p>
        </w:tc>
        <w:tc>
          <w:tcPr>
            <w:tcW w:type="pct" w:w="55%"/>
          </w:tcPr>
          <w:p>
            <w:r>
              <w:t xml:space="preserve">₹40,95,526</w:t>
            </w:r>
          </w:p>
        </w:tc>
      </w:tr>
      <w:tr>
        <w:tc>
          <w:tcPr>
            <w:tcW w:type="pct" w:w="45%"/>
          </w:tcPr>
          <w:p>
            <w:r>
              <w:t xml:space="preserve">Year 3</w:t>
            </w:r>
          </w:p>
        </w:tc>
        <w:tc>
          <w:tcPr>
            <w:tcW w:type="pct" w:w="55%"/>
          </w:tcPr>
          <w:p>
            <w:r>
              <w:t xml:space="preserve">₹3,46,86,121</w:t>
            </w:r>
          </w:p>
        </w:tc>
      </w:tr>
      <w:tr>
        <w:tc>
          <w:tcPr>
            <w:tcW w:type="pct" w:w="45%"/>
          </w:tcPr>
          <w:p>
            <w:r>
              <w:t xml:space="preserve">Year 4</w:t>
            </w:r>
          </w:p>
        </w:tc>
        <w:tc>
          <w:tcPr>
            <w:tcW w:type="pct" w:w="55%"/>
          </w:tcPr>
          <w:p>
            <w:r>
              <w:t xml:space="preserve">₹6,52,76,716</w:t>
            </w:r>
          </w:p>
        </w:tc>
      </w:tr>
      <w:tr>
        <w:tc>
          <w:tcPr>
            <w:tcW w:type="pct" w:w="45%"/>
          </w:tcPr>
          <w:p>
            <w:r>
              <w:t xml:space="preserve">Year 5</w:t>
            </w:r>
          </w:p>
        </w:tc>
        <w:tc>
          <w:tcPr>
            <w:tcW w:type="pct" w:w="55%"/>
          </w:tcPr>
          <w:p>
            <w:r>
              <w:t xml:space="preserve">₹9,58,67,311</w:t>
            </w:r>
          </w:p>
        </w:tc>
      </w:tr>
      <w:tr>
        <w:tc>
          <w:tcPr>
            <w:tcW w:type="pct" w:w="45%"/>
          </w:tcPr>
          <w:p>
            <w:r>
              <w:t xml:space="preserve">Year 6</w:t>
            </w:r>
          </w:p>
        </w:tc>
        <w:tc>
          <w:tcPr>
            <w:tcW w:type="pct" w:w="55%"/>
          </w:tcPr>
          <w:p>
            <w:r>
              <w:t xml:space="preserve">₹12,44,32,906</w:t>
            </w:r>
          </w:p>
        </w:tc>
      </w:tr>
      <w:tr>
        <w:tc>
          <w:tcPr>
            <w:tcW w:type="pct" w:w="45%"/>
          </w:tcPr>
          <w:p>
            <w:r>
              <w:t xml:space="preserve">Year 7</w:t>
            </w:r>
          </w:p>
        </w:tc>
        <w:tc>
          <w:tcPr>
            <w:tcW w:type="pct" w:w="55%"/>
          </w:tcPr>
          <w:p>
            <w:r>
              <w:t xml:space="preserve">₹15,29,98,501</w:t>
            </w:r>
          </w:p>
        </w:tc>
      </w:tr>
      <w:tr>
        <w:tc>
          <w:tcPr>
            <w:tcW w:type="pct" w:w="45%"/>
          </w:tcPr>
          <w:p>
            <w:r>
              <w:t xml:space="preserve">Year 8</w:t>
            </w:r>
          </w:p>
        </w:tc>
        <w:tc>
          <w:tcPr>
            <w:tcW w:type="pct" w:w="55%"/>
          </w:tcPr>
          <w:p>
            <w:r>
              <w:t xml:space="preserve">₹18,15,64,096</w:t>
            </w:r>
          </w:p>
        </w:tc>
      </w:tr>
      <w:tr>
        <w:tc>
          <w:tcPr>
            <w:tcW w:type="pct" w:w="45%"/>
          </w:tcPr>
          <w:p>
            <w:r>
              <w:t xml:space="preserve">Year 9</w:t>
            </w:r>
          </w:p>
        </w:tc>
        <w:tc>
          <w:tcPr>
            <w:tcW w:type="pct" w:w="55%"/>
          </w:tcPr>
          <w:p>
            <w:r>
              <w:t xml:space="preserve">₹21,10,29,691</w:t>
            </w:r>
          </w:p>
        </w:tc>
      </w:tr>
      <w:tr>
        <w:tc>
          <w:tcPr>
            <w:tcW w:type="pct" w:w="45%"/>
          </w:tcPr>
          <w:p>
            <w:r>
              <w:t xml:space="preserve">Year 10</w:t>
            </w:r>
          </w:p>
        </w:tc>
        <w:tc>
          <w:tcPr>
            <w:tcW w:type="pct" w:w="55%"/>
          </w:tcPr>
          <w:p>
            <w:r>
              <w:t xml:space="preserve">₹24,04,95,286</w:t>
            </w:r>
          </w:p>
        </w:tc>
      </w:tr>
      <w:tr>
        <w:tc>
          <w:tcPr>
            <w:tcW w:type="pct" w:w="45%"/>
          </w:tcPr>
          <w:p>
            <w:r>
              <w:t xml:space="preserve">Year 11</w:t>
            </w:r>
          </w:p>
        </w:tc>
        <w:tc>
          <w:tcPr>
            <w:tcW w:type="pct" w:w="55%"/>
          </w:tcPr>
          <w:p>
            <w:r>
              <w:t xml:space="preserve">₹26,99,60,881</w:t>
            </w:r>
          </w:p>
        </w:tc>
      </w:tr>
      <w:tr>
        <w:tc>
          <w:tcPr>
            <w:tcW w:type="pct" w:w="45%"/>
          </w:tcPr>
          <w:p>
            <w:r>
              <w:t xml:space="preserve">Year 12</w:t>
            </w:r>
          </w:p>
        </w:tc>
        <w:tc>
          <w:tcPr>
            <w:tcW w:type="pct" w:w="55%"/>
          </w:tcPr>
          <w:p>
            <w:r>
              <w:t xml:space="preserve">₹29,94,26,476</w:t>
            </w:r>
          </w:p>
        </w:tc>
      </w:tr>
      <w:tr>
        <w:tc>
          <w:tcPr>
            <w:tcW w:type="pct" w:w="45%"/>
          </w:tcPr>
          <w:p>
            <w:r>
              <w:t xml:space="preserve">Year 13</w:t>
            </w:r>
          </w:p>
        </w:tc>
        <w:tc>
          <w:tcPr>
            <w:tcW w:type="pct" w:w="55%"/>
          </w:tcPr>
          <w:p>
            <w:r>
              <w:t xml:space="preserve">₹32,88,92,071</w:t>
            </w:r>
          </w:p>
        </w:tc>
      </w:tr>
    </w:tbl>
    <w:p>
      <w:pPr>
        <w:pStyle w:val="Heading1"/>
      </w:pPr>
      <w:r>
        <w:t xml:space="preserve">7. Financing summary</w:t>
      </w:r>
    </w:p>
    <w:p>
      <w:r>
        <w:t xml:space="preserve">Purchased outright — no financing terms apply.</w:t>
      </w:r>
    </w:p>
    <w:p>
      <w:pPr>
        <w:pStyle w:val="Heading1"/>
      </w:pPr>
      <w:r>
        <w:t xml:space="preserve">8. Charts</w:t>
      </w:r>
    </w:p>
    <w:p>
      <w:r>
        <w:t xml:space="preserve">Chart images are deferred to a fast-follow (see report-templates/word-report-template.md §8); the same figures are captured as data above (§6) and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Expected usage per day</w:t>
            </w:r>
          </w:p>
        </w:tc>
        <w:tc>
          <w:tcPr>
            <w:tcW w:type="pct" w:w="55%"/>
          </w:tcPr>
          <w:p>
            <w:r>
              <w:t xml:space="preserve">14</w:t>
            </w:r>
          </w:p>
        </w:tc>
      </w:tr>
      <w:tr>
        <w:tc>
          <w:tcPr>
            <w:tcW w:type="pct" w:w="45%"/>
          </w:tcPr>
          <w:p>
            <w:r>
              <w:t xml:space="preserve">Break-even usage per day</w:t>
            </w:r>
          </w:p>
        </w:tc>
        <w:tc>
          <w:tcPr>
            <w:tcW w:type="pct" w:w="55%"/>
          </w:tcPr>
          <w:p>
            <w:r>
              <w:t xml:space="preserve">0.3</w:t>
            </w:r>
          </w:p>
        </w:tc>
      </w:tr>
    </w:tbl>
    <w:p>
      <w:pPr>
        <w:pStyle w:val="Heading1"/>
      </w:pPr>
      <w:r>
        <w:t xml:space="preserve">9. Risk notes</w:t>
      </w:r>
    </w:p>
    <w:p>
      <w:pPr>
        <w:pStyle w:val="ListParagraph"/>
        <w:numPr>
          <w:ilvl w:val="0"/>
          <w:numId w:val="1"/>
        </w:numPr>
      </w:pPr>
      <w:r>
        <w:t xml:space="preserve">Cash-flow timing risk — collections lag enough to create a working-capital gap of approximately ₹22.21 L around month 14.</w:t>
      </w:r>
    </w:p>
    <w:p>
      <w:pPr>
        <w:pStyle w:val="Heading1"/>
      </w:pPr>
      <w:r>
        <w:t xml:space="preserve">10. Methodology</w:t>
      </w:r>
    </w:p>
    <w:p>
      <w:r>
        <w:t xml:space="preserve">Usage per day, working days per month, and payer-mix tariffs first produce billed and realized monthly revenue; payer-wise collection delay then shifts realized revenue into cash received by month. Variable, fixed, and maintenance (warranty -&gt; CMC -&gt; AMC) costs are subtracted to reach operating surplus; financing cost (EMI or lease rental) is subtracted to reach net cash flow after financing. NPV, IRR, ROI, payback, and the discounted payback period are computed from that cash-flow series. The Investment Outlook score combines four weighted sub-scores (return strength, speed to payback, financing resilience, operational margin of safety) into a single 0-100 figure. Full detail: the live site's Methodology page.</w:t>
      </w:r>
    </w:p>
    <w:p>
      <w:pPr>
        <w:pStyle w:val="Heading1"/>
      </w:pPr>
      <w:r>
        <w:t xml:space="preserve">11. Formula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Billed monthly revenue</w:t>
            </w:r>
          </w:p>
        </w:tc>
        <w:tc>
          <w:tcPr>
            <w:tcW w:type="pct" w:w="55%"/>
          </w:tcPr>
          <w:p>
            <w:r>
              <w:t xml:space="preserve">Usage/day x Average billed revenue per use x Working days/month</w:t>
            </w:r>
          </w:p>
        </w:tc>
      </w:tr>
      <w:tr>
        <w:tc>
          <w:tcPr>
            <w:tcW w:type="pct" w:w="45%"/>
          </w:tcPr>
          <w:p>
            <w:r>
              <w:t xml:space="preserve">Realized revenue per use</w:t>
            </w:r>
          </w:p>
        </w:tc>
        <w:tc>
          <w:tcPr>
            <w:tcW w:type="pct" w:w="55%"/>
          </w:tcPr>
          <w:p>
            <w:r>
              <w:t xml:space="preserve">Volume-weighted average across payer types of (share % x tariff x realization %)</w:t>
            </w:r>
          </w:p>
        </w:tc>
      </w:tr>
      <w:tr>
        <w:tc>
          <w:tcPr>
            <w:tcW w:type="pct" w:w="45%"/>
          </w:tcPr>
          <w:p>
            <w:r>
              <w:t xml:space="preserve">Break-even usage per day</w:t>
            </w:r>
          </w:p>
        </w:tc>
        <w:tc>
          <w:tcPr>
            <w:tcW w:type="pct" w:w="55%"/>
          </w:tcPr>
          <w:p>
            <w:r>
              <w:t xml:space="preserve">Fixed monthly cost / Contribution per use / Working days per month</w:t>
            </w:r>
          </w:p>
        </w:tc>
      </w:tr>
      <w:tr>
        <w:tc>
          <w:tcPr>
            <w:tcW w:type="pct" w:w="45%"/>
          </w:tcPr>
          <w:p>
            <w:r>
              <w:t xml:space="preserve">NPV</w:t>
            </w:r>
          </w:p>
        </w:tc>
        <w:tc>
          <w:tcPr>
            <w:tcW w:type="pct" w:w="55%"/>
          </w:tcPr>
          <w:p>
            <w:r>
              <w:t xml:space="preserve">Sum of discounted cash flows minus the initial investment</w:t>
            </w:r>
          </w:p>
        </w:tc>
      </w:tr>
      <w:tr>
        <w:tc>
          <w:tcPr>
            <w:tcW w:type="pct" w:w="45%"/>
          </w:tcPr>
          <w:p>
            <w:r>
              <w:t xml:space="preserve">IRR</w:t>
            </w:r>
          </w:p>
        </w:tc>
        <w:tc>
          <w:tcPr>
            <w:tcW w:type="pct" w:w="55%"/>
          </w:tcPr>
          <w:p>
            <w:r>
              <w:t xml:space="preserve">The discount rate at which NPV = 0</w:t>
            </w:r>
          </w:p>
        </w:tc>
      </w:tr>
      <w:tr>
        <w:tc>
          <w:tcPr>
            <w:tcW w:type="pct" w:w="45%"/>
          </w:tcPr>
          <w:p>
            <w:r>
              <w:t xml:space="preserve">EMI</w:t>
            </w:r>
          </w:p>
        </w:tc>
        <w:tc>
          <w:tcPr>
            <w:tcW w:type="pct" w:w="55%"/>
          </w:tcPr>
          <w:p>
            <w:r>
              <w:t xml:space="preserve">Standard amortizing-loan formula (or straight division at 0% interest)</w:t>
            </w:r>
          </w:p>
        </w:tc>
      </w:tr>
    </w:tbl>
    <w:p>
      <w:pPr>
        <w:pStyle w:val="Heading1"/>
      </w:pPr>
      <w:r>
        <w:t xml:space="preserve">12. Disclaimer</w:t>
      </w:r>
    </w:p>
    <w:p>
      <w:r>
        <w:t xml:space="preserve">This tool is a decision-support calculator, not financial, investment, tax, or legal advice. Every figure in this report is calculated from the assumptions entered, combined in some cases with directional industry benchmarks — it does not represent a guarantee, forecast, or professional appraisal. Replace every benchmark-sourced figure with your own vendor quotation, tariff sheet, payer contracts, and lender's actual sanction terms wherever available, and have the resulting model reviewed by your organization's finance team, chartered accountant, or financial advisor before using it to support an actual capital expenditure decision, loan application, or board presentation. Actual utilization, realization, collection timelines, maintenance costs, and financing terms will differ from any assumption entered here. This tool and its output are provided "as is," without warranty of any kind, and its creators accept no liability for decisions made on the basis of its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2026-08-27T21:19:33.822Z</dcterms:created>
  <dcterms:modified xsi:type="dcterms:W3CDTF">2026-08-27T21:19:33.822Z</dcterms:modified>
</cp:coreProperties>
</file>

<file path=docProps/custom.xml><?xml version="1.0" encoding="utf-8"?>
<Properties xmlns="http://schemas.openxmlformats.org/officeDocument/2006/custom-properties" xmlns:vt="http://schemas.openxmlformats.org/officeDocument/2006/docPropsVTypes"/>
</file>