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Udaan Multi-Speciality Centre — CT investment proposal</w:t>
      </w:r>
    </w:p>
    <w:p>
      <w:pPr>
        <w:pStyle w:val="Heading1"/>
      </w:pPr>
      <w:r>
        <w:t xml:space="preserve">1. Executive summary</w:t>
      </w:r>
    </w:p>
    <w:p>
      <w:r>
        <w:t xml:space="preserve">Based on the entered assumptions, the proposed CT investment shows a simple payback period of 2.7 yr and an estimated ROI of 37.7% on the realized-revenue view. The Investment Outlook is Strong (97/100).</w:t>
      </w:r>
    </w:p>
    <w:p>
      <w:pPr>
        <w:pStyle w:val="Heading1"/>
      </w:pPr>
      <w:r>
        <w:t xml:space="preserve">2. Investment overview</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45%"/>
          </w:tcPr>
          <w:p>
            <w:r>
              <w:t xml:space="preserve">Hospital</w:t>
            </w:r>
          </w:p>
        </w:tc>
        <w:tc>
          <w:tcPr>
            <w:tcW w:type="pct" w:w="55%"/>
          </w:tcPr>
          <w:p>
            <w:r>
              <w:t xml:space="preserve">Udaan Multi-Speciality Centre</w:t>
            </w:r>
          </w:p>
        </w:tc>
      </w:tr>
      <w:tr>
        <w:tc>
          <w:tcPr>
            <w:tcW w:type="pct" w:w="45%"/>
          </w:tcPr>
          <w:p>
            <w:r>
              <w:t xml:space="preserve">Equipment</w:t>
            </w:r>
          </w:p>
        </w:tc>
        <w:tc>
          <w:tcPr>
            <w:tcW w:type="pct" w:w="55%"/>
          </w:tcPr>
          <w:p>
            <w:r>
              <w:t xml:space="preserve">CT</w:t>
            </w:r>
          </w:p>
        </w:tc>
      </w:tr>
      <w:tr>
        <w:tc>
          <w:tcPr>
            <w:tcW w:type="pct" w:w="45%"/>
          </w:tcPr>
          <w:p>
            <w:r>
              <w:t xml:space="preserve">Initial investment</w:t>
            </w:r>
          </w:p>
        </w:tc>
        <w:tc>
          <w:tcPr>
            <w:tcW w:type="pct" w:w="55%"/>
          </w:tcPr>
          <w:p>
            <w:r>
              <w:t xml:space="preserve">₹4,85,00,000</w:t>
            </w:r>
          </w:p>
        </w:tc>
      </w:tr>
      <w:tr>
        <w:tc>
          <w:tcPr>
            <w:tcW w:type="pct" w:w="45%"/>
          </w:tcPr>
          <w:p>
            <w:r>
              <w:t xml:space="preserve">Useful life</w:t>
            </w:r>
          </w:p>
        </w:tc>
        <w:tc>
          <w:tcPr>
            <w:tcW w:type="pct" w:w="55%"/>
          </w:tcPr>
          <w:p>
            <w:r>
              <w:t xml:space="preserve">13 years</w:t>
            </w:r>
          </w:p>
        </w:tc>
      </w:tr>
      <w:tr>
        <w:tc>
          <w:tcPr>
            <w:tcW w:type="pct" w:w="45%"/>
          </w:tcPr>
          <w:p>
            <w:r>
              <w:t xml:space="preserve">Financing</w:t>
            </w:r>
          </w:p>
        </w:tc>
        <w:tc>
          <w:tcPr>
            <w:tcW w:type="pct" w:w="55%"/>
          </w:tcPr>
          <w:p>
            <w:r>
              <w:t xml:space="preserve">Purchased outright (cash)</w:t>
            </w:r>
          </w:p>
        </w:tc>
      </w:tr>
    </w:tbl>
    <w:p>
      <w:pPr>
        <w:pStyle w:val="Heading1"/>
      </w:pPr>
      <w:r>
        <w:t xml:space="preserve">3. Key assumptions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45%"/>
          </w:tcPr>
          <w:p>
            <w:r>
              <w:t xml:space="preserve">Usage per day</w:t>
            </w:r>
          </w:p>
        </w:tc>
        <w:tc>
          <w:tcPr>
            <w:tcW w:type="pct" w:w="55%"/>
          </w:tcPr>
          <w:p>
            <w:r>
              <w:t xml:space="preserve">14</w:t>
            </w:r>
          </w:p>
        </w:tc>
      </w:tr>
      <w:tr>
        <w:tc>
          <w:tcPr>
            <w:tcW w:type="pct" w:w="45%"/>
          </w:tcPr>
          <w:p>
            <w:r>
              <w:t xml:space="preserve">Working days per month</w:t>
            </w:r>
          </w:p>
        </w:tc>
        <w:tc>
          <w:tcPr>
            <w:tcW w:type="pct" w:w="55%"/>
          </w:tcPr>
          <w:p>
            <w:r>
              <w:t xml:space="preserve">25</w:t>
            </w:r>
          </w:p>
        </w:tc>
      </w:tr>
      <w:tr>
        <w:tc>
          <w:tcPr>
            <w:tcW w:type="pct" w:w="45%"/>
          </w:tcPr>
          <w:p>
            <w:r>
              <w:t xml:space="preserve">Variable cost per use</w:t>
            </w:r>
          </w:p>
        </w:tc>
        <w:tc>
          <w:tcPr>
            <w:tcW w:type="pct" w:w="55%"/>
          </w:tcPr>
          <w:p>
            <w:r>
              <w:t xml:space="preserve">₹500</w:t>
            </w:r>
          </w:p>
        </w:tc>
      </w:tr>
      <w:tr>
        <w:tc>
          <w:tcPr>
            <w:tcW w:type="pct" w:w="45%"/>
          </w:tcPr>
          <w:p>
            <w:r>
              <w:t xml:space="preserve">Fixed cost per month</w:t>
            </w:r>
          </w:p>
        </w:tc>
        <w:tc>
          <w:tcPr>
            <w:tcW w:type="pct" w:w="55%"/>
          </w:tcPr>
          <w:p>
            <w:r>
              <w:t xml:space="preserve">₹52,500</w:t>
            </w:r>
          </w:p>
        </w:tc>
      </w:tr>
      <w:tr>
        <w:tc>
          <w:tcPr>
            <w:tcW w:type="pct" w:w="45%"/>
          </w:tcPr>
          <w:p>
            <w:r>
              <w:t xml:space="preserve">Discount rate</w:t>
            </w:r>
          </w:p>
        </w:tc>
        <w:tc>
          <w:tcPr>
            <w:tcW w:type="pct" w:w="55%"/>
          </w:tcPr>
          <w:p>
            <w:r>
              <w:t xml:space="preserve">12.5%</w:t>
            </w:r>
          </w:p>
        </w:tc>
      </w:tr>
      <w:tr>
        <w:tc>
          <w:tcPr>
            <w:tcW w:type="pct" w:w="45%"/>
          </w:tcPr>
          <w:p>
            <w:r>
              <w:t xml:space="preserve">Salvage value</w:t>
            </w:r>
          </w:p>
        </w:tc>
        <w:tc>
          <w:tcPr>
            <w:tcW w:type="pct" w:w="55%"/>
          </w:tcPr>
          <w:p>
            <w:r>
              <w:t xml:space="preserve">5.0%</w:t>
            </w:r>
          </w:p>
        </w:tc>
      </w:tr>
      <w:tr>
        <w:tc>
          <w:tcPr>
            <w:tcW w:type="pct" w:w="45%"/>
          </w:tcPr>
          <w:p>
            <w:r>
              <w:t xml:space="preserve">Warranty years</w:t>
            </w:r>
          </w:p>
        </w:tc>
        <w:tc>
          <w:tcPr>
            <w:tcW w:type="pct" w:w="55%"/>
          </w:tcPr>
          <w:p>
            <w:r>
              <w:t xml:space="preserve">4</w:t>
            </w:r>
          </w:p>
        </w:tc>
      </w:tr>
      <w:tr>
        <w:tc>
          <w:tcPr>
            <w:tcW w:type="pct" w:w="45%"/>
          </w:tcPr>
          <w:p>
            <w:r>
              <w:t xml:space="preserve">CMC years / annual cost</w:t>
            </w:r>
          </w:p>
        </w:tc>
        <w:tc>
          <w:tcPr>
            <w:tcW w:type="pct" w:w="55%"/>
          </w:tcPr>
          <w:p>
            <w:r>
              <w:t xml:space="preserve">0 / ₹0</w:t>
            </w:r>
          </w:p>
        </w:tc>
      </w:tr>
      <w:tr>
        <w:tc>
          <w:tcPr>
            <w:tcW w:type="pct" w:w="45%"/>
          </w:tcPr>
          <w:p>
            <w:r>
              <w:t xml:space="preserve">AMC annual cost</w:t>
            </w:r>
          </w:p>
        </w:tc>
        <w:tc>
          <w:tcPr>
            <w:tcW w:type="pct" w:w="55%"/>
          </w:tcPr>
          <w:p>
            <w:r>
              <w:t xml:space="preserve">₹20,74,500</w:t>
            </w:r>
          </w:p>
        </w:tc>
      </w:tr>
    </w:tbl>
    <w:p>
      <w:r>
        <w:t xml:space="preserve">Payer mix:</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45%"/>
          </w:tcPr>
          <w:p>
            <w:r>
              <w:t xml:space="preserve">Private cash</w:t>
            </w:r>
          </w:p>
        </w:tc>
        <w:tc>
          <w:tcPr>
            <w:tcW w:type="pct" w:w="55%"/>
          </w:tcPr>
          <w:p>
            <w:r>
              <w:t xml:space="preserve">100% share, ₹5,000 tariff, 100.0% realization, 0-day collection</w:t>
            </w:r>
          </w:p>
        </w:tc>
      </w:tr>
      <w:tr>
        <w:tc>
          <w:tcPr>
            <w:tcW w:type="pct" w:w="45%"/>
          </w:tcPr>
          <w:p>
            <w:r>
              <w:t xml:space="preserve">Insurance / TPA</w:t>
            </w:r>
          </w:p>
        </w:tc>
        <w:tc>
          <w:tcPr>
            <w:tcW w:type="pct" w:w="55%"/>
          </w:tcPr>
          <w:p>
            <w:r>
              <w:t xml:space="preserve">0% share, ₹5,000 tariff, 100.0% realization, 0-day collection</w:t>
            </w:r>
          </w:p>
        </w:tc>
      </w:tr>
      <w:tr>
        <w:tc>
          <w:tcPr>
            <w:tcW w:type="pct" w:w="45%"/>
          </w:tcPr>
          <w:p>
            <w:r>
              <w:t xml:space="preserve">Corporate credit</w:t>
            </w:r>
          </w:p>
        </w:tc>
        <w:tc>
          <w:tcPr>
            <w:tcW w:type="pct" w:w="55%"/>
          </w:tcPr>
          <w:p>
            <w:r>
              <w:t xml:space="preserve">0% share, ₹5,000 tariff, 100.0% realization, 0-day collection</w:t>
            </w:r>
          </w:p>
        </w:tc>
      </w:tr>
      <w:tr>
        <w:tc>
          <w:tcPr>
            <w:tcW w:type="pct" w:w="45%"/>
          </w:tcPr>
          <w:p>
            <w:r>
              <w:t xml:space="preserve">PM-JAY / government</w:t>
            </w:r>
          </w:p>
        </w:tc>
        <w:tc>
          <w:tcPr>
            <w:tcW w:type="pct" w:w="55%"/>
          </w:tcPr>
          <w:p>
            <w:r>
              <w:t xml:space="preserve">0% share, ₹5,000 tariff, 100.0% realization, 0-day collection</w:t>
            </w:r>
          </w:p>
        </w:tc>
      </w:tr>
      <w:tr>
        <w:tc>
          <w:tcPr>
            <w:tcW w:type="pct" w:w="45%"/>
          </w:tcPr>
          <w:p>
            <w:r>
              <w:t xml:space="preserve">Other</w:t>
            </w:r>
          </w:p>
        </w:tc>
        <w:tc>
          <w:tcPr>
            <w:tcW w:type="pct" w:w="55%"/>
          </w:tcPr>
          <w:p>
            <w:r>
              <w:t xml:space="preserve">0% share, ₹5,000 tariff, 100.0% realization, 0-day collection</w:t>
            </w:r>
          </w:p>
        </w:tc>
      </w:tr>
    </w:tbl>
    <w:p>
      <w:pPr>
        <w:pStyle w:val="Heading1"/>
      </w:pPr>
      <w:r>
        <w:t xml:space="preserve">4. Financial results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45%"/>
          </w:tcPr>
          <w:p>
            <w:r>
              <w:t xml:space="preserve">NPV</w:t>
            </w:r>
          </w:p>
        </w:tc>
        <w:tc>
          <w:tcPr>
            <w:tcW w:type="pct" w:w="55%"/>
          </w:tcPr>
          <w:p>
            <w:r>
              <w:t xml:space="preserve">₹5,92,77,042</w:t>
            </w:r>
          </w:p>
        </w:tc>
      </w:tr>
      <w:tr>
        <w:tc>
          <w:tcPr>
            <w:tcW w:type="pct" w:w="45%"/>
          </w:tcPr>
          <w:p>
            <w:r>
              <w:t xml:space="preserve">IRR</w:t>
            </w:r>
          </w:p>
        </w:tc>
        <w:tc>
          <w:tcPr>
            <w:tcW w:type="pct" w:w="55%"/>
          </w:tcPr>
          <w:p>
            <w:r>
              <w:t xml:space="preserve">35.8%</w:t>
            </w:r>
          </w:p>
        </w:tc>
      </w:tr>
      <w:tr>
        <w:tc>
          <w:tcPr>
            <w:tcW w:type="pct" w:w="45%"/>
          </w:tcPr>
          <w:p>
            <w:r>
              <w:t xml:space="preserve">Simple payback</w:t>
            </w:r>
          </w:p>
        </w:tc>
        <w:tc>
          <w:tcPr>
            <w:tcW w:type="pct" w:w="55%"/>
          </w:tcPr>
          <w:p>
            <w:r>
              <w:t xml:space="preserve">2.7 yr</w:t>
            </w:r>
          </w:p>
        </w:tc>
      </w:tr>
      <w:tr>
        <w:tc>
          <w:tcPr>
            <w:tcW w:type="pct" w:w="45%"/>
          </w:tcPr>
          <w:p>
            <w:r>
              <w:t xml:space="preserve">Discounted payback</w:t>
            </w:r>
          </w:p>
        </w:tc>
        <w:tc>
          <w:tcPr>
            <w:tcW w:type="pct" w:w="55%"/>
          </w:tcPr>
          <w:p>
            <w:r>
              <w:t xml:space="preserve">3.4 yr</w:t>
            </w:r>
          </w:p>
        </w:tc>
      </w:tr>
      <w:tr>
        <w:tc>
          <w:tcPr>
            <w:tcW w:type="pct" w:w="45%"/>
          </w:tcPr>
          <w:p>
            <w:r>
              <w:t xml:space="preserve">ROI — billed view</w:t>
            </w:r>
          </w:p>
        </w:tc>
        <w:tc>
          <w:tcPr>
            <w:tcW w:type="pct" w:w="55%"/>
          </w:tcPr>
          <w:p>
            <w:r>
              <w:t xml:space="preserve">37.7%</w:t>
            </w:r>
          </w:p>
        </w:tc>
      </w:tr>
      <w:tr>
        <w:tc>
          <w:tcPr>
            <w:tcW w:type="pct" w:w="45%"/>
          </w:tcPr>
          <w:p>
            <w:r>
              <w:t xml:space="preserve">ROI — realized view</w:t>
            </w:r>
          </w:p>
        </w:tc>
        <w:tc>
          <w:tcPr>
            <w:tcW w:type="pct" w:w="55%"/>
          </w:tcPr>
          <w:p>
            <w:r>
              <w:t xml:space="preserve">37.7%</w:t>
            </w:r>
          </w:p>
        </w:tc>
      </w:tr>
      <w:tr>
        <w:tc>
          <w:tcPr>
            <w:tcW w:type="pct" w:w="45%"/>
          </w:tcPr>
          <w:p>
            <w:r>
              <w:t xml:space="preserve">ROI — cash-flow view</w:t>
            </w:r>
          </w:p>
        </w:tc>
        <w:tc>
          <w:tcPr>
            <w:tcW w:type="pct" w:w="55%"/>
          </w:tcPr>
          <w:p>
            <w:r>
              <w:t xml:space="preserve">37.7%</w:t>
            </w:r>
          </w:p>
        </w:tc>
      </w:tr>
      <w:tr>
        <w:tc>
          <w:tcPr>
            <w:tcW w:type="pct" w:w="45%"/>
          </w:tcPr>
          <w:p>
            <w:r>
              <w:t xml:space="preserve">Equivalent annual cost</w:t>
            </w:r>
          </w:p>
        </w:tc>
        <w:tc>
          <w:tcPr>
            <w:tcW w:type="pct" w:w="55%"/>
          </w:tcPr>
          <w:p>
            <w:r>
              <w:t xml:space="preserve">₹1,15,45,559</w:t>
            </w:r>
          </w:p>
        </w:tc>
      </w:tr>
      <w:tr>
        <w:tc>
          <w:tcPr>
            <w:tcW w:type="pct" w:w="45%"/>
          </w:tcPr>
          <w:p>
            <w:r>
              <w:t xml:space="preserve">Investment Outlook</w:t>
            </w:r>
          </w:p>
        </w:tc>
        <w:tc>
          <w:tcPr>
            <w:tcW w:type="pct" w:w="55%"/>
          </w:tcPr>
          <w:p>
            <w:r>
              <w:t xml:space="preserve">Strong (97/100)</w:t>
            </w:r>
          </w:p>
        </w:tc>
      </w:tr>
    </w:tbl>
    <w:p>
      <w:pPr>
        <w:pStyle w:val="Heading1"/>
      </w:pPr>
      <w:r>
        <w:t xml:space="preserve">5. Billed vs. realized revenue</w:t>
      </w:r>
    </w:p>
    <w:p>
      <w:r>
        <w:t xml:space="preserve">Billed revenue reflects the full tariff charged (₹17,50,000/month at mature utilization); realized revenue (₹17,50,000/month at mature utilization) nets out each payer type's realization % — the portion actually collectible after claim deduction/disallowance. The gap between the two is the payer-mix and realization assumption, not a cost — see the Methodology section for the full waterfall.</w:t>
      </w:r>
    </w:p>
    <w:p>
      <w:pPr>
        <w:pStyle w:val="Heading1"/>
      </w:pPr>
      <w:r>
        <w:t xml:space="preserve">6. Cash flow and working capital</w:t>
      </w:r>
    </w:p>
    <w:p>
      <w:r>
        <w:t xml:space="preserve">No material working-capital gap — collections keep pace with realized revenue throughout the projection.</w:t>
      </w:r>
    </w:p>
    <w:p>
      <w:r>
        <w:t xml:space="preserve">Cumulative cash position by year (starting at -initial investment):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45%"/>
          </w:tcPr>
          <w:p>
            <w:r>
              <w:t xml:space="preserve">Year 1</w:t>
            </w:r>
          </w:p>
        </w:tc>
        <w:tc>
          <w:tcPr>
            <w:tcW w:type="pct" w:w="55%"/>
          </w:tcPr>
          <w:p>
            <w:r>
              <w:t xml:space="preserve">−₹3,02,30,000</w:t>
            </w:r>
          </w:p>
        </w:tc>
      </w:tr>
      <w:tr>
        <w:tc>
          <w:tcPr>
            <w:tcW w:type="pct" w:w="45%"/>
          </w:tcPr>
          <w:p>
            <w:r>
              <w:t xml:space="preserve">Year 2</w:t>
            </w:r>
          </w:p>
        </w:tc>
        <w:tc>
          <w:tcPr>
            <w:tcW w:type="pct" w:w="55%"/>
          </w:tcPr>
          <w:p>
            <w:r>
              <w:t xml:space="preserve">−₹1,19,60,000</w:t>
            </w:r>
          </w:p>
        </w:tc>
      </w:tr>
      <w:tr>
        <w:tc>
          <w:tcPr>
            <w:tcW w:type="pct" w:w="45%"/>
          </w:tcPr>
          <w:p>
            <w:r>
              <w:t xml:space="preserve">Year 3</w:t>
            </w:r>
          </w:p>
        </w:tc>
        <w:tc>
          <w:tcPr>
            <w:tcW w:type="pct" w:w="55%"/>
          </w:tcPr>
          <w:p>
            <w:r>
              <w:t xml:space="preserve">₹63,10,000</w:t>
            </w:r>
          </w:p>
        </w:tc>
      </w:tr>
      <w:tr>
        <w:tc>
          <w:tcPr>
            <w:tcW w:type="pct" w:w="45%"/>
          </w:tcPr>
          <w:p>
            <w:r>
              <w:t xml:space="preserve">Year 4</w:t>
            </w:r>
          </w:p>
        </w:tc>
        <w:tc>
          <w:tcPr>
            <w:tcW w:type="pct" w:w="55%"/>
          </w:tcPr>
          <w:p>
            <w:r>
              <w:t xml:space="preserve">₹2,45,80,000</w:t>
            </w:r>
          </w:p>
        </w:tc>
      </w:tr>
      <w:tr>
        <w:tc>
          <w:tcPr>
            <w:tcW w:type="pct" w:w="45%"/>
          </w:tcPr>
          <w:p>
            <w:r>
              <w:t xml:space="preserve">Year 5</w:t>
            </w:r>
          </w:p>
        </w:tc>
        <w:tc>
          <w:tcPr>
            <w:tcW w:type="pct" w:w="55%"/>
          </w:tcPr>
          <w:p>
            <w:r>
              <w:t xml:space="preserve">₹4,07,75,500</w:t>
            </w:r>
          </w:p>
        </w:tc>
      </w:tr>
      <w:tr>
        <w:tc>
          <w:tcPr>
            <w:tcW w:type="pct" w:w="45%"/>
          </w:tcPr>
          <w:p>
            <w:r>
              <w:t xml:space="preserve">Year 6</w:t>
            </w:r>
          </w:p>
        </w:tc>
        <w:tc>
          <w:tcPr>
            <w:tcW w:type="pct" w:w="55%"/>
          </w:tcPr>
          <w:p>
            <w:r>
              <w:t xml:space="preserve">₹5,69,71,000</w:t>
            </w:r>
          </w:p>
        </w:tc>
      </w:tr>
      <w:tr>
        <w:tc>
          <w:tcPr>
            <w:tcW w:type="pct" w:w="45%"/>
          </w:tcPr>
          <w:p>
            <w:r>
              <w:t xml:space="preserve">Year 7</w:t>
            </w:r>
          </w:p>
        </w:tc>
        <w:tc>
          <w:tcPr>
            <w:tcW w:type="pct" w:w="55%"/>
          </w:tcPr>
          <w:p>
            <w:r>
              <w:t xml:space="preserve">₹7,31,66,500</w:t>
            </w:r>
          </w:p>
        </w:tc>
      </w:tr>
      <w:tr>
        <w:tc>
          <w:tcPr>
            <w:tcW w:type="pct" w:w="45%"/>
          </w:tcPr>
          <w:p>
            <w:r>
              <w:t xml:space="preserve">Year 8</w:t>
            </w:r>
          </w:p>
        </w:tc>
        <w:tc>
          <w:tcPr>
            <w:tcW w:type="pct" w:w="55%"/>
          </w:tcPr>
          <w:p>
            <w:r>
              <w:t xml:space="preserve">₹8,93,62,000</w:t>
            </w:r>
          </w:p>
        </w:tc>
      </w:tr>
      <w:tr>
        <w:tc>
          <w:tcPr>
            <w:tcW w:type="pct" w:w="45%"/>
          </w:tcPr>
          <w:p>
            <w:r>
              <w:t xml:space="preserve">Year 9</w:t>
            </w:r>
          </w:p>
        </w:tc>
        <w:tc>
          <w:tcPr>
            <w:tcW w:type="pct" w:w="55%"/>
          </w:tcPr>
          <w:p>
            <w:r>
              <w:t xml:space="preserve">₹10,55,57,500</w:t>
            </w:r>
          </w:p>
        </w:tc>
      </w:tr>
      <w:tr>
        <w:tc>
          <w:tcPr>
            <w:tcW w:type="pct" w:w="45%"/>
          </w:tcPr>
          <w:p>
            <w:r>
              <w:t xml:space="preserve">Year 10</w:t>
            </w:r>
          </w:p>
        </w:tc>
        <w:tc>
          <w:tcPr>
            <w:tcW w:type="pct" w:w="55%"/>
          </w:tcPr>
          <w:p>
            <w:r>
              <w:t xml:space="preserve">₹12,17,53,000</w:t>
            </w:r>
          </w:p>
        </w:tc>
      </w:tr>
      <w:tr>
        <w:tc>
          <w:tcPr>
            <w:tcW w:type="pct" w:w="45%"/>
          </w:tcPr>
          <w:p>
            <w:r>
              <w:t xml:space="preserve">Year 11</w:t>
            </w:r>
          </w:p>
        </w:tc>
        <w:tc>
          <w:tcPr>
            <w:tcW w:type="pct" w:w="55%"/>
          </w:tcPr>
          <w:p>
            <w:r>
              <w:t xml:space="preserve">₹13,79,48,500</w:t>
            </w:r>
          </w:p>
        </w:tc>
      </w:tr>
      <w:tr>
        <w:tc>
          <w:tcPr>
            <w:tcW w:type="pct" w:w="45%"/>
          </w:tcPr>
          <w:p>
            <w:r>
              <w:t xml:space="preserve">Year 12</w:t>
            </w:r>
          </w:p>
        </w:tc>
        <w:tc>
          <w:tcPr>
            <w:tcW w:type="pct" w:w="55%"/>
          </w:tcPr>
          <w:p>
            <w:r>
              <w:t xml:space="preserve">₹15,41,44,000</w:t>
            </w:r>
          </w:p>
        </w:tc>
      </w:tr>
      <w:tr>
        <w:tc>
          <w:tcPr>
            <w:tcW w:type="pct" w:w="45%"/>
          </w:tcPr>
          <w:p>
            <w:r>
              <w:t xml:space="preserve">Year 13</w:t>
            </w:r>
          </w:p>
        </w:tc>
        <w:tc>
          <w:tcPr>
            <w:tcW w:type="pct" w:w="55%"/>
          </w:tcPr>
          <w:p>
            <w:r>
              <w:t xml:space="preserve">₹17,03,39,500</w:t>
            </w:r>
          </w:p>
        </w:tc>
      </w:tr>
    </w:tbl>
    <w:p>
      <w:pPr>
        <w:pStyle w:val="Heading1"/>
      </w:pPr>
      <w:r>
        <w:t xml:space="preserve">7. Financing summary</w:t>
      </w:r>
    </w:p>
    <w:p>
      <w:r>
        <w:t xml:space="preserve">Purchased outright — no financing terms apply.</w:t>
      </w:r>
    </w:p>
    <w:p>
      <w:pPr>
        <w:pStyle w:val="Heading1"/>
      </w:pPr>
      <w:r>
        <w:t xml:space="preserve">8. Charts</w:t>
      </w:r>
    </w:p>
    <w:p>
      <w:r>
        <w:t xml:space="preserve">Chart images are deferred to a fast-follow (see report-templates/word-report-template.md §8); the same figures are captured as data above (§6) and below.</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45%"/>
          </w:tcPr>
          <w:p>
            <w:r>
              <w:t xml:space="preserve">Expected usage per day</w:t>
            </w:r>
          </w:p>
        </w:tc>
        <w:tc>
          <w:tcPr>
            <w:tcW w:type="pct" w:w="55%"/>
          </w:tcPr>
          <w:p>
            <w:r>
              <w:t xml:space="preserve">14</w:t>
            </w:r>
          </w:p>
        </w:tc>
      </w:tr>
      <w:tr>
        <w:tc>
          <w:tcPr>
            <w:tcW w:type="pct" w:w="45%"/>
          </w:tcPr>
          <w:p>
            <w:r>
              <w:t xml:space="preserve">Break-even usage per day</w:t>
            </w:r>
          </w:p>
        </w:tc>
        <w:tc>
          <w:tcPr>
            <w:tcW w:type="pct" w:w="55%"/>
          </w:tcPr>
          <w:p>
            <w:r>
              <w:t xml:space="preserve">0.5</w:t>
            </w:r>
          </w:p>
        </w:tc>
      </w:tr>
    </w:tbl>
    <w:p>
      <w:pPr>
        <w:pStyle w:val="Heading1"/>
      </w:pPr>
      <w:r>
        <w:t xml:space="preserve">9. Risk notes</w:t>
      </w:r>
    </w:p>
    <w:p>
      <w:r>
        <w:t xml:space="preserve">No major risk flags — every scored dimension sits at or above the "Moderate" floor.</w:t>
      </w:r>
    </w:p>
    <w:p>
      <w:pPr>
        <w:pStyle w:val="Heading1"/>
      </w:pPr>
      <w:r>
        <w:t xml:space="preserve">10. Methodology</w:t>
      </w:r>
    </w:p>
    <w:p>
      <w:r>
        <w:t xml:space="preserve">Usage per day, working days per month, and payer-mix tariffs first produce billed and realized monthly revenue; payer-wise collection delay then shifts realized revenue into cash received by month. Variable, fixed, and maintenance (warranty -&gt; CMC -&gt; AMC) costs are subtracted to reach operating surplus; financing cost (EMI or lease rental) is subtracted to reach net cash flow after financing. NPV, IRR, ROI, payback, and the discounted payback period are computed from that cash-flow series. The Investment Outlook score combines four weighted sub-scores (return strength, speed to payback, financing resilience, operational margin of safety) into a single 0-100 figure. Full detail: the live site's Methodology page.</w:t>
      </w:r>
    </w:p>
    <w:p>
      <w:pPr>
        <w:pStyle w:val="Heading1"/>
      </w:pPr>
      <w:r>
        <w:t xml:space="preserve">11. Formula appendix</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45%"/>
          </w:tcPr>
          <w:p>
            <w:r>
              <w:t xml:space="preserve">Billed monthly revenue</w:t>
            </w:r>
          </w:p>
        </w:tc>
        <w:tc>
          <w:tcPr>
            <w:tcW w:type="pct" w:w="55%"/>
          </w:tcPr>
          <w:p>
            <w:r>
              <w:t xml:space="preserve">Usage/day x Average billed revenue per use x Working days/month</w:t>
            </w:r>
          </w:p>
        </w:tc>
      </w:tr>
      <w:tr>
        <w:tc>
          <w:tcPr>
            <w:tcW w:type="pct" w:w="45%"/>
          </w:tcPr>
          <w:p>
            <w:r>
              <w:t xml:space="preserve">Realized revenue per use</w:t>
            </w:r>
          </w:p>
        </w:tc>
        <w:tc>
          <w:tcPr>
            <w:tcW w:type="pct" w:w="55%"/>
          </w:tcPr>
          <w:p>
            <w:r>
              <w:t xml:space="preserve">Volume-weighted average across payer types of (share % x tariff x realization %)</w:t>
            </w:r>
          </w:p>
        </w:tc>
      </w:tr>
      <w:tr>
        <w:tc>
          <w:tcPr>
            <w:tcW w:type="pct" w:w="45%"/>
          </w:tcPr>
          <w:p>
            <w:r>
              <w:t xml:space="preserve">Break-even usage per day</w:t>
            </w:r>
          </w:p>
        </w:tc>
        <w:tc>
          <w:tcPr>
            <w:tcW w:type="pct" w:w="55%"/>
          </w:tcPr>
          <w:p>
            <w:r>
              <w:t xml:space="preserve">Fixed monthly cost / Contribution per use / Working days per month</w:t>
            </w:r>
          </w:p>
        </w:tc>
      </w:tr>
      <w:tr>
        <w:tc>
          <w:tcPr>
            <w:tcW w:type="pct" w:w="45%"/>
          </w:tcPr>
          <w:p>
            <w:r>
              <w:t xml:space="preserve">NPV</w:t>
            </w:r>
          </w:p>
        </w:tc>
        <w:tc>
          <w:tcPr>
            <w:tcW w:type="pct" w:w="55%"/>
          </w:tcPr>
          <w:p>
            <w:r>
              <w:t xml:space="preserve">Sum of discounted cash flows minus the initial investment</w:t>
            </w:r>
          </w:p>
        </w:tc>
      </w:tr>
      <w:tr>
        <w:tc>
          <w:tcPr>
            <w:tcW w:type="pct" w:w="45%"/>
          </w:tcPr>
          <w:p>
            <w:r>
              <w:t xml:space="preserve">IRR</w:t>
            </w:r>
          </w:p>
        </w:tc>
        <w:tc>
          <w:tcPr>
            <w:tcW w:type="pct" w:w="55%"/>
          </w:tcPr>
          <w:p>
            <w:r>
              <w:t xml:space="preserve">The discount rate at which NPV = 0</w:t>
            </w:r>
          </w:p>
        </w:tc>
      </w:tr>
      <w:tr>
        <w:tc>
          <w:tcPr>
            <w:tcW w:type="pct" w:w="45%"/>
          </w:tcPr>
          <w:p>
            <w:r>
              <w:t xml:space="preserve">EMI</w:t>
            </w:r>
          </w:p>
        </w:tc>
        <w:tc>
          <w:tcPr>
            <w:tcW w:type="pct" w:w="55%"/>
          </w:tcPr>
          <w:p>
            <w:r>
              <w:t xml:space="preserve">Standard amortizing-loan formula (or straight division at 0% interest)</w:t>
            </w:r>
          </w:p>
        </w:tc>
      </w:tr>
    </w:tbl>
    <w:p>
      <w:pPr>
        <w:pStyle w:val="Heading1"/>
      </w:pPr>
      <w:r>
        <w:t xml:space="preserve">12. Disclaimer</w:t>
      </w:r>
    </w:p>
    <w:p>
      <w:r>
        <w:t xml:space="preserve">This tool is a decision-support calculator, not financial, investment, tax, or legal advice. Every figure in this report is calculated from the assumptions entered, combined in some cases with directional industry benchmarks — it does not represent a guarantee, forecast, or professional appraisal. Replace every benchmark-sourced figure with your own vendor quotation, tariff sheet, payer contracts, and lender's actual sanction terms wherever available, and have the resulting model reviewed by your organization's finance team, chartered accountant, or financial advisor before using it to support an actual capital expenditure decision, loan application, or board presentation. Actual utilization, realization, collection timelines, maintenance costs, and financing terms will differ from any assumption entered here. This tool and its output are provided "as is," without warranty of any kind, and its creators accept no liability for decisions made on the basis of its output.</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2026-08-27T21:18:44.688Z</dcterms:created>
  <dcterms:modified xsi:type="dcterms:W3CDTF">2026-08-27T21:18:44.688Z</dcterms:modified>
</cp:coreProperties>
</file>

<file path=docProps/custom.xml><?xml version="1.0" encoding="utf-8"?>
<Properties xmlns="http://schemas.openxmlformats.org/officeDocument/2006/custom-properties" xmlns:vt="http://schemas.openxmlformats.org/officeDocument/2006/docPropsVTypes"/>
</file>