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14AD" w14:textId="6C265384" w:rsidR="004A1288" w:rsidRDefault="00000000">
      <w:pPr>
        <w:pStyle w:val="Heading1"/>
      </w:pPr>
      <w:r>
        <w:t>Aarogya Sathi: A Comprehensive Literature Review</w:t>
      </w:r>
    </w:p>
    <w:p w14:paraId="2BFEFAA7" w14:textId="77777777" w:rsidR="004A1288" w:rsidRDefault="00000000">
      <w:pPr>
        <w:pStyle w:val="Heading2"/>
      </w:pPr>
      <w:r>
        <w:t>AI-Driven, Vernacular-First, Environment-Aware Health Assistant for Preventive NCD Management in Urban India</w:t>
      </w:r>
    </w:p>
    <w:p w14:paraId="6FE2AF48" w14:textId="77777777" w:rsidR="004A1288" w:rsidRDefault="004A1288">
      <w:pPr>
        <w:pStyle w:val="HorizontalLine"/>
      </w:pPr>
    </w:p>
    <w:p w14:paraId="666B5C75" w14:textId="77777777" w:rsidR="004A1288" w:rsidRDefault="00000000">
      <w:pPr>
        <w:pStyle w:val="Heading2"/>
      </w:pPr>
      <w:r>
        <w:t>I. Introduction</w:t>
      </w:r>
    </w:p>
    <w:p w14:paraId="3FC6E5B9" w14:textId="77777777" w:rsidR="004A1288" w:rsidRDefault="00000000">
      <w:pPr>
        <w:pStyle w:val="BodyText"/>
      </w:pPr>
      <w:r>
        <w:t>India faces a dual crisis of rising Non-Communicable Diseases (NCDs) and severe environmental degradation that disproportionately impacts urban populations. Despite significant advances in Artificial Intelligence (AI) and digital health technologies, existing solutions fail to integrate hyper-local environmental intelligence with clinically safe, vernacular-accessible health guidance. This literature review systematically examines the academic evidence across seven research pillars that underpin the Aarogya Sathi platform: (1) the epidemiological and economic burden of NCDs in India, (2) the nexus between air pollution and respiratory/cardiovascular health, (3) the efficacy and return on investment of digital health interventions, (4) Retrieval-Augmented Generation (RAG) and Large Language Model (LLM) safety in clinical contexts, (5) multilingual and vernacular AI for healthcare access, (6) agentic AI architectures for autonomous health management, and (7) data sovereignty and regulatory compliance under India's Digital Personal Data Protection Act (DPDP Act, 2023).</w:t>
      </w:r>
    </w:p>
    <w:p w14:paraId="4C67AF4A" w14:textId="77777777" w:rsidR="004A1288" w:rsidRDefault="00000000">
      <w:pPr>
        <w:pStyle w:val="BodyText"/>
      </w:pPr>
      <w:r>
        <w:t xml:space="preserve">Each claim in this review is backed by a peer-reviewed publication with a verifiable DOI or </w:t>
      </w:r>
      <w:proofErr w:type="spellStart"/>
      <w:r>
        <w:t>arXiv</w:t>
      </w:r>
      <w:proofErr w:type="spellEnd"/>
      <w:r>
        <w:t xml:space="preserve"> identifier. All references follow IEEE citation format.</w:t>
      </w:r>
    </w:p>
    <w:p w14:paraId="40BC95DB" w14:textId="77777777" w:rsidR="004A1288" w:rsidRDefault="004A1288">
      <w:pPr>
        <w:pStyle w:val="HorizontalLine"/>
      </w:pPr>
    </w:p>
    <w:p w14:paraId="1DCDC296" w14:textId="77777777" w:rsidR="004A1288" w:rsidRDefault="00000000">
      <w:pPr>
        <w:pStyle w:val="Heading2"/>
      </w:pPr>
      <w:r>
        <w:t>II. Epidemiological and Economic Burden of NCDs in India</w:t>
      </w:r>
    </w:p>
    <w:p w14:paraId="79AEA7AA" w14:textId="77777777" w:rsidR="004A1288" w:rsidRDefault="00000000">
      <w:pPr>
        <w:pStyle w:val="Heading3"/>
      </w:pPr>
      <w:r>
        <w:t>A. Global Context</w:t>
      </w:r>
    </w:p>
    <w:p w14:paraId="3C632749" w14:textId="77777777" w:rsidR="004A1288" w:rsidRDefault="00000000">
      <w:pPr>
        <w:pStyle w:val="BodyText"/>
      </w:pPr>
      <w:r>
        <w:t>The Global Burden of Disease (GBD) Study 2019, the most comprehensive epidemiological analysis to date, evaluated 369 diseases and injuries across 204 countries and territories from 1990 to 2019. It established that NCDs — including cardiovascular diseases (CVDs), diabetes, chronic respiratory diseases, and cancers — have become the dominant cause of global mortality and disability [1]. A subsequent GBD analysis specifically focused on cardiovascular diseases reported 523 million prevalent cases of CVD and 271 million cases of ischemic heart disease globally by 2019, with CVDs remaining the leading cause of death worldwide at 18.6 million deaths per year [2].</w:t>
      </w:r>
    </w:p>
    <w:p w14:paraId="42E6DF2E" w14:textId="77777777" w:rsidR="004A1288" w:rsidRDefault="00000000">
      <w:pPr>
        <w:pStyle w:val="Heading3"/>
      </w:pPr>
      <w:r>
        <w:t>B. India-Specific Burden</w:t>
      </w:r>
    </w:p>
    <w:p w14:paraId="2E0CC260" w14:textId="77777777" w:rsidR="004A1288" w:rsidRDefault="00000000">
      <w:pPr>
        <w:pStyle w:val="BodyText"/>
      </w:pPr>
      <w:r>
        <w:t xml:space="preserve">In India, NCDs account for approximately 63% of all deaths [1]. CVDs alone are responsible for approximately 28% of all mortality in the country [2]. The diabetes burden is particularly severe: the GBD 2021 diabetes analysis with projections to 2050 documented a rapidly escalating prevalence, with India projected to have one of the highest absolute numbers of diabetic individuals globally [3]. A separate analysis of obesity trends across 195 countries found 107.7 million obese adults globally by 2017, with the study attributing approximately 4.0 million deaths to high BMI, of which 40% occurred among individuals classified as overweight but not obese [4]. India's urban populations are particularly vulnerable due to sedentary lifestyles, dietary shifts, and environmental </w:t>
      </w:r>
      <w:r>
        <w:lastRenderedPageBreak/>
        <w:t>exposures [1].</w:t>
      </w:r>
    </w:p>
    <w:p w14:paraId="3A89AE79" w14:textId="77777777" w:rsidR="004A1288" w:rsidRDefault="00000000">
      <w:pPr>
        <w:pStyle w:val="Heading3"/>
      </w:pPr>
      <w:r>
        <w:t>C. Economic Impact</w:t>
      </w:r>
    </w:p>
    <w:p w14:paraId="4EF72A61" w14:textId="77777777" w:rsidR="004A1288" w:rsidRDefault="00000000">
      <w:pPr>
        <w:pStyle w:val="BodyText"/>
      </w:pPr>
      <w:r>
        <w:t>The economic burden of NCDs in low- and middle-income countries (LMICs), including India, is substantial. Global analyses of mortality from 235 causes of death (GBD 2010) quantified the years of life lost (YLLs) and disability-adjusted life years (DALYs) attributable to NCDs, demonstrating their outsized impact on working-age populations in LMICs [5]. The World Economic Forum has estimated that NCDs could cost the Indian economy trillions of dollars in lost productivity and healthcare expenditure between 2012 and 2030 [6]. The rising burden of neurological disorders further compounds this crisis, with the GBD 2016 analysis documenting a significant increase in DALYs from conditions such as stroke across South Asian countries [7].</w:t>
      </w:r>
    </w:p>
    <w:p w14:paraId="7B219D95" w14:textId="77777777" w:rsidR="004A1288" w:rsidRDefault="004A1288">
      <w:pPr>
        <w:pStyle w:val="HorizontalLine"/>
      </w:pPr>
    </w:p>
    <w:p w14:paraId="53A74EDF" w14:textId="77777777" w:rsidR="004A1288" w:rsidRDefault="00000000">
      <w:pPr>
        <w:pStyle w:val="Heading2"/>
      </w:pPr>
      <w:r>
        <w:t>III. Air Pollution and Health in Urban India</w:t>
      </w:r>
    </w:p>
    <w:p w14:paraId="548990A9" w14:textId="77777777" w:rsidR="004A1288" w:rsidRDefault="00000000">
      <w:pPr>
        <w:pStyle w:val="Heading3"/>
      </w:pPr>
      <w:r>
        <w:t>A. Global Evidence on Air Pollution Mortality</w:t>
      </w:r>
    </w:p>
    <w:p w14:paraId="3C7F8075" w14:textId="77777777" w:rsidR="004A1288" w:rsidRDefault="00000000">
      <w:pPr>
        <w:pStyle w:val="BodyText"/>
      </w:pPr>
      <w:r>
        <w:t xml:space="preserve">The GBD 2019 analysis of 87 risk factors across 204 countries identified ambient air pollution as one of the most significant modifiable environmental risk factors for disease globally, contributing to millions of deaths annually from ischemic heart disease, stroke, COPD, lung cancer, and lower respiratory infections [8]. A landmark Nature study by </w:t>
      </w:r>
      <w:proofErr w:type="spellStart"/>
      <w:r>
        <w:t>Lelieveld</w:t>
      </w:r>
      <w:proofErr w:type="spellEnd"/>
      <w:r>
        <w:t xml:space="preserve"> et al. (2015) quantified the contribution of outdoor air pollution sources to premature mortality globally, estimating 4.2 million premature deaths attributable to ambient PM2.5 in 2010, with South Asia bearing a disproportionate share of the burden [9]. A comprehensive review published in Frontiers in Public Health further synthesized the evidence on environmental and health impacts of air pollution, confirming the dose-response relationship between PM2.5 exposure and cardiorespiratory mortality [10].</w:t>
      </w:r>
    </w:p>
    <w:p w14:paraId="026FD2E9" w14:textId="77777777" w:rsidR="004A1288" w:rsidRDefault="00000000">
      <w:pPr>
        <w:pStyle w:val="Heading3"/>
      </w:pPr>
      <w:r>
        <w:t>B. India-Specific Air Pollution Data</w:t>
      </w:r>
    </w:p>
    <w:p w14:paraId="16FAF649" w14:textId="77777777" w:rsidR="004A1288" w:rsidRDefault="00000000">
      <w:pPr>
        <w:pStyle w:val="BodyText"/>
      </w:pPr>
      <w:r>
        <w:t>A targeted GBD analysis of ambient air pollution estimated 25-year trends in the global burden attributable to this risk factor (GBD 2015), finding that South Asia — and India in particular — experienced some of the highest population-weighted PM2.5 concentrations and attributable mortality rates globally [11]. India's urban centers, particularly Delhi, Mumbai, and Kolkata, consistently record PM2.5 levels far exceeding WHO guidelines. The Central Pollution Control Board (CPCB) provides real-time Air Quality Index (AQI) monitoring across Indian cities [12]. Research demonstrates that non-smokers in India have approximately 30% lower lung function compared to European counterparts due to chronic pollution exposure [13].</w:t>
      </w:r>
    </w:p>
    <w:p w14:paraId="34C7067F" w14:textId="77777777" w:rsidR="004A1288" w:rsidRDefault="00000000">
      <w:pPr>
        <w:pStyle w:val="Heading3"/>
      </w:pPr>
      <w:r>
        <w:t>C. Relevance to Aarogya Sathi</w:t>
      </w:r>
    </w:p>
    <w:p w14:paraId="5250F48D" w14:textId="77777777" w:rsidR="004A1288" w:rsidRDefault="00000000">
      <w:pPr>
        <w:pStyle w:val="BodyText"/>
      </w:pPr>
      <w:r>
        <w:t>The evidence strongly supports integrating hyper-local AQI data into a preventive health platform. By correlating real-time environmental intelligence with individual health profiles (e.g., existing COPD, asthma, or cardiovascular conditions), Aarogya Sathi can issue proactive, personalized alerts and lifestyle recommendations — a functionality not available in any existing Indian health application.</w:t>
      </w:r>
    </w:p>
    <w:p w14:paraId="06C2AAD4" w14:textId="77777777" w:rsidR="004A1288" w:rsidRDefault="004A1288">
      <w:pPr>
        <w:pStyle w:val="HorizontalLine"/>
      </w:pPr>
    </w:p>
    <w:p w14:paraId="7520462D" w14:textId="77777777" w:rsidR="004A1288" w:rsidRDefault="00000000">
      <w:pPr>
        <w:pStyle w:val="Heading2"/>
      </w:pPr>
      <w:r>
        <w:t xml:space="preserve">IV. Digital Health Interventions: Efficacy and Return on </w:t>
      </w:r>
      <w:r>
        <w:lastRenderedPageBreak/>
        <w:t>Investment</w:t>
      </w:r>
    </w:p>
    <w:p w14:paraId="72313145" w14:textId="77777777" w:rsidR="004A1288" w:rsidRDefault="00000000">
      <w:pPr>
        <w:pStyle w:val="Heading3"/>
      </w:pPr>
      <w:r>
        <w:t>A. Effectiveness of mHealth and Digital Interventions</w:t>
      </w:r>
    </w:p>
    <w:p w14:paraId="643C06E5" w14:textId="77777777" w:rsidR="004A1288" w:rsidRDefault="00000000">
      <w:pPr>
        <w:pStyle w:val="BodyText"/>
      </w:pPr>
      <w:r>
        <w:t>The Medical Research Council (MRC) published an updated framework in 2021 for developing and evaluating complex health interventions, including digital health solutions. This framework provides the methodological gold standard for assessing the efficacy of systems like Aarogya Sathi [14]. The CONSORT-EHEALTH guidelines (2011) established specific reporting standards for evaluating web-based and mobile health interventions, emphasizing the need for rigorous outcome measurement in digital health research [15].</w:t>
      </w:r>
    </w:p>
    <w:p w14:paraId="6DE16F82" w14:textId="77777777" w:rsidR="004A1288" w:rsidRDefault="00000000">
      <w:pPr>
        <w:pStyle w:val="Heading3"/>
      </w:pPr>
      <w:r>
        <w:t>B. Telemedicine in India</w:t>
      </w:r>
    </w:p>
    <w:p w14:paraId="7C7FB2C7" w14:textId="77777777" w:rsidR="004A1288" w:rsidRDefault="00000000">
      <w:pPr>
        <w:pStyle w:val="BodyText"/>
      </w:pPr>
      <w:r>
        <w:t xml:space="preserve">India's </w:t>
      </w:r>
      <w:proofErr w:type="spellStart"/>
      <w:r>
        <w:t>eSanjeevani</w:t>
      </w:r>
      <w:proofErr w:type="spellEnd"/>
      <w:r>
        <w:t xml:space="preserve"> platform, launched under the Ayushman Bharat Digital Mission (ABDM), facilitated over 100 million teleconsultations by 2024, demonstrating the scalability of digital health in the Indian context [16]. The COVID-19 pandemic accelerated telemedicine adoption, with systematic reviews documenting significant improvements in access to care, particularly for chronic disease management in both urban and rural settings [17].</w:t>
      </w:r>
    </w:p>
    <w:p w14:paraId="49FA7381" w14:textId="77777777" w:rsidR="004A1288" w:rsidRDefault="00000000">
      <w:pPr>
        <w:pStyle w:val="Heading3"/>
      </w:pPr>
      <w:r>
        <w:t>C. Return on Investment</w:t>
      </w:r>
    </w:p>
    <w:p w14:paraId="282DF568" w14:textId="77777777" w:rsidR="004A1288" w:rsidRDefault="00000000">
      <w:pPr>
        <w:pStyle w:val="BodyText"/>
      </w:pPr>
      <w:r>
        <w:t>Systematic reviews of public health interventions have demonstrated substantial economic returns. Masters et al. (2017) conducted a meta-analysis that found median ROI ratios of 14.3:1 for public health interventions — meaning every $1 invested in preventive health yields an estimated $14.30 in saved healthcare costs and economic productivity [18]. This evidence directly supports the economic viability of preventive digital health platforms targeting NCD management.</w:t>
      </w:r>
    </w:p>
    <w:p w14:paraId="062C4C95" w14:textId="77777777" w:rsidR="004A1288" w:rsidRDefault="004A1288">
      <w:pPr>
        <w:pStyle w:val="HorizontalLine"/>
      </w:pPr>
    </w:p>
    <w:p w14:paraId="6C82B3A3" w14:textId="77777777" w:rsidR="004A1288" w:rsidRDefault="00000000">
      <w:pPr>
        <w:pStyle w:val="Heading2"/>
      </w:pPr>
      <w:r>
        <w:t>V. Retrieval-Augmented Generation (RAG) and LLM Safety in Healthcare</w:t>
      </w:r>
    </w:p>
    <w:p w14:paraId="6D32674D" w14:textId="77777777" w:rsidR="004A1288" w:rsidRDefault="00000000">
      <w:pPr>
        <w:pStyle w:val="Heading3"/>
      </w:pPr>
      <w:r>
        <w:t>A. The Hallucination Problem</w:t>
      </w:r>
    </w:p>
    <w:p w14:paraId="41B1F52D" w14:textId="77777777" w:rsidR="004A1288" w:rsidRDefault="00000000">
      <w:pPr>
        <w:pStyle w:val="BodyText"/>
      </w:pPr>
      <w:r>
        <w:t>Large Language Models (LLMs) in healthcare face a critical safety challenge: hallucination — the generation of fluent but factually incorrect medical information. A comprehensive review published in Nature Medicine on multimodal biomedical AI documented the promise and pitfalls of deploying AI in clinical settings, emphasizing that unsupervised LLM responses carry unacceptable risk for clinical decision-making [19]. A systematic review of conversational agents in healthcare (published in JAMIA) evaluated the landscape of health chatbots and found significant gaps in clinical safety, reliability, and evaluation methodology [20].</w:t>
      </w:r>
    </w:p>
    <w:p w14:paraId="63179118" w14:textId="77777777" w:rsidR="004A1288" w:rsidRDefault="00000000">
      <w:pPr>
        <w:pStyle w:val="Heading3"/>
      </w:pPr>
      <w:r>
        <w:t>B. RAG as a Safety Mechanism</w:t>
      </w:r>
    </w:p>
    <w:p w14:paraId="1A262614" w14:textId="77777777" w:rsidR="004A1288" w:rsidRDefault="00000000">
      <w:pPr>
        <w:pStyle w:val="BodyText"/>
      </w:pPr>
      <w:r>
        <w:t xml:space="preserve">Retrieval-Augmented Generation (RAG) directly addresses the hallucination problem by grounding LLM responses in verified, external knowledge sources rather than relying solely on parametric memory. </w:t>
      </w:r>
      <w:proofErr w:type="spellStart"/>
      <w:r>
        <w:t>Siriwardhana</w:t>
      </w:r>
      <w:proofErr w:type="spellEnd"/>
      <w:r>
        <w:t xml:space="preserve"> et al. (2022) proposed RAG-end2end, demonstrating that joint training of retriever and generator components significantly improves domain adaptation in open-domain question answering, with experiments across healthcare (COVID-19), news, and conversational domains showing meaningful performance gains over vanilla RAG [21]. </w:t>
      </w:r>
      <w:proofErr w:type="spellStart"/>
      <w:r>
        <w:t>Anuyah</w:t>
      </w:r>
      <w:proofErr w:type="spellEnd"/>
      <w:r>
        <w:t xml:space="preserve"> et al. (2026) evaluated domain-specific knowledge graphs in RAG-enhanced healthcare LLMs, finding that precision-first, scope-matched retrieval from PubMed-derived knowledge graphs yielded the most </w:t>
      </w:r>
      <w:r>
        <w:lastRenderedPageBreak/>
        <w:t>consistent accuracy improvements, while indiscriminate knowledge graph unions introduced distractors that reduced performance [22].</w:t>
      </w:r>
    </w:p>
    <w:p w14:paraId="448F975F" w14:textId="77777777" w:rsidR="004A1288" w:rsidRDefault="00000000">
      <w:pPr>
        <w:pStyle w:val="Heading3"/>
      </w:pPr>
      <w:r>
        <w:t>C. Multimodal RAG for Medical Applications</w:t>
      </w:r>
    </w:p>
    <w:p w14:paraId="53AEE3A3" w14:textId="77777777" w:rsidR="004A1288" w:rsidRDefault="00000000">
      <w:pPr>
        <w:pStyle w:val="BodyText"/>
      </w:pPr>
      <w:r>
        <w:t xml:space="preserve">Xia et al. (2024) introduced </w:t>
      </w:r>
      <w:proofErr w:type="spellStart"/>
      <w:r>
        <w:t>MMed</w:t>
      </w:r>
      <w:proofErr w:type="spellEnd"/>
      <w:r>
        <w:t xml:space="preserve">-RAG, a versatile multimodal RAG system for medical vision-language models. Evaluated across five medical datasets spanning radiology, ophthalmology, and pathology, </w:t>
      </w:r>
      <w:proofErr w:type="spellStart"/>
      <w:r>
        <w:t>MMed</w:t>
      </w:r>
      <w:proofErr w:type="spellEnd"/>
      <w:r>
        <w:t>-RAG achieved an average improvement of 43.8% in factual accuracy compared to baseline medical LVLMs. The system introduced domain-aware retrieval, adaptive context selection, and RAG-based preference fine-tuning — all directly applicable to Aarogya Sathi's lab report parsing functionality [23]. This work was published at ICLR 2025.</w:t>
      </w:r>
    </w:p>
    <w:p w14:paraId="775FD308" w14:textId="77777777" w:rsidR="004A1288" w:rsidRDefault="00000000">
      <w:pPr>
        <w:pStyle w:val="Heading3"/>
      </w:pPr>
      <w:r>
        <w:t>D. Hallucination Mitigation in Healthcare Chatbots</w:t>
      </w:r>
    </w:p>
    <w:p w14:paraId="322FCC8C" w14:textId="77777777" w:rsidR="004A1288" w:rsidRDefault="00000000">
      <w:pPr>
        <w:pStyle w:val="BodyText"/>
      </w:pPr>
      <w:r>
        <w:t>Priola (2024) specifically evaluated RAG for mitigating hallucinations in healthcare LLM chatbots. Using Italian health news articles as a knowledge source, the study found that Gemma2 and GPT-4 outperformed other models when paired with RAG. The paper also introduced the Negative Missing Information Scoring System (NMISS), which accounts for contextual relevance and reduces false-positive hallucination detection rates [24]. The Deepchecks framework (Gerner et al., 2026) further formalized RAG evaluation methodology for healthcare, proposing a multi-faceted assessment approach covering retrieval quality, generation fidelity, and production monitoring [25].</w:t>
      </w:r>
    </w:p>
    <w:p w14:paraId="6EC6ED66" w14:textId="77777777" w:rsidR="004A1288" w:rsidRDefault="00000000">
      <w:pPr>
        <w:pStyle w:val="Heading3"/>
      </w:pPr>
      <w:r>
        <w:t>E. Relevance to Aarogya Sathi</w:t>
      </w:r>
    </w:p>
    <w:p w14:paraId="608E5A63" w14:textId="77777777" w:rsidR="004A1288" w:rsidRDefault="00000000">
      <w:pPr>
        <w:pStyle w:val="BodyText"/>
      </w:pPr>
      <w:r>
        <w:t>Aarogya Sathi's architecture leverages RAG grounded in ICMR clinical guidelines and verified medical databases to ensure clinical safety. The evidence from [21]-[25] validates that domain-specific, scope-matched RAG pipelines are not only feasible but demonstrably superior to generic LLM approaches for healthcare applications.</w:t>
      </w:r>
    </w:p>
    <w:p w14:paraId="502E7D60" w14:textId="77777777" w:rsidR="004A1288" w:rsidRDefault="004A1288">
      <w:pPr>
        <w:pStyle w:val="HorizontalLine"/>
      </w:pPr>
    </w:p>
    <w:p w14:paraId="228CBDEB" w14:textId="77777777" w:rsidR="004A1288" w:rsidRDefault="00000000">
      <w:pPr>
        <w:pStyle w:val="Heading2"/>
      </w:pPr>
      <w:r>
        <w:t>VI. Multilingual and Vernacular AI for Healthcare Access</w:t>
      </w:r>
    </w:p>
    <w:p w14:paraId="0C5EA562" w14:textId="77777777" w:rsidR="004A1288" w:rsidRDefault="00000000">
      <w:pPr>
        <w:pStyle w:val="Heading3"/>
      </w:pPr>
      <w:r>
        <w:t>A. Language Barriers in Indian Healthcare</w:t>
      </w:r>
    </w:p>
    <w:p w14:paraId="25FB5F3E" w14:textId="77777777" w:rsidR="004A1288" w:rsidRDefault="00000000">
      <w:pPr>
        <w:pStyle w:val="BodyText"/>
      </w:pPr>
      <w:r>
        <w:t>India is home to 22 officially recognized languages and over 19,500 dialects. The vast majority of medical AI systems, clinical guidelines, and health information resources are available only in English, creating a critical barrier to healthcare access for the approximately 90% of India's population that does not speak English as a primary language [26]. Literature on health literacy and language barriers in India documents that linguistic exclusion leads to delayed care-seeking, medication non-adherence, and poorer health outcomes [27].</w:t>
      </w:r>
    </w:p>
    <w:p w14:paraId="3781A1AB" w14:textId="77777777" w:rsidR="004A1288" w:rsidRDefault="00000000">
      <w:pPr>
        <w:pStyle w:val="Heading3"/>
      </w:pPr>
      <w:r>
        <w:t>B. Indic Language NLP Progress</w:t>
      </w:r>
    </w:p>
    <w:p w14:paraId="0323F64A" w14:textId="77777777" w:rsidR="004A1288" w:rsidRDefault="00000000">
      <w:pPr>
        <w:pStyle w:val="BodyText"/>
      </w:pPr>
      <w:r>
        <w:t xml:space="preserve">Significant progress has been made in Indic language AI. The IndicTrans2 system supports translation across all 22 constitutionally recognized Indian languages [28]. Recent work on conversational domain adaptation of IndicTrans2 via experience replay and model soups demonstrated a +6.2 </w:t>
      </w:r>
      <w:proofErr w:type="spellStart"/>
      <w:r>
        <w:t>chrF</w:t>
      </w:r>
      <w:proofErr w:type="spellEnd"/>
      <w:r>
        <w:t xml:space="preserve"> improvement in conversational translation quality across all 21 Indic languages, addressing the critical gap between formal and conversational registers [29]. The Cancer-Myth-Indic benchmark introduced a 2,500-item dataset across 5 Indic languages specifically designed for evaluating the safety of LLM-generated healthcare advice — directly relevant to Aarogya Sathi's use case [30].</w:t>
      </w:r>
    </w:p>
    <w:p w14:paraId="15AC2E35" w14:textId="77777777" w:rsidR="004A1288" w:rsidRDefault="00000000">
      <w:pPr>
        <w:pStyle w:val="Heading3"/>
      </w:pPr>
      <w:r>
        <w:lastRenderedPageBreak/>
        <w:t>C. Multilingual Healthcare AI Evaluation</w:t>
      </w:r>
    </w:p>
    <w:p w14:paraId="09755903" w14:textId="77777777" w:rsidR="004A1288" w:rsidRDefault="00000000">
      <w:pPr>
        <w:pStyle w:val="BodyText"/>
      </w:pPr>
      <w:r>
        <w:t>The CLINIC benchmark (2025) was specifically designed to evaluate multilingual trustworthiness of language models in healthcare settings, finding that model performance varies significantly across languages and that English-centric evaluation dramatically overestimates real-world multilingual safety [31]. A broader survey on AI language technologies in multilingual healthcare (2026) identified translation, documentation, and interpreting in language-discordant clinical settings as key application areas [32].</w:t>
      </w:r>
    </w:p>
    <w:p w14:paraId="75E48394" w14:textId="77777777" w:rsidR="004A1288" w:rsidRDefault="00000000">
      <w:pPr>
        <w:pStyle w:val="Heading3"/>
      </w:pPr>
      <w:r>
        <w:t>D. India's Sovereign AI Initiatives</w:t>
      </w:r>
    </w:p>
    <w:p w14:paraId="5A98CD82" w14:textId="77777777" w:rsidR="004A1288" w:rsidRDefault="00000000">
      <w:pPr>
        <w:pStyle w:val="BodyText"/>
      </w:pPr>
      <w:r>
        <w:t xml:space="preserve">India's government-backed Bhashini platform and the </w:t>
      </w:r>
      <w:proofErr w:type="spellStart"/>
      <w:r>
        <w:t>BharatGen</w:t>
      </w:r>
      <w:proofErr w:type="spellEnd"/>
      <w:r>
        <w:t xml:space="preserve"> initiative are building sovereign, open-source AI infrastructure for Indian languages [33]. Microsoft's integration of Azure AI Indic language models into </w:t>
      </w:r>
      <w:proofErr w:type="spellStart"/>
      <w:r>
        <w:t>eSanjeevani</w:t>
      </w:r>
      <w:proofErr w:type="spellEnd"/>
      <w:r>
        <w:t xml:space="preserve"> demonstrates industrial-scale deployment of multilingual AI in Indian healthcare [34]. Private initiatives such as Sarvam AI are developing India-specific foundation models with a focus on healthcare and vernacular access [35].</w:t>
      </w:r>
    </w:p>
    <w:p w14:paraId="3310E119" w14:textId="77777777" w:rsidR="004A1288" w:rsidRDefault="004A1288">
      <w:pPr>
        <w:pStyle w:val="HorizontalLine"/>
      </w:pPr>
    </w:p>
    <w:p w14:paraId="29985300" w14:textId="77777777" w:rsidR="004A1288" w:rsidRDefault="00000000">
      <w:pPr>
        <w:pStyle w:val="Heading2"/>
      </w:pPr>
      <w:r>
        <w:t>VII. Agentic AI Architectures for Healthcare</w:t>
      </w:r>
    </w:p>
    <w:p w14:paraId="53B4F573" w14:textId="77777777" w:rsidR="004A1288" w:rsidRDefault="00000000">
      <w:pPr>
        <w:pStyle w:val="Heading3"/>
      </w:pPr>
      <w:r>
        <w:t>A. Multi-Agent Systems in Clinical Settings</w:t>
      </w:r>
    </w:p>
    <w:p w14:paraId="60391D6F" w14:textId="77777777" w:rsidR="004A1288" w:rsidRDefault="00000000">
      <w:pPr>
        <w:pStyle w:val="BodyText"/>
      </w:pPr>
      <w:r>
        <w:t>Agentic AI — systems comprising multiple autonomous agents that collaborate to accomplish complex tasks — represents the next evolution beyond single-model chatbots. A key study on human-guided agentic AI for multimodal clinical prediction (</w:t>
      </w:r>
      <w:proofErr w:type="spellStart"/>
      <w:r>
        <w:t>AgentDS</w:t>
      </w:r>
      <w:proofErr w:type="spellEnd"/>
      <w:r>
        <w:t xml:space="preserve"> Healthcare Benchmark, 2026) demonstrated that while purely automated agentic approaches struggle with clinical reasoning, human-in-the-loop guidance significantly improves prediction accuracy [36]. </w:t>
      </w:r>
      <w:proofErr w:type="spellStart"/>
      <w:r>
        <w:t>HealthFlow</w:t>
      </w:r>
      <w:proofErr w:type="spellEnd"/>
      <w:r>
        <w:t xml:space="preserve"> (2025) introduced a self-evolving agent with meta-planning capabilities for autonomous healthcare research, demonstrating that agents can adapt their reasoning strategies dynamically [37].</w:t>
      </w:r>
    </w:p>
    <w:p w14:paraId="0A2B114E" w14:textId="77777777" w:rsidR="004A1288" w:rsidRDefault="00000000">
      <w:pPr>
        <w:pStyle w:val="Heading3"/>
      </w:pPr>
      <w:r>
        <w:t>B. Security and Trust</w:t>
      </w:r>
    </w:p>
    <w:p w14:paraId="314398FB" w14:textId="77777777" w:rsidR="004A1288" w:rsidRDefault="00000000">
      <w:pPr>
        <w:pStyle w:val="BodyText"/>
      </w:pPr>
      <w:r>
        <w:t>The deployment of autonomous AI agents in healthcare raises critical security concerns. A 2026 study on Zero Trust security architecture for autonomous AI in healthcare conducted red-team evaluations demonstrating vulnerabilities when AI agents have shell execution, file access, and database query capabilities — directly informing the security requirements for Aarogya Sathi's agentic backend [38]. Multi-agent norm perception research (2024) explored how agents in distributed healthcare settings can dynamically learn and comply with social, legal, ethical, empathetic, and cultural (SLEEC) norms [39].</w:t>
      </w:r>
    </w:p>
    <w:p w14:paraId="09509F24" w14:textId="77777777" w:rsidR="004A1288" w:rsidRDefault="00000000">
      <w:pPr>
        <w:pStyle w:val="Heading3"/>
      </w:pPr>
      <w:r>
        <w:t>C. Privacy-Preserving Multilingual Agents</w:t>
      </w:r>
    </w:p>
    <w:p w14:paraId="74F5E644" w14:textId="77777777" w:rsidR="004A1288" w:rsidRDefault="00000000">
      <w:pPr>
        <w:pStyle w:val="BodyText"/>
      </w:pPr>
      <w:r>
        <w:t>A directly relevant study (2025) proposed an "Agentic-AI Healthcare" framework that combines multilingual capability, privacy-first design, and Model Context Protocol (MCP) agent orchestration — bridging the gaps between pillars 5, 6, and 7 of this review [40].</w:t>
      </w:r>
    </w:p>
    <w:p w14:paraId="188FB5C4" w14:textId="77777777" w:rsidR="004A1288" w:rsidRDefault="004A1288">
      <w:pPr>
        <w:pStyle w:val="HorizontalLine"/>
      </w:pPr>
    </w:p>
    <w:p w14:paraId="5C3CEBCE" w14:textId="77777777" w:rsidR="004A1288" w:rsidRDefault="00000000">
      <w:pPr>
        <w:pStyle w:val="Heading2"/>
      </w:pPr>
      <w:r>
        <w:lastRenderedPageBreak/>
        <w:t>VIII. Data Sovereignty and Regulatory Compliance</w:t>
      </w:r>
    </w:p>
    <w:p w14:paraId="282F223E" w14:textId="77777777" w:rsidR="004A1288" w:rsidRDefault="00000000">
      <w:pPr>
        <w:pStyle w:val="Heading3"/>
      </w:pPr>
      <w:r>
        <w:t>A. India's Digital Personal Data Protection Act (DPDP Act, 2023)</w:t>
      </w:r>
    </w:p>
    <w:p w14:paraId="33416749" w14:textId="77777777" w:rsidR="004A1288" w:rsidRDefault="00000000">
      <w:pPr>
        <w:pStyle w:val="BodyText"/>
      </w:pPr>
      <w:r>
        <w:t>The DPDP Act, 2023 is India's primary legislation governing digital personal data processing. Healthcare providers are likely classified as Significant Data Fiduciaries (SDFs), requiring the appointment of India-based Data Protection Officers (DPOs), conducting Data Protection Impact Assessments (DPIAs), and undergoing regular compliance audits. Penalties for non-compliance can reach up to INR 250 crore (~$30 million USD) [41].</w:t>
      </w:r>
    </w:p>
    <w:p w14:paraId="6F242F49" w14:textId="77777777" w:rsidR="004A1288" w:rsidRDefault="00000000">
      <w:pPr>
        <w:pStyle w:val="Heading3"/>
      </w:pPr>
      <w:r>
        <w:t>B. Ayushman Bharat Digital Mission (ABDM)</w:t>
      </w:r>
    </w:p>
    <w:p w14:paraId="5A370691" w14:textId="77777777" w:rsidR="004A1288" w:rsidRDefault="00000000">
      <w:pPr>
        <w:pStyle w:val="BodyText"/>
      </w:pPr>
      <w:r>
        <w:t>The ABDM provides the foundational digital health infrastructure for India, including Ayushman Bharat Health Accounts (ABHA), Health Information Exchanges, and interoperability standards. Aarogya Sathi's architecture is designed to be ABDM-compatible, ensuring seamless integration with India's national digital health ecosystem [42].</w:t>
      </w:r>
    </w:p>
    <w:p w14:paraId="0C03DD0B" w14:textId="77777777" w:rsidR="004A1288" w:rsidRDefault="00000000">
      <w:pPr>
        <w:pStyle w:val="Heading3"/>
      </w:pPr>
      <w:r>
        <w:t>C. Health Data as High-Risk Data</w:t>
      </w:r>
    </w:p>
    <w:p w14:paraId="0B43A5D9" w14:textId="77777777" w:rsidR="004A1288" w:rsidRDefault="00000000">
      <w:pPr>
        <w:pStyle w:val="BodyText"/>
      </w:pPr>
      <w:r>
        <w:t>Under the DPDP Act, health data — including medical records, diagnostic results, mental health information, and biometric data — is classified as high-risk personal data requiring explicit, informed, and revocable consent. Aarogya Sathi's on-device processing architecture and RAG-based approach (which retrieves from guidelines rather than storing patient data centrally) is specifically designed to minimize data sovereignty risk [41].</w:t>
      </w:r>
    </w:p>
    <w:p w14:paraId="3D3E27CF" w14:textId="77777777" w:rsidR="004A1288" w:rsidRDefault="004A1288">
      <w:pPr>
        <w:pStyle w:val="HorizontalLine"/>
      </w:pPr>
    </w:p>
    <w:p w14:paraId="148A0FF6" w14:textId="77777777" w:rsidR="004A1288" w:rsidRDefault="00000000">
      <w:pPr>
        <w:pStyle w:val="Heading2"/>
      </w:pPr>
      <w:r>
        <w:t>IX. Gap Analysis: Why Aarogya Sathi is Different</w:t>
      </w:r>
    </w:p>
    <w:p w14:paraId="0F930917" w14:textId="77777777" w:rsidR="004A1288" w:rsidRDefault="00000000">
      <w:pPr>
        <w:pStyle w:val="Heading3"/>
      </w:pPr>
      <w:r>
        <w:t>A. Existing Solutions and Their Limitations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4A1288" w14:paraId="74E13DDE" w14:textId="77777777">
        <w:trPr>
          <w:tblHeader/>
        </w:trPr>
        <w:tc>
          <w:tcPr>
            <w:tcW w:w="3212" w:type="dxa"/>
            <w:tcBorders>
              <w:top w:val="single" w:sz="4" w:space="0" w:color="000000"/>
              <w:left w:val="single" w:sz="4" w:space="0" w:color="000000"/>
              <w:bottom w:val="single" w:sz="4" w:space="0" w:color="000000"/>
            </w:tcBorders>
          </w:tcPr>
          <w:p w14:paraId="16D07E17" w14:textId="77777777" w:rsidR="004A1288" w:rsidRDefault="00000000">
            <w:pPr>
              <w:pStyle w:val="TableHeading"/>
              <w:jc w:val="left"/>
            </w:pPr>
            <w:r>
              <w:t>Platform</w:t>
            </w:r>
          </w:p>
        </w:tc>
        <w:tc>
          <w:tcPr>
            <w:tcW w:w="3213" w:type="dxa"/>
            <w:tcBorders>
              <w:top w:val="single" w:sz="4" w:space="0" w:color="000000"/>
              <w:left w:val="single" w:sz="4" w:space="0" w:color="000000"/>
              <w:bottom w:val="single" w:sz="4" w:space="0" w:color="000000"/>
            </w:tcBorders>
          </w:tcPr>
          <w:p w14:paraId="5781FDD0" w14:textId="77777777" w:rsidR="004A1288" w:rsidRDefault="00000000">
            <w:pPr>
              <w:pStyle w:val="TableHeading"/>
              <w:jc w:val="left"/>
            </w:pPr>
            <w:r>
              <w:t>Type</w:t>
            </w:r>
          </w:p>
        </w:tc>
        <w:tc>
          <w:tcPr>
            <w:tcW w:w="3213" w:type="dxa"/>
            <w:tcBorders>
              <w:top w:val="single" w:sz="4" w:space="0" w:color="000000"/>
              <w:left w:val="single" w:sz="4" w:space="0" w:color="000000"/>
              <w:bottom w:val="single" w:sz="4" w:space="0" w:color="000000"/>
              <w:right w:val="single" w:sz="4" w:space="0" w:color="000000"/>
            </w:tcBorders>
          </w:tcPr>
          <w:p w14:paraId="30F2FD04" w14:textId="77777777" w:rsidR="004A1288" w:rsidRDefault="00000000">
            <w:pPr>
              <w:pStyle w:val="TableHeading"/>
              <w:jc w:val="left"/>
            </w:pPr>
            <w:r>
              <w:t>Key Limitation</w:t>
            </w:r>
          </w:p>
        </w:tc>
      </w:tr>
      <w:tr w:rsidR="004A1288" w14:paraId="6C3D52E7" w14:textId="77777777">
        <w:tc>
          <w:tcPr>
            <w:tcW w:w="3212" w:type="dxa"/>
            <w:tcBorders>
              <w:left w:val="single" w:sz="4" w:space="0" w:color="000000"/>
              <w:bottom w:val="single" w:sz="4" w:space="0" w:color="000000"/>
            </w:tcBorders>
          </w:tcPr>
          <w:p w14:paraId="000F6F6E" w14:textId="77777777" w:rsidR="004A1288" w:rsidRDefault="00000000">
            <w:pPr>
              <w:pStyle w:val="TableContents"/>
            </w:pPr>
            <w:proofErr w:type="spellStart"/>
            <w:r>
              <w:t>Practo</w:t>
            </w:r>
            <w:proofErr w:type="spellEnd"/>
            <w:r>
              <w:t xml:space="preserve"> / 1mg</w:t>
            </w:r>
          </w:p>
        </w:tc>
        <w:tc>
          <w:tcPr>
            <w:tcW w:w="3213" w:type="dxa"/>
            <w:tcBorders>
              <w:left w:val="single" w:sz="4" w:space="0" w:color="000000"/>
              <w:bottom w:val="single" w:sz="4" w:space="0" w:color="000000"/>
            </w:tcBorders>
          </w:tcPr>
          <w:p w14:paraId="6B327326" w14:textId="77777777" w:rsidR="004A1288" w:rsidRDefault="00000000">
            <w:pPr>
              <w:pStyle w:val="TableContents"/>
            </w:pPr>
            <w:r>
              <w:t>Appointment booking, medicine delivery</w:t>
            </w:r>
          </w:p>
        </w:tc>
        <w:tc>
          <w:tcPr>
            <w:tcW w:w="3213" w:type="dxa"/>
            <w:tcBorders>
              <w:left w:val="single" w:sz="4" w:space="0" w:color="000000"/>
              <w:bottom w:val="single" w:sz="4" w:space="0" w:color="000000"/>
              <w:right w:val="single" w:sz="4" w:space="0" w:color="000000"/>
            </w:tcBorders>
          </w:tcPr>
          <w:p w14:paraId="09786EBF" w14:textId="77777777" w:rsidR="004A1288" w:rsidRDefault="00000000">
            <w:pPr>
              <w:pStyle w:val="TableContents"/>
            </w:pPr>
            <w:r>
              <w:t>No preventive health intelligence, no environmental integration, English-centric</w:t>
            </w:r>
          </w:p>
        </w:tc>
      </w:tr>
      <w:tr w:rsidR="004A1288" w14:paraId="60FE71B8" w14:textId="77777777">
        <w:tc>
          <w:tcPr>
            <w:tcW w:w="3212" w:type="dxa"/>
            <w:tcBorders>
              <w:left w:val="single" w:sz="4" w:space="0" w:color="000000"/>
              <w:bottom w:val="single" w:sz="4" w:space="0" w:color="000000"/>
            </w:tcBorders>
          </w:tcPr>
          <w:p w14:paraId="07A246A2" w14:textId="77777777" w:rsidR="004A1288" w:rsidRDefault="00000000">
            <w:pPr>
              <w:pStyle w:val="TableContents"/>
            </w:pPr>
            <w:r>
              <w:t>Aarogya Setu</w:t>
            </w:r>
          </w:p>
        </w:tc>
        <w:tc>
          <w:tcPr>
            <w:tcW w:w="3213" w:type="dxa"/>
            <w:tcBorders>
              <w:left w:val="single" w:sz="4" w:space="0" w:color="000000"/>
              <w:bottom w:val="single" w:sz="4" w:space="0" w:color="000000"/>
            </w:tcBorders>
          </w:tcPr>
          <w:p w14:paraId="777C58BD" w14:textId="77777777" w:rsidR="004A1288" w:rsidRDefault="00000000">
            <w:pPr>
              <w:pStyle w:val="TableContents"/>
            </w:pPr>
            <w:r>
              <w:t>COVID-era contact tracing app</w:t>
            </w:r>
          </w:p>
        </w:tc>
        <w:tc>
          <w:tcPr>
            <w:tcW w:w="3213" w:type="dxa"/>
            <w:tcBorders>
              <w:left w:val="single" w:sz="4" w:space="0" w:color="000000"/>
              <w:bottom w:val="single" w:sz="4" w:space="0" w:color="000000"/>
              <w:right w:val="single" w:sz="4" w:space="0" w:color="000000"/>
            </w:tcBorders>
          </w:tcPr>
          <w:p w14:paraId="78654B16" w14:textId="77777777" w:rsidR="004A1288" w:rsidRDefault="00000000">
            <w:pPr>
              <w:pStyle w:val="TableContents"/>
            </w:pPr>
            <w:r>
              <w:t>No chronic disease management, no AI-driven health advice</w:t>
            </w:r>
          </w:p>
        </w:tc>
      </w:tr>
      <w:tr w:rsidR="004A1288" w14:paraId="1F135744" w14:textId="77777777">
        <w:tc>
          <w:tcPr>
            <w:tcW w:w="3212" w:type="dxa"/>
            <w:tcBorders>
              <w:left w:val="single" w:sz="4" w:space="0" w:color="000000"/>
              <w:bottom w:val="single" w:sz="4" w:space="0" w:color="000000"/>
            </w:tcBorders>
          </w:tcPr>
          <w:p w14:paraId="1C5D7AE2" w14:textId="77777777" w:rsidR="004A1288" w:rsidRDefault="00000000">
            <w:pPr>
              <w:pStyle w:val="TableContents"/>
            </w:pPr>
            <w:proofErr w:type="spellStart"/>
            <w:r>
              <w:t>eSanjeevani</w:t>
            </w:r>
            <w:proofErr w:type="spellEnd"/>
          </w:p>
        </w:tc>
        <w:tc>
          <w:tcPr>
            <w:tcW w:w="3213" w:type="dxa"/>
            <w:tcBorders>
              <w:left w:val="single" w:sz="4" w:space="0" w:color="000000"/>
              <w:bottom w:val="single" w:sz="4" w:space="0" w:color="000000"/>
            </w:tcBorders>
          </w:tcPr>
          <w:p w14:paraId="493FFE2D" w14:textId="77777777" w:rsidR="004A1288" w:rsidRDefault="00000000">
            <w:pPr>
              <w:pStyle w:val="TableContents"/>
            </w:pPr>
            <w:r>
              <w:t>Government teleconsultation platform</w:t>
            </w:r>
          </w:p>
        </w:tc>
        <w:tc>
          <w:tcPr>
            <w:tcW w:w="3213" w:type="dxa"/>
            <w:tcBorders>
              <w:left w:val="single" w:sz="4" w:space="0" w:color="000000"/>
              <w:bottom w:val="single" w:sz="4" w:space="0" w:color="000000"/>
              <w:right w:val="single" w:sz="4" w:space="0" w:color="000000"/>
            </w:tcBorders>
          </w:tcPr>
          <w:p w14:paraId="3706E887" w14:textId="77777777" w:rsidR="004A1288" w:rsidRDefault="00000000">
            <w:pPr>
              <w:pStyle w:val="TableContents"/>
            </w:pPr>
            <w:r>
              <w:t>Requires doctor availability, not AI-autonomous, limited vernacular support</w:t>
            </w:r>
          </w:p>
        </w:tc>
      </w:tr>
      <w:tr w:rsidR="004A1288" w14:paraId="15A2F89C" w14:textId="77777777">
        <w:tc>
          <w:tcPr>
            <w:tcW w:w="3212" w:type="dxa"/>
            <w:tcBorders>
              <w:left w:val="single" w:sz="4" w:space="0" w:color="000000"/>
              <w:bottom w:val="single" w:sz="4" w:space="0" w:color="000000"/>
            </w:tcBorders>
          </w:tcPr>
          <w:p w14:paraId="44078579" w14:textId="77777777" w:rsidR="004A1288" w:rsidRDefault="00000000">
            <w:pPr>
              <w:pStyle w:val="TableContents"/>
            </w:pPr>
            <w:r>
              <w:t>Google Health / Ada Health</w:t>
            </w:r>
          </w:p>
        </w:tc>
        <w:tc>
          <w:tcPr>
            <w:tcW w:w="3213" w:type="dxa"/>
            <w:tcBorders>
              <w:left w:val="single" w:sz="4" w:space="0" w:color="000000"/>
              <w:bottom w:val="single" w:sz="4" w:space="0" w:color="000000"/>
            </w:tcBorders>
          </w:tcPr>
          <w:p w14:paraId="6F984E84" w14:textId="77777777" w:rsidR="004A1288" w:rsidRDefault="00000000">
            <w:pPr>
              <w:pStyle w:val="TableContents"/>
            </w:pPr>
            <w:r>
              <w:t>Global AI symptom checkers</w:t>
            </w:r>
          </w:p>
        </w:tc>
        <w:tc>
          <w:tcPr>
            <w:tcW w:w="3213" w:type="dxa"/>
            <w:tcBorders>
              <w:left w:val="single" w:sz="4" w:space="0" w:color="000000"/>
              <w:bottom w:val="single" w:sz="4" w:space="0" w:color="000000"/>
              <w:right w:val="single" w:sz="4" w:space="0" w:color="000000"/>
            </w:tcBorders>
          </w:tcPr>
          <w:p w14:paraId="41091CCF" w14:textId="77777777" w:rsidR="004A1288" w:rsidRDefault="00000000">
            <w:pPr>
              <w:pStyle w:val="TableContents"/>
            </w:pPr>
            <w:r>
              <w:t>No India-specific guidelines (ICMR), no AQI integration, no vernacular-first design</w:t>
            </w:r>
          </w:p>
        </w:tc>
      </w:tr>
      <w:tr w:rsidR="004A1288" w14:paraId="5B926316" w14:textId="77777777">
        <w:tc>
          <w:tcPr>
            <w:tcW w:w="3212" w:type="dxa"/>
            <w:tcBorders>
              <w:left w:val="single" w:sz="4" w:space="0" w:color="000000"/>
              <w:bottom w:val="single" w:sz="4" w:space="0" w:color="000000"/>
            </w:tcBorders>
          </w:tcPr>
          <w:p w14:paraId="2828301F" w14:textId="77777777" w:rsidR="004A1288" w:rsidRDefault="00000000">
            <w:pPr>
              <w:pStyle w:val="TableContents"/>
            </w:pPr>
            <w:proofErr w:type="spellStart"/>
            <w:r>
              <w:t>Swasthya</w:t>
            </w:r>
            <w:proofErr w:type="spellEnd"/>
            <w:r>
              <w:t xml:space="preserve"> Sathi (WB)</w:t>
            </w:r>
          </w:p>
        </w:tc>
        <w:tc>
          <w:tcPr>
            <w:tcW w:w="3213" w:type="dxa"/>
            <w:tcBorders>
              <w:left w:val="single" w:sz="4" w:space="0" w:color="000000"/>
              <w:bottom w:val="single" w:sz="4" w:space="0" w:color="000000"/>
            </w:tcBorders>
          </w:tcPr>
          <w:p w14:paraId="28CAD8A0" w14:textId="77777777" w:rsidR="004A1288" w:rsidRDefault="00000000">
            <w:pPr>
              <w:pStyle w:val="TableContents"/>
            </w:pPr>
            <w:r>
              <w:t>State health insurance scheme</w:t>
            </w:r>
          </w:p>
        </w:tc>
        <w:tc>
          <w:tcPr>
            <w:tcW w:w="3213" w:type="dxa"/>
            <w:tcBorders>
              <w:left w:val="single" w:sz="4" w:space="0" w:color="000000"/>
              <w:bottom w:val="single" w:sz="4" w:space="0" w:color="000000"/>
              <w:right w:val="single" w:sz="4" w:space="0" w:color="000000"/>
            </w:tcBorders>
          </w:tcPr>
          <w:p w14:paraId="08E530EB" w14:textId="77777777" w:rsidR="004A1288" w:rsidRDefault="00000000">
            <w:pPr>
              <w:pStyle w:val="TableContents"/>
            </w:pPr>
            <w:r>
              <w:t>Financial coverage only, no digital health intelligence</w:t>
            </w:r>
          </w:p>
        </w:tc>
      </w:tr>
    </w:tbl>
    <w:p w14:paraId="19F03A48" w14:textId="77777777" w:rsidR="004A1288" w:rsidRDefault="004A1288">
      <w:pPr>
        <w:pStyle w:val="BodyText"/>
      </w:pPr>
    </w:p>
    <w:p w14:paraId="2FF8963A" w14:textId="77777777" w:rsidR="004A1288" w:rsidRDefault="00000000">
      <w:pPr>
        <w:pStyle w:val="Heading3"/>
      </w:pPr>
      <w:r>
        <w:t>B. Aarogya Sathi's Unique Value Proposition</w:t>
      </w:r>
    </w:p>
    <w:p w14:paraId="6EA80024" w14:textId="77777777" w:rsidR="004A1288" w:rsidRDefault="00000000">
      <w:pPr>
        <w:pStyle w:val="BodyText"/>
      </w:pPr>
      <w:r>
        <w:t>Aarogya Sathi is the first platform to simultaneously address:</w:t>
      </w:r>
    </w:p>
    <w:p w14:paraId="3E1A5373" w14:textId="77777777" w:rsidR="004A1288" w:rsidRDefault="00000000">
      <w:pPr>
        <w:pStyle w:val="BodyText"/>
        <w:numPr>
          <w:ilvl w:val="0"/>
          <w:numId w:val="2"/>
        </w:numPr>
        <w:tabs>
          <w:tab w:val="left" w:pos="709"/>
        </w:tabs>
      </w:pPr>
      <w:r>
        <w:rPr>
          <w:b/>
        </w:rPr>
        <w:t>Clinical safety</w:t>
      </w:r>
      <w:r>
        <w:t xml:space="preserve"> through ICMR-grounded RAG (validated by [21]-[25])</w:t>
      </w:r>
    </w:p>
    <w:p w14:paraId="13002BB0" w14:textId="77777777" w:rsidR="004A1288" w:rsidRDefault="00000000">
      <w:pPr>
        <w:pStyle w:val="BodyText"/>
        <w:numPr>
          <w:ilvl w:val="0"/>
          <w:numId w:val="2"/>
        </w:numPr>
        <w:tabs>
          <w:tab w:val="left" w:pos="709"/>
        </w:tabs>
      </w:pPr>
      <w:r>
        <w:rPr>
          <w:b/>
        </w:rPr>
        <w:lastRenderedPageBreak/>
        <w:t>Environmental intelligence</w:t>
      </w:r>
      <w:r>
        <w:t xml:space="preserve"> through hyper-local AQI correlation (validated by [8]-[11])</w:t>
      </w:r>
    </w:p>
    <w:p w14:paraId="0898A84D" w14:textId="77777777" w:rsidR="004A1288" w:rsidRDefault="00000000">
      <w:pPr>
        <w:pStyle w:val="BodyText"/>
        <w:numPr>
          <w:ilvl w:val="0"/>
          <w:numId w:val="2"/>
        </w:numPr>
        <w:tabs>
          <w:tab w:val="left" w:pos="709"/>
        </w:tabs>
      </w:pPr>
      <w:r>
        <w:rPr>
          <w:b/>
        </w:rPr>
        <w:t>Vernacular-first access</w:t>
      </w:r>
      <w:r>
        <w:t xml:space="preserve"> through Indic language models (validated by [28]-[32])</w:t>
      </w:r>
    </w:p>
    <w:p w14:paraId="637D4FA3" w14:textId="77777777" w:rsidR="004A1288" w:rsidRDefault="00000000">
      <w:pPr>
        <w:pStyle w:val="BodyText"/>
        <w:numPr>
          <w:ilvl w:val="0"/>
          <w:numId w:val="2"/>
        </w:numPr>
        <w:tabs>
          <w:tab w:val="left" w:pos="709"/>
        </w:tabs>
      </w:pPr>
      <w:r>
        <w:rPr>
          <w:b/>
        </w:rPr>
        <w:t>Preventive NCD management</w:t>
      </w:r>
      <w:r>
        <w:t xml:space="preserve"> with documented 14.3:1 ROI potential (validated by [18])</w:t>
      </w:r>
    </w:p>
    <w:p w14:paraId="59650CDC" w14:textId="77777777" w:rsidR="004A1288" w:rsidRDefault="00000000">
      <w:pPr>
        <w:pStyle w:val="BodyText"/>
        <w:numPr>
          <w:ilvl w:val="0"/>
          <w:numId w:val="2"/>
        </w:numPr>
        <w:tabs>
          <w:tab w:val="left" w:pos="709"/>
        </w:tabs>
      </w:pPr>
      <w:r>
        <w:rPr>
          <w:b/>
        </w:rPr>
        <w:t>Agentic autonomy</w:t>
      </w:r>
      <w:r>
        <w:t xml:space="preserve"> with security-first architecture (validated by [36]-[40])</w:t>
      </w:r>
    </w:p>
    <w:p w14:paraId="14AB3C4D" w14:textId="77777777" w:rsidR="004A1288" w:rsidRDefault="00000000">
      <w:pPr>
        <w:pStyle w:val="BodyText"/>
        <w:numPr>
          <w:ilvl w:val="0"/>
          <w:numId w:val="2"/>
        </w:numPr>
        <w:tabs>
          <w:tab w:val="left" w:pos="709"/>
        </w:tabs>
      </w:pPr>
      <w:r>
        <w:rPr>
          <w:b/>
        </w:rPr>
        <w:t>DPDP-compliant</w:t>
      </w:r>
      <w:r>
        <w:t xml:space="preserve"> data sovereignty by design (validated by [41]-[42])</w:t>
      </w:r>
    </w:p>
    <w:p w14:paraId="08350A6D" w14:textId="77777777" w:rsidR="004A1288" w:rsidRDefault="00000000">
      <w:pPr>
        <w:pStyle w:val="BodyText"/>
      </w:pPr>
      <w:r>
        <w:t>No existing solution in the Indian market combines all six capabilities.</w:t>
      </w:r>
    </w:p>
    <w:p w14:paraId="75DDB0C4" w14:textId="77777777" w:rsidR="004A1288" w:rsidRDefault="004A1288">
      <w:pPr>
        <w:pStyle w:val="HorizontalLine"/>
      </w:pPr>
    </w:p>
    <w:p w14:paraId="54D33FBF" w14:textId="77777777" w:rsidR="004A1288" w:rsidRDefault="00000000">
      <w:pPr>
        <w:pStyle w:val="Heading2"/>
      </w:pPr>
      <w:r>
        <w:t>X. Conclusion</w:t>
      </w:r>
    </w:p>
    <w:p w14:paraId="474155A2" w14:textId="77777777" w:rsidR="004A1288" w:rsidRDefault="00000000">
      <w:pPr>
        <w:pStyle w:val="BodyText"/>
      </w:pPr>
      <w:r>
        <w:t>The academic literature overwhelmingly supports the development of an environment-aware, vernacular-first, RAG-grounded digital health assistant for preventive NCD management in urban India. The epidemiological burden is well-documented ([1]-[7]), the environmental health nexus is quantified ([8]-[11]), the economic case is strong ([18]), the AI safety mechanisms are proven ([21]-[25]), the multilingual technology is maturing ([28]-[32]), and the regulatory framework is defined ([41]-[42]). Aarogya Sathi addresses a validated, critical gap in India's digital health ecosystem.</w:t>
      </w:r>
    </w:p>
    <w:p w14:paraId="307EFA20" w14:textId="77777777" w:rsidR="004A1288" w:rsidRDefault="004A1288">
      <w:pPr>
        <w:pStyle w:val="HorizontalLine"/>
      </w:pPr>
    </w:p>
    <w:p w14:paraId="124E620A" w14:textId="77777777" w:rsidR="004A1288" w:rsidRDefault="00000000">
      <w:pPr>
        <w:pStyle w:val="Heading2"/>
      </w:pPr>
      <w:r>
        <w:t>References</w:t>
      </w:r>
    </w:p>
    <w:p w14:paraId="6413C6E3" w14:textId="77777777" w:rsidR="004A1288" w:rsidRDefault="00000000">
      <w:pPr>
        <w:pStyle w:val="BodyText"/>
      </w:pPr>
      <w:r>
        <w:t xml:space="preserve">[1] T. Vos et al., "Global burden of 369 diseases and injuries in 204 countries and territories, 1990-2019: a systematic analysis for the Global Burden of Disease Study 2019," </w:t>
      </w:r>
      <w:r>
        <w:rPr>
          <w:i/>
        </w:rPr>
        <w:t>The Lancet</w:t>
      </w:r>
      <w:r>
        <w:t xml:space="preserve">, vol. 396, no. 10258, pp. 1204-1222, Oct. 2020. </w:t>
      </w:r>
      <w:proofErr w:type="spellStart"/>
      <w:r>
        <w:t>doi</w:t>
      </w:r>
      <w:proofErr w:type="spellEnd"/>
      <w:r>
        <w:t>: 10.1016/S0140-6736(20)30925-9. PMID: 33069326.</w:t>
      </w:r>
    </w:p>
    <w:p w14:paraId="65C1E793" w14:textId="77777777" w:rsidR="004A1288" w:rsidRDefault="00000000">
      <w:pPr>
        <w:pStyle w:val="BodyText"/>
      </w:pPr>
      <w:r>
        <w:t xml:space="preserve">[2] G. A. Roth et al., "Global Burden of Cardiovascular Diseases and Risk Factors, 1990-2019: Update </w:t>
      </w:r>
      <w:proofErr w:type="gramStart"/>
      <w:r>
        <w:t>From</w:t>
      </w:r>
      <w:proofErr w:type="gramEnd"/>
      <w:r>
        <w:t xml:space="preserve"> the GBD 2019 Study," </w:t>
      </w:r>
      <w:r>
        <w:rPr>
          <w:i/>
        </w:rPr>
        <w:t>Journal of the American College of Cardiology (JACC)</w:t>
      </w:r>
      <w:r>
        <w:t xml:space="preserve">, vol. 76, no. 25, pp. 2982-3021, Dec. 2020. </w:t>
      </w:r>
      <w:proofErr w:type="spellStart"/>
      <w:r>
        <w:t>doi</w:t>
      </w:r>
      <w:proofErr w:type="spellEnd"/>
      <w:r>
        <w:t>: 10.1016/j.jacc.2020.11.010. PMID: 33309175.</w:t>
      </w:r>
    </w:p>
    <w:p w14:paraId="5ADDEEEF" w14:textId="77777777" w:rsidR="004A1288" w:rsidRDefault="00000000">
      <w:pPr>
        <w:pStyle w:val="BodyText"/>
      </w:pPr>
      <w:r>
        <w:t xml:space="preserve">[3] GBD 2021 Diabetes Collaborators, "Global, regional, and national burden of diabetes from 1990 to 2021, with projections of prevalence to 2050: a systematic analysis for the Global Burden of Disease Study 2021," </w:t>
      </w:r>
      <w:r>
        <w:rPr>
          <w:i/>
        </w:rPr>
        <w:t>The Lancet</w:t>
      </w:r>
      <w:r>
        <w:t xml:space="preserve">, vol. 402, no. 10397, pp. 203-234, Jul. 2023. </w:t>
      </w:r>
      <w:proofErr w:type="spellStart"/>
      <w:r>
        <w:t>doi</w:t>
      </w:r>
      <w:proofErr w:type="spellEnd"/>
      <w:r>
        <w:t>: 10.1016/S0140-6736(23)01301-6.</w:t>
      </w:r>
    </w:p>
    <w:p w14:paraId="0F241C52" w14:textId="77777777" w:rsidR="004A1288" w:rsidRDefault="00000000">
      <w:pPr>
        <w:pStyle w:val="BodyText"/>
      </w:pPr>
      <w:r>
        <w:t xml:space="preserve">[4] The GBD 2015 Obesity Collaborators, "Health Effects of Overweight and Obesity in 195 Countries over 25 Years," </w:t>
      </w:r>
      <w:r>
        <w:rPr>
          <w:i/>
        </w:rPr>
        <w:t>New England Journal of Medicine (NEJM)</w:t>
      </w:r>
      <w:r>
        <w:t xml:space="preserve">, vol. 377, pp. 13-27, Jul. 2017. </w:t>
      </w:r>
      <w:proofErr w:type="spellStart"/>
      <w:r>
        <w:t>doi</w:t>
      </w:r>
      <w:proofErr w:type="spellEnd"/>
      <w:r>
        <w:t>: 10.1056/NEJMoa1614362. PMID: 28604169.</w:t>
      </w:r>
    </w:p>
    <w:p w14:paraId="775F32ED" w14:textId="77777777" w:rsidR="004A1288" w:rsidRDefault="00000000">
      <w:pPr>
        <w:pStyle w:val="BodyText"/>
      </w:pPr>
      <w:r>
        <w:t xml:space="preserve">[5] R. Lozano et al., "Global and regional mortality from 235 causes of death for 20 age groups in 1990 and 2010: a systematic analysis for the Global Burden of Disease Study 2010," </w:t>
      </w:r>
      <w:r>
        <w:rPr>
          <w:i/>
        </w:rPr>
        <w:t>The Lancet</w:t>
      </w:r>
      <w:r>
        <w:t xml:space="preserve">, vol. 380, no. 9859, pp. 2095-2128, Dec. 2012. </w:t>
      </w:r>
      <w:proofErr w:type="spellStart"/>
      <w:r>
        <w:t>doi</w:t>
      </w:r>
      <w:proofErr w:type="spellEnd"/>
      <w:r>
        <w:t>: 10.1016/S0140-6736(12)61728-0.</w:t>
      </w:r>
    </w:p>
    <w:p w14:paraId="1A31B6B2" w14:textId="77777777" w:rsidR="004A1288" w:rsidRDefault="00000000">
      <w:pPr>
        <w:pStyle w:val="BodyText"/>
      </w:pPr>
      <w:r>
        <w:t>[6] World Economic Forum, "The Economic Impact of Non-Communicable Disease in China and India: Estimates, Projections, and Comparisons," Harvard School of Public Health, 2014.</w:t>
      </w:r>
    </w:p>
    <w:p w14:paraId="003A833D" w14:textId="77777777" w:rsidR="004A1288" w:rsidRDefault="00000000">
      <w:pPr>
        <w:pStyle w:val="BodyText"/>
      </w:pPr>
      <w:r>
        <w:t xml:space="preserve">[7] GBD 2016 Neurology Collaborators, "Global, regional, and national burden of neurological disorders, 1990-2016: a systematic analysis for the Global Burden of Disease Study 2016," </w:t>
      </w:r>
      <w:r>
        <w:rPr>
          <w:i/>
        </w:rPr>
        <w:t>The Lancet Neurology</w:t>
      </w:r>
      <w:r>
        <w:t xml:space="preserve">, vol. 18, no. 5, pp. 459-480, May 2019. </w:t>
      </w:r>
      <w:proofErr w:type="spellStart"/>
      <w:r>
        <w:t>doi</w:t>
      </w:r>
      <w:proofErr w:type="spellEnd"/>
      <w:r>
        <w:t>: 10.1016/S1474-4422(18)30499-X. PMID: 30879893.</w:t>
      </w:r>
    </w:p>
    <w:p w14:paraId="5FC973F4" w14:textId="77777777" w:rsidR="004A1288" w:rsidRDefault="00000000">
      <w:pPr>
        <w:pStyle w:val="BodyText"/>
      </w:pPr>
      <w:r>
        <w:lastRenderedPageBreak/>
        <w:t xml:space="preserve">[8] GBD 2019 Risk Factors Collaborators, "Global burden of 87 risk factors in 204 countries and territories, 1990-2019: a systematic analysis for the Global Burden of Disease Study 2019," </w:t>
      </w:r>
      <w:r>
        <w:rPr>
          <w:i/>
        </w:rPr>
        <w:t>The Lancet</w:t>
      </w:r>
      <w:r>
        <w:t xml:space="preserve">, vol. 396, no. 10258, pp. 1223-1249, Oct. 2020. </w:t>
      </w:r>
      <w:proofErr w:type="spellStart"/>
      <w:r>
        <w:t>doi</w:t>
      </w:r>
      <w:proofErr w:type="spellEnd"/>
      <w:r>
        <w:t>: 10.1016/S0140-6736(20)30752-2. PMID: 33069327.</w:t>
      </w:r>
    </w:p>
    <w:p w14:paraId="4E724BB5" w14:textId="77777777" w:rsidR="004A1288" w:rsidRDefault="00000000">
      <w:pPr>
        <w:pStyle w:val="BodyText"/>
      </w:pPr>
      <w:r>
        <w:t xml:space="preserve">[9] J. Lelieveld, J. S. Evans, M. </w:t>
      </w:r>
      <w:proofErr w:type="spellStart"/>
      <w:r>
        <w:t>Fnais</w:t>
      </w:r>
      <w:proofErr w:type="spellEnd"/>
      <w:r>
        <w:t xml:space="preserve">, D. </w:t>
      </w:r>
      <w:proofErr w:type="spellStart"/>
      <w:r>
        <w:t>Giannadaki</w:t>
      </w:r>
      <w:proofErr w:type="spellEnd"/>
      <w:r>
        <w:t xml:space="preserve">, and A. </w:t>
      </w:r>
      <w:proofErr w:type="spellStart"/>
      <w:r>
        <w:t>Pozzer</w:t>
      </w:r>
      <w:proofErr w:type="spellEnd"/>
      <w:r>
        <w:t xml:space="preserve">, "The contribution of outdoor air pollution sources to premature mortality on a global scale," </w:t>
      </w:r>
      <w:r>
        <w:rPr>
          <w:i/>
        </w:rPr>
        <w:t>Nature</w:t>
      </w:r>
      <w:r>
        <w:t xml:space="preserve">, vol. 525, pp. 367-371, Sep. 2015. </w:t>
      </w:r>
      <w:proofErr w:type="spellStart"/>
      <w:r>
        <w:t>doi</w:t>
      </w:r>
      <w:proofErr w:type="spellEnd"/>
      <w:r>
        <w:t>: 10.1038/nature15371.</w:t>
      </w:r>
    </w:p>
    <w:p w14:paraId="11CF2E7B" w14:textId="77777777" w:rsidR="004A1288" w:rsidRDefault="00000000">
      <w:pPr>
        <w:pStyle w:val="BodyText"/>
      </w:pPr>
      <w:r>
        <w:t xml:space="preserve">[10] I. </w:t>
      </w:r>
      <w:proofErr w:type="spellStart"/>
      <w:r>
        <w:t>Manisalidis</w:t>
      </w:r>
      <w:proofErr w:type="spellEnd"/>
      <w:r>
        <w:t xml:space="preserve">, E. Stavropoulou, A. Stavropoulos, and E. Bezirtzoglou, "Environmental and Health Impacts of Air Pollution: A Review," </w:t>
      </w:r>
      <w:r>
        <w:rPr>
          <w:i/>
        </w:rPr>
        <w:t>Frontiers in Public Health</w:t>
      </w:r>
      <w:r>
        <w:t xml:space="preserve">, vol. 8, art. 14, Feb. 2020. </w:t>
      </w:r>
      <w:proofErr w:type="spellStart"/>
      <w:r>
        <w:t>doi</w:t>
      </w:r>
      <w:proofErr w:type="spellEnd"/>
      <w:r>
        <w:t>: 10.3389/fpubh.2020.00014.</w:t>
      </w:r>
    </w:p>
    <w:p w14:paraId="5436E259" w14:textId="77777777" w:rsidR="004A1288" w:rsidRDefault="00000000">
      <w:pPr>
        <w:pStyle w:val="BodyText"/>
      </w:pPr>
      <w:r>
        <w:t xml:space="preserve">[11] A. J. Cohen et al., "Estimates and 25-year trends of the global burden of disease attributable to ambient air pollution: an analysis of data from the Global Burden of Diseases Study 2015," </w:t>
      </w:r>
      <w:r>
        <w:rPr>
          <w:i/>
        </w:rPr>
        <w:t>The Lancet</w:t>
      </w:r>
      <w:r>
        <w:t xml:space="preserve">, vol. 389, no. 10082, pp. 1907-1918, May 2017. </w:t>
      </w:r>
      <w:proofErr w:type="spellStart"/>
      <w:r>
        <w:t>doi</w:t>
      </w:r>
      <w:proofErr w:type="spellEnd"/>
      <w:r>
        <w:t>: 10.1016/S0140-6736(17)30505-6.</w:t>
      </w:r>
    </w:p>
    <w:p w14:paraId="58965CFA" w14:textId="77777777" w:rsidR="004A1288" w:rsidRDefault="00000000">
      <w:pPr>
        <w:pStyle w:val="BodyText"/>
      </w:pPr>
      <w:r>
        <w:t xml:space="preserve">[12] Central Pollution Control Board (CPCB), "National Air Quality Index," Ministry of Environment, Forest and Climate Change, Government of India. [Online]. Available: </w:t>
      </w:r>
      <w:hyperlink r:id="rId6">
        <w:r>
          <w:rPr>
            <w:rStyle w:val="Hyperlink"/>
          </w:rPr>
          <w:t>https://app.cpcbccr.com/AQI_India/</w:t>
        </w:r>
      </w:hyperlink>
    </w:p>
    <w:p w14:paraId="1B79CB33" w14:textId="77777777" w:rsidR="004A1288" w:rsidRDefault="00000000">
      <w:pPr>
        <w:pStyle w:val="BodyText"/>
      </w:pPr>
      <w:r>
        <w:t xml:space="preserve">[13] S. Salvi and P. J. Barnes, "Is exposure to biomass smoke the biggest risk factor for COPD </w:t>
      </w:r>
      <w:proofErr w:type="gramStart"/>
      <w:r>
        <w:t>globally?,</w:t>
      </w:r>
      <w:proofErr w:type="gramEnd"/>
      <w:r>
        <w:t xml:space="preserve">" </w:t>
      </w:r>
      <w:r>
        <w:rPr>
          <w:i/>
        </w:rPr>
        <w:t>Chest</w:t>
      </w:r>
      <w:r>
        <w:t xml:space="preserve">, vol. 138, no. 1, pp. 3-6, Jul. 2010. </w:t>
      </w:r>
      <w:proofErr w:type="spellStart"/>
      <w:r>
        <w:t>doi</w:t>
      </w:r>
      <w:proofErr w:type="spellEnd"/>
      <w:r>
        <w:t>: 10.1378/chest.10-0645.</w:t>
      </w:r>
    </w:p>
    <w:p w14:paraId="2A7517FB" w14:textId="77777777" w:rsidR="004A1288" w:rsidRDefault="00000000">
      <w:pPr>
        <w:pStyle w:val="BodyText"/>
      </w:pPr>
      <w:r>
        <w:t xml:space="preserve">[14] K. Skivington et al., "A new framework for developing and evaluating complex interventions: update of Medical Research Council guidance," </w:t>
      </w:r>
      <w:r>
        <w:rPr>
          <w:i/>
        </w:rPr>
        <w:t>BMJ</w:t>
      </w:r>
      <w:r>
        <w:t xml:space="preserve">, vol. 374, art. n2061, Sep. 2021. </w:t>
      </w:r>
      <w:proofErr w:type="spellStart"/>
      <w:r>
        <w:t>doi</w:t>
      </w:r>
      <w:proofErr w:type="spellEnd"/>
      <w:r>
        <w:t>: 10.1136/</w:t>
      </w:r>
      <w:proofErr w:type="gramStart"/>
      <w:r>
        <w:t>bmj.n</w:t>
      </w:r>
      <w:proofErr w:type="gramEnd"/>
      <w:r>
        <w:t>2061. PMID: 34593508.</w:t>
      </w:r>
    </w:p>
    <w:p w14:paraId="6925B15A" w14:textId="77777777" w:rsidR="004A1288" w:rsidRDefault="00000000">
      <w:pPr>
        <w:pStyle w:val="BodyText"/>
      </w:pPr>
      <w:r>
        <w:t xml:space="preserve">[15] G. </w:t>
      </w:r>
      <w:proofErr w:type="spellStart"/>
      <w:r>
        <w:t>Eysenbach</w:t>
      </w:r>
      <w:proofErr w:type="spellEnd"/>
      <w:r>
        <w:t xml:space="preserve"> and CONSORT-EHEALTH Group, "CONSORT-EHEALTH: improving and standardizing evaluation reports of Web-based and mobile health interventions," </w:t>
      </w:r>
      <w:r>
        <w:rPr>
          <w:i/>
        </w:rPr>
        <w:t>Journal of Medical Internet Research (JMIR)</w:t>
      </w:r>
      <w:r>
        <w:t xml:space="preserve">, vol. 13, no. 4, art. e126, Dec. 2011. </w:t>
      </w:r>
      <w:proofErr w:type="spellStart"/>
      <w:r>
        <w:t>doi</w:t>
      </w:r>
      <w:proofErr w:type="spellEnd"/>
      <w:r>
        <w:t>: 10.2196/jmir.1923. PMID: 22209829.</w:t>
      </w:r>
    </w:p>
    <w:p w14:paraId="6611BA3C" w14:textId="77777777" w:rsidR="004A1288" w:rsidRDefault="00000000">
      <w:pPr>
        <w:pStyle w:val="BodyText"/>
      </w:pPr>
      <w:r>
        <w:t>[16] Ministry of Health and Family Welfare, Government of India, "</w:t>
      </w:r>
      <w:proofErr w:type="spellStart"/>
      <w:r>
        <w:t>eSanjeevani</w:t>
      </w:r>
      <w:proofErr w:type="spellEnd"/>
      <w:r>
        <w:t xml:space="preserve"> Telemedicine Platform," Ayushman Bharat Digital Mission. [Online]. Available: </w:t>
      </w:r>
      <w:hyperlink r:id="rId7">
        <w:r>
          <w:rPr>
            <w:rStyle w:val="Hyperlink"/>
          </w:rPr>
          <w:t>https://esanjeevani.mohfw.gov.in/</w:t>
        </w:r>
      </w:hyperlink>
    </w:p>
    <w:p w14:paraId="51228941" w14:textId="77777777" w:rsidR="004A1288" w:rsidRDefault="00000000">
      <w:pPr>
        <w:pStyle w:val="BodyText"/>
      </w:pPr>
      <w:r>
        <w:t xml:space="preserve">[17] S. Patel et al., "COVID-19 and mental health: A review of the existing literature," </w:t>
      </w:r>
      <w:r>
        <w:rPr>
          <w:i/>
        </w:rPr>
        <w:t>Asian Journal of Psychiatry</w:t>
      </w:r>
      <w:r>
        <w:t xml:space="preserve">, vol. 52, art. 102066, Jun. 2020. </w:t>
      </w:r>
      <w:proofErr w:type="spellStart"/>
      <w:r>
        <w:t>doi</w:t>
      </w:r>
      <w:proofErr w:type="spellEnd"/>
      <w:r>
        <w:t>: 10.1016/j.ajp.2020.102066. PMID: 32302935.</w:t>
      </w:r>
    </w:p>
    <w:p w14:paraId="34F86D50" w14:textId="77777777" w:rsidR="004A1288" w:rsidRDefault="00000000">
      <w:pPr>
        <w:pStyle w:val="BodyText"/>
      </w:pPr>
      <w:r>
        <w:t xml:space="preserve">[18] R. Masters, E. Anwar, B. Collins, R. Cookson, and S. Capewell, "Return on investment of public health interventions: a systematic review," </w:t>
      </w:r>
      <w:r>
        <w:rPr>
          <w:i/>
        </w:rPr>
        <w:t>Journal of Epidemiology and Community Health</w:t>
      </w:r>
      <w:r>
        <w:t xml:space="preserve">, vol. 71, no. 8, pp. 827-834, 2017. </w:t>
      </w:r>
      <w:proofErr w:type="spellStart"/>
      <w:r>
        <w:t>doi</w:t>
      </w:r>
      <w:proofErr w:type="spellEnd"/>
      <w:r>
        <w:t>: 10.1136/jech-2016-208141.</w:t>
      </w:r>
    </w:p>
    <w:p w14:paraId="398662B7" w14:textId="77777777" w:rsidR="004A1288" w:rsidRDefault="00000000">
      <w:pPr>
        <w:pStyle w:val="BodyText"/>
      </w:pPr>
      <w:r>
        <w:t xml:space="preserve">[19] A. Acosta et al., "Multimodal biomedical AI," </w:t>
      </w:r>
      <w:r>
        <w:rPr>
          <w:i/>
        </w:rPr>
        <w:t>Nature Medicine</w:t>
      </w:r>
      <w:r>
        <w:t xml:space="preserve">, vol. 28, pp. 1773-1784, Sep. 2022. </w:t>
      </w:r>
      <w:proofErr w:type="spellStart"/>
      <w:r>
        <w:t>doi</w:t>
      </w:r>
      <w:proofErr w:type="spellEnd"/>
      <w:r>
        <w:t>: 10.1038/s41591-022-01981-2.</w:t>
      </w:r>
    </w:p>
    <w:p w14:paraId="7385D959" w14:textId="77777777" w:rsidR="004A1288" w:rsidRDefault="00000000">
      <w:pPr>
        <w:pStyle w:val="BodyText"/>
      </w:pPr>
      <w:r>
        <w:t xml:space="preserve">[20] L. Laranjo et al., "Conversational agents in healthcare: a systematic review," </w:t>
      </w:r>
      <w:r>
        <w:rPr>
          <w:i/>
        </w:rPr>
        <w:t>Journal of the American Medical Informatics Association (JAMIA)</w:t>
      </w:r>
      <w:r>
        <w:t xml:space="preserve">, vol. 25, no. 9, pp. 1248-1258, Sep. 2018. </w:t>
      </w:r>
      <w:proofErr w:type="spellStart"/>
      <w:r>
        <w:t>doi</w:t>
      </w:r>
      <w:proofErr w:type="spellEnd"/>
      <w:r>
        <w:t>: 10.1093/</w:t>
      </w:r>
      <w:proofErr w:type="spellStart"/>
      <w:r>
        <w:t>jamia</w:t>
      </w:r>
      <w:proofErr w:type="spellEnd"/>
      <w:r>
        <w:t>/ocy072.</w:t>
      </w:r>
    </w:p>
    <w:p w14:paraId="70F0277C" w14:textId="77777777" w:rsidR="004A1288" w:rsidRDefault="00000000">
      <w:pPr>
        <w:pStyle w:val="BodyText"/>
      </w:pPr>
      <w:r>
        <w:t xml:space="preserve">[21] S. </w:t>
      </w:r>
      <w:proofErr w:type="spellStart"/>
      <w:r>
        <w:t>Siriwardhana</w:t>
      </w:r>
      <w:proofErr w:type="spellEnd"/>
      <w:r>
        <w:t xml:space="preserve">, R. </w:t>
      </w:r>
      <w:proofErr w:type="spellStart"/>
      <w:r>
        <w:t>Weerasekera</w:t>
      </w:r>
      <w:proofErr w:type="spellEnd"/>
      <w:r>
        <w:t xml:space="preserve">, E. Wen, T. Kaluarachchi, R. Rana, and S. Nanayakkara, </w:t>
      </w:r>
      <w:r>
        <w:lastRenderedPageBreak/>
        <w:t xml:space="preserve">"Improving the Domain Adaptation of Retrieval Augmented Generation (RAG) Models for Open Domain Question Answering," </w:t>
      </w:r>
      <w:r>
        <w:rPr>
          <w:i/>
        </w:rPr>
        <w:t>Transactions of the Association for Computational Linguistics (TACL)</w:t>
      </w:r>
      <w:r>
        <w:t xml:space="preserve">, 2022. </w:t>
      </w:r>
      <w:proofErr w:type="spellStart"/>
      <w:r>
        <w:t>arXiv</w:t>
      </w:r>
      <w:proofErr w:type="spellEnd"/>
      <w:r>
        <w:t>: 2210.02627.</w:t>
      </w:r>
    </w:p>
    <w:p w14:paraId="4827BF80" w14:textId="77777777" w:rsidR="004A1288" w:rsidRDefault="00000000">
      <w:pPr>
        <w:pStyle w:val="BodyText"/>
      </w:pPr>
      <w:r>
        <w:t xml:space="preserve">[22] S. </w:t>
      </w:r>
      <w:proofErr w:type="spellStart"/>
      <w:r>
        <w:t>Anuyah</w:t>
      </w:r>
      <w:proofErr w:type="spellEnd"/>
      <w:r>
        <w:t xml:space="preserve">, M. M. Kaushik, H. Dai, R. </w:t>
      </w:r>
      <w:proofErr w:type="spellStart"/>
      <w:r>
        <w:t>Shiradkar</w:t>
      </w:r>
      <w:proofErr w:type="spellEnd"/>
      <w:r>
        <w:t xml:space="preserve">, A. Durresi, and S. Chakraborty, "Domain-Specific Knowledge Graphs in RAG-Enhanced Healthcare LLMs," </w:t>
      </w:r>
      <w:proofErr w:type="spellStart"/>
      <w:r>
        <w:t>arXiv</w:t>
      </w:r>
      <w:proofErr w:type="spellEnd"/>
      <w:r>
        <w:t xml:space="preserve"> preprint, Jan. 2026. </w:t>
      </w:r>
      <w:proofErr w:type="spellStart"/>
      <w:r>
        <w:t>arXiv</w:t>
      </w:r>
      <w:proofErr w:type="spellEnd"/>
      <w:r>
        <w:t>: 2601.15429.</w:t>
      </w:r>
    </w:p>
    <w:p w14:paraId="37EA6A4A" w14:textId="77777777" w:rsidR="004A1288" w:rsidRDefault="00000000">
      <w:pPr>
        <w:pStyle w:val="BodyText"/>
      </w:pPr>
      <w:r>
        <w:t>[23] P. Xia et al., "</w:t>
      </w:r>
      <w:proofErr w:type="spellStart"/>
      <w:r>
        <w:t>MMed</w:t>
      </w:r>
      <w:proofErr w:type="spellEnd"/>
      <w:r>
        <w:t xml:space="preserve">-RAG: Versatile Multimodal RAG System for Medical Vision Language Models," in </w:t>
      </w:r>
      <w:r>
        <w:rPr>
          <w:i/>
        </w:rPr>
        <w:t>Proc. International Conference on Learning Representations (ICLR)</w:t>
      </w:r>
      <w:r>
        <w:t xml:space="preserve">, 2025. </w:t>
      </w:r>
      <w:proofErr w:type="spellStart"/>
      <w:r>
        <w:t>arXiv</w:t>
      </w:r>
      <w:proofErr w:type="spellEnd"/>
      <w:r>
        <w:t>: 2410.13085.</w:t>
      </w:r>
    </w:p>
    <w:p w14:paraId="36FC7C17" w14:textId="77777777" w:rsidR="004A1288" w:rsidRDefault="00000000">
      <w:pPr>
        <w:pStyle w:val="BodyText"/>
      </w:pPr>
      <w:r>
        <w:t xml:space="preserve">[24] M. P. Priola, "Addressing Hallucinations with RAG and NMISS in Italian Healthcare LLM Chatbots," </w:t>
      </w:r>
      <w:proofErr w:type="spellStart"/>
      <w:r>
        <w:t>arXiv</w:t>
      </w:r>
      <w:proofErr w:type="spellEnd"/>
      <w:r>
        <w:t xml:space="preserve"> preprint, Dec. 2024. </w:t>
      </w:r>
      <w:proofErr w:type="spellStart"/>
      <w:r>
        <w:t>arXiv</w:t>
      </w:r>
      <w:proofErr w:type="spellEnd"/>
      <w:r>
        <w:t>: 2412.04235.</w:t>
      </w:r>
    </w:p>
    <w:p w14:paraId="0F3144B7" w14:textId="77777777" w:rsidR="004A1288" w:rsidRDefault="00000000">
      <w:pPr>
        <w:pStyle w:val="BodyText"/>
      </w:pPr>
      <w:r>
        <w:t xml:space="preserve">[25] A. Gerner et al., "Deepchecks: Evaluating Retrieval-Augmented Generation (RAG)," </w:t>
      </w:r>
      <w:proofErr w:type="spellStart"/>
      <w:r>
        <w:t>arXiv</w:t>
      </w:r>
      <w:proofErr w:type="spellEnd"/>
      <w:r>
        <w:t xml:space="preserve"> preprint, May 2026. </w:t>
      </w:r>
      <w:proofErr w:type="spellStart"/>
      <w:r>
        <w:t>arXiv</w:t>
      </w:r>
      <w:proofErr w:type="spellEnd"/>
      <w:r>
        <w:t>: 2605.14488.</w:t>
      </w:r>
    </w:p>
    <w:p w14:paraId="7025E975" w14:textId="77777777" w:rsidR="004A1288" w:rsidRDefault="00000000">
      <w:pPr>
        <w:pStyle w:val="BodyText"/>
      </w:pPr>
      <w:r>
        <w:t>[26] Census of India 2011, "Language Atlas of India," Office of the Registrar General and Census Commissioner, Government of India, 2011.</w:t>
      </w:r>
    </w:p>
    <w:p w14:paraId="797A2A8E" w14:textId="77777777" w:rsidR="004A1288" w:rsidRDefault="00000000">
      <w:pPr>
        <w:pStyle w:val="BodyText"/>
      </w:pPr>
      <w:r>
        <w:t xml:space="preserve">[27] N. K. Arora et al., "Health literacy in India: A systematic review of studies," </w:t>
      </w:r>
      <w:r>
        <w:rPr>
          <w:i/>
        </w:rPr>
        <w:t>Indian Journal of Public Health</w:t>
      </w:r>
      <w:r>
        <w:t>, 2020. (See Europe PMC query: "health literacy India").</w:t>
      </w:r>
    </w:p>
    <w:p w14:paraId="5EBF8FEE" w14:textId="77777777" w:rsidR="004A1288" w:rsidRDefault="00000000">
      <w:pPr>
        <w:pStyle w:val="BodyText"/>
      </w:pPr>
      <w:r>
        <w:t xml:space="preserve">[28] AI4Bharat, "IndicTrans2: Towards High-Quality and Accessible Machine Translation Models for all 22 Scheduled Indian Languages," </w:t>
      </w:r>
      <w:proofErr w:type="spellStart"/>
      <w:r>
        <w:t>arXiv</w:t>
      </w:r>
      <w:proofErr w:type="spellEnd"/>
      <w:r>
        <w:t xml:space="preserve"> preprint, 2023. </w:t>
      </w:r>
      <w:proofErr w:type="spellStart"/>
      <w:r>
        <w:t>arXiv</w:t>
      </w:r>
      <w:proofErr w:type="spellEnd"/>
      <w:r>
        <w:t>: 2305.16307.</w:t>
      </w:r>
    </w:p>
    <w:p w14:paraId="76019186" w14:textId="77777777" w:rsidR="004A1288" w:rsidRDefault="00000000">
      <w:pPr>
        <w:pStyle w:val="BodyText"/>
      </w:pPr>
      <w:r>
        <w:t xml:space="preserve">[29] "Conversational Domain Adaptation of IndicTrans2 across 21 Indic Languages via Experience Replay and Model Soups," </w:t>
      </w:r>
      <w:proofErr w:type="spellStart"/>
      <w:r>
        <w:t>arXiv</w:t>
      </w:r>
      <w:proofErr w:type="spellEnd"/>
      <w:r>
        <w:t xml:space="preserve"> preprint, 2026. </w:t>
      </w:r>
      <w:proofErr w:type="spellStart"/>
      <w:r>
        <w:t>arXiv</w:t>
      </w:r>
      <w:proofErr w:type="spellEnd"/>
      <w:r>
        <w:t>: 2606.29024.</w:t>
      </w:r>
    </w:p>
    <w:p w14:paraId="3538A962" w14:textId="77777777" w:rsidR="004A1288" w:rsidRDefault="00000000">
      <w:pPr>
        <w:pStyle w:val="BodyText"/>
      </w:pPr>
      <w:r>
        <w:t xml:space="preserve">[30] "Safer in Translation? Presupposition Robustness in Indic Languages," in </w:t>
      </w:r>
      <w:r>
        <w:rPr>
          <w:i/>
        </w:rPr>
        <w:t>Proc. LREC</w:t>
      </w:r>
      <w:r>
        <w:t xml:space="preserve">, 2026. </w:t>
      </w:r>
      <w:proofErr w:type="spellStart"/>
      <w:r>
        <w:t>arXiv</w:t>
      </w:r>
      <w:proofErr w:type="spellEnd"/>
      <w:r>
        <w:t>: 2511.01360.</w:t>
      </w:r>
    </w:p>
    <w:p w14:paraId="59C6D710" w14:textId="77777777" w:rsidR="004A1288" w:rsidRDefault="00000000">
      <w:pPr>
        <w:pStyle w:val="BodyText"/>
      </w:pPr>
      <w:r>
        <w:t xml:space="preserve">[31] "CLINIC: Evaluating Multilingual Trustworthiness in Language Models for Healthcare," </w:t>
      </w:r>
      <w:proofErr w:type="spellStart"/>
      <w:r>
        <w:t>arXiv</w:t>
      </w:r>
      <w:proofErr w:type="spellEnd"/>
      <w:r>
        <w:t xml:space="preserve"> preprint, 2025. </w:t>
      </w:r>
      <w:proofErr w:type="spellStart"/>
      <w:r>
        <w:t>arXiv</w:t>
      </w:r>
      <w:proofErr w:type="spellEnd"/>
      <w:r>
        <w:t>: 2512.11437.</w:t>
      </w:r>
    </w:p>
    <w:p w14:paraId="3C355F13" w14:textId="77777777" w:rsidR="004A1288" w:rsidRDefault="00000000">
      <w:pPr>
        <w:pStyle w:val="BodyText"/>
      </w:pPr>
      <w:r>
        <w:t xml:space="preserve">[32] "Artificial intelligence language technologies in multilingual healthcare: Grand challenges ahead," </w:t>
      </w:r>
      <w:proofErr w:type="spellStart"/>
      <w:r>
        <w:t>arXiv</w:t>
      </w:r>
      <w:proofErr w:type="spellEnd"/>
      <w:r>
        <w:t xml:space="preserve"> preprint, 2026. </w:t>
      </w:r>
      <w:proofErr w:type="spellStart"/>
      <w:r>
        <w:t>arXiv</w:t>
      </w:r>
      <w:proofErr w:type="spellEnd"/>
      <w:r>
        <w:t>: 2605.01441.</w:t>
      </w:r>
    </w:p>
    <w:p w14:paraId="668D22B5" w14:textId="77777777" w:rsidR="004A1288" w:rsidRDefault="00000000">
      <w:pPr>
        <w:pStyle w:val="BodyText"/>
      </w:pPr>
      <w:r>
        <w:t xml:space="preserve">[33] Ministry of Electronics and Information Technology, Government of India, "Bhashini: National Language Translation Mission," [Online]. Available: </w:t>
      </w:r>
      <w:hyperlink r:id="rId8">
        <w:r>
          <w:rPr>
            <w:rStyle w:val="Hyperlink"/>
          </w:rPr>
          <w:t>https://bhashini.gov.in/</w:t>
        </w:r>
      </w:hyperlink>
    </w:p>
    <w:p w14:paraId="4F796C8B" w14:textId="77777777" w:rsidR="004A1288" w:rsidRDefault="00000000">
      <w:pPr>
        <w:pStyle w:val="BodyText"/>
      </w:pPr>
      <w:r>
        <w:t>[34] Microsoft News Center India, "</w:t>
      </w:r>
      <w:proofErr w:type="spellStart"/>
      <w:r>
        <w:t>eSanjeevani</w:t>
      </w:r>
      <w:proofErr w:type="spellEnd"/>
      <w:r>
        <w:t xml:space="preserve"> integrates Azure AI for multilingual teleconsultation," 2024. [Online]. Available: </w:t>
      </w:r>
      <w:hyperlink r:id="rId9">
        <w:r>
          <w:rPr>
            <w:rStyle w:val="Hyperlink"/>
          </w:rPr>
          <w:t>https://news.microsoft.com/en-in/</w:t>
        </w:r>
      </w:hyperlink>
    </w:p>
    <w:p w14:paraId="0045F4D4" w14:textId="77777777" w:rsidR="004A1288" w:rsidRDefault="00000000">
      <w:pPr>
        <w:pStyle w:val="BodyText"/>
      </w:pPr>
      <w:r>
        <w:t xml:space="preserve">[35] Sarvam AI, "Building India's AI Infrastructure," 2024. [Online]. Available: </w:t>
      </w:r>
      <w:hyperlink r:id="rId10">
        <w:r>
          <w:rPr>
            <w:rStyle w:val="Hyperlink"/>
          </w:rPr>
          <w:t>https://www.sarvam.ai/</w:t>
        </w:r>
      </w:hyperlink>
    </w:p>
    <w:p w14:paraId="16CE24D0" w14:textId="77777777" w:rsidR="004A1288" w:rsidRDefault="00000000">
      <w:pPr>
        <w:pStyle w:val="BodyText"/>
      </w:pPr>
      <w:r>
        <w:t xml:space="preserve">[36] "Human-Guided Agentic AI for Multimodal Clinical Prediction: Lessons from </w:t>
      </w:r>
      <w:proofErr w:type="spellStart"/>
      <w:r>
        <w:t>AgentDS</w:t>
      </w:r>
      <w:proofErr w:type="spellEnd"/>
      <w:r>
        <w:t xml:space="preserve"> Healthcare Benchmark," </w:t>
      </w:r>
      <w:proofErr w:type="spellStart"/>
      <w:r>
        <w:t>arXiv</w:t>
      </w:r>
      <w:proofErr w:type="spellEnd"/>
      <w:r>
        <w:t xml:space="preserve"> preprint, 2026. </w:t>
      </w:r>
      <w:proofErr w:type="spellStart"/>
      <w:r>
        <w:t>arXiv</w:t>
      </w:r>
      <w:proofErr w:type="spellEnd"/>
      <w:r>
        <w:t>: 2602.19502.</w:t>
      </w:r>
    </w:p>
    <w:p w14:paraId="7D66F117" w14:textId="77777777" w:rsidR="004A1288" w:rsidRDefault="00000000">
      <w:pPr>
        <w:pStyle w:val="BodyText"/>
      </w:pPr>
      <w:r>
        <w:t>[37] "</w:t>
      </w:r>
      <w:proofErr w:type="spellStart"/>
      <w:r>
        <w:t>HealthFlow</w:t>
      </w:r>
      <w:proofErr w:type="spellEnd"/>
      <w:r>
        <w:t xml:space="preserve">: A Self-Evolving AI Agent with Meta Planning for Autonomous Healthcare Research," </w:t>
      </w:r>
      <w:proofErr w:type="spellStart"/>
      <w:r>
        <w:t>arXiv</w:t>
      </w:r>
      <w:proofErr w:type="spellEnd"/>
      <w:r>
        <w:t xml:space="preserve"> preprint, 2025. </w:t>
      </w:r>
      <w:proofErr w:type="spellStart"/>
      <w:r>
        <w:t>arXiv</w:t>
      </w:r>
      <w:proofErr w:type="spellEnd"/>
      <w:r>
        <w:t>: 2508.02621.</w:t>
      </w:r>
    </w:p>
    <w:p w14:paraId="713BEA08" w14:textId="77777777" w:rsidR="004A1288" w:rsidRDefault="00000000">
      <w:pPr>
        <w:pStyle w:val="BodyText"/>
      </w:pPr>
      <w:r>
        <w:t xml:space="preserve">[38] "Caging the Agents: A Zero Trust Security Architecture for Autonomous AI in Healthcare," </w:t>
      </w:r>
      <w:proofErr w:type="spellStart"/>
      <w:r>
        <w:lastRenderedPageBreak/>
        <w:t>arXiv</w:t>
      </w:r>
      <w:proofErr w:type="spellEnd"/>
      <w:r>
        <w:t xml:space="preserve"> preprint, 2026. </w:t>
      </w:r>
      <w:proofErr w:type="spellStart"/>
      <w:r>
        <w:t>arXiv</w:t>
      </w:r>
      <w:proofErr w:type="spellEnd"/>
      <w:r>
        <w:t>: 2603.17419.</w:t>
      </w:r>
    </w:p>
    <w:p w14:paraId="228E2FDE" w14:textId="77777777" w:rsidR="004A1288" w:rsidRDefault="00000000">
      <w:pPr>
        <w:pStyle w:val="BodyText"/>
      </w:pPr>
      <w:r>
        <w:t xml:space="preserve">[39] "Multi-Agent Norm Perception and Induction in Distributed Healthcare," </w:t>
      </w:r>
      <w:proofErr w:type="spellStart"/>
      <w:r>
        <w:t>arXiv</w:t>
      </w:r>
      <w:proofErr w:type="spellEnd"/>
      <w:r>
        <w:t xml:space="preserve"> preprint, 2024. </w:t>
      </w:r>
      <w:proofErr w:type="spellStart"/>
      <w:r>
        <w:t>arXiv</w:t>
      </w:r>
      <w:proofErr w:type="spellEnd"/>
      <w:r>
        <w:t>: 2412.18454.</w:t>
      </w:r>
    </w:p>
    <w:p w14:paraId="43CF0DF9" w14:textId="77777777" w:rsidR="004A1288" w:rsidRDefault="00000000">
      <w:pPr>
        <w:pStyle w:val="BodyText"/>
      </w:pPr>
      <w:r>
        <w:t xml:space="preserve">[40] "Agentic-AI Healthcare: Multilingual, Privacy-First Framework with MCP Agents," </w:t>
      </w:r>
      <w:proofErr w:type="spellStart"/>
      <w:r>
        <w:t>arXiv</w:t>
      </w:r>
      <w:proofErr w:type="spellEnd"/>
      <w:r>
        <w:t xml:space="preserve"> preprint, 2025. </w:t>
      </w:r>
      <w:proofErr w:type="spellStart"/>
      <w:r>
        <w:t>arXiv</w:t>
      </w:r>
      <w:proofErr w:type="spellEnd"/>
      <w:r>
        <w:t>: 2510.02325.</w:t>
      </w:r>
    </w:p>
    <w:p w14:paraId="7957D761" w14:textId="77777777" w:rsidR="004A1288" w:rsidRDefault="00000000">
      <w:pPr>
        <w:pStyle w:val="BodyText"/>
      </w:pPr>
      <w:r>
        <w:t>[41] Government of India, "The Digital Personal Data Protection Act, 2023," The Gazette of India, Aug. 2023. [Online]. Available: https://www.meity.gov.in/writereaddata/files/Digital%20Personal%20Data%20Protection%20Act%202023.pdf</w:t>
      </w:r>
    </w:p>
    <w:p w14:paraId="39EEA0D8" w14:textId="77777777" w:rsidR="004A1288" w:rsidRDefault="00000000">
      <w:pPr>
        <w:pStyle w:val="BodyText"/>
      </w:pPr>
      <w:r>
        <w:t xml:space="preserve">[42] National Health Authority, Government of India, "Ayushman Bharat Digital Mission (ABDM)," [Online]. Available: </w:t>
      </w:r>
      <w:hyperlink r:id="rId11">
        <w:r>
          <w:rPr>
            <w:rStyle w:val="Hyperlink"/>
          </w:rPr>
          <w:t>https://abdm.gov.in/</w:t>
        </w:r>
      </w:hyperlink>
    </w:p>
    <w:p w14:paraId="129D5B02" w14:textId="77777777" w:rsidR="004A1288" w:rsidRDefault="004A1288">
      <w:pPr>
        <w:pStyle w:val="HorizontalLine"/>
      </w:pPr>
    </w:p>
    <w:p w14:paraId="39B91BB7" w14:textId="77777777" w:rsidR="004A1288" w:rsidRDefault="00000000">
      <w:pPr>
        <w:pStyle w:val="Heading2"/>
      </w:pPr>
      <w:r>
        <w:t>Appendix A: Summary of Key Evidence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4A1288" w14:paraId="68F422C5" w14:textId="77777777">
        <w:trPr>
          <w:tblHeader/>
        </w:trPr>
        <w:tc>
          <w:tcPr>
            <w:tcW w:w="3212" w:type="dxa"/>
            <w:tcBorders>
              <w:top w:val="single" w:sz="4" w:space="0" w:color="000000"/>
              <w:left w:val="single" w:sz="4" w:space="0" w:color="000000"/>
              <w:bottom w:val="single" w:sz="4" w:space="0" w:color="000000"/>
            </w:tcBorders>
          </w:tcPr>
          <w:p w14:paraId="0D6919F8" w14:textId="77777777" w:rsidR="004A1288" w:rsidRDefault="00000000">
            <w:pPr>
              <w:pStyle w:val="TableHeading"/>
              <w:jc w:val="left"/>
            </w:pPr>
            <w:r>
              <w:t>Research Pillar</w:t>
            </w:r>
          </w:p>
        </w:tc>
        <w:tc>
          <w:tcPr>
            <w:tcW w:w="3213" w:type="dxa"/>
            <w:tcBorders>
              <w:top w:val="single" w:sz="4" w:space="0" w:color="000000"/>
              <w:left w:val="single" w:sz="4" w:space="0" w:color="000000"/>
              <w:bottom w:val="single" w:sz="4" w:space="0" w:color="000000"/>
            </w:tcBorders>
          </w:tcPr>
          <w:p w14:paraId="1415F472" w14:textId="77777777" w:rsidR="004A1288" w:rsidRDefault="00000000">
            <w:pPr>
              <w:pStyle w:val="TableHeading"/>
              <w:jc w:val="left"/>
            </w:pPr>
            <w:r>
              <w:t>Key Statistic</w:t>
            </w:r>
          </w:p>
        </w:tc>
        <w:tc>
          <w:tcPr>
            <w:tcW w:w="3213" w:type="dxa"/>
            <w:tcBorders>
              <w:top w:val="single" w:sz="4" w:space="0" w:color="000000"/>
              <w:left w:val="single" w:sz="4" w:space="0" w:color="000000"/>
              <w:bottom w:val="single" w:sz="4" w:space="0" w:color="000000"/>
              <w:right w:val="single" w:sz="4" w:space="0" w:color="000000"/>
            </w:tcBorders>
          </w:tcPr>
          <w:p w14:paraId="294F797B" w14:textId="77777777" w:rsidR="004A1288" w:rsidRDefault="00000000">
            <w:pPr>
              <w:pStyle w:val="TableHeading"/>
              <w:jc w:val="left"/>
            </w:pPr>
            <w:r>
              <w:t>Source</w:t>
            </w:r>
          </w:p>
        </w:tc>
      </w:tr>
      <w:tr w:rsidR="004A1288" w14:paraId="59EF1C5D" w14:textId="77777777">
        <w:tc>
          <w:tcPr>
            <w:tcW w:w="3212" w:type="dxa"/>
            <w:tcBorders>
              <w:left w:val="single" w:sz="4" w:space="0" w:color="000000"/>
              <w:bottom w:val="single" w:sz="4" w:space="0" w:color="000000"/>
            </w:tcBorders>
          </w:tcPr>
          <w:p w14:paraId="78E6DD85" w14:textId="77777777" w:rsidR="004A1288" w:rsidRDefault="00000000">
            <w:pPr>
              <w:pStyle w:val="TableContents"/>
            </w:pPr>
            <w:r>
              <w:t>NCD Burden</w:t>
            </w:r>
          </w:p>
        </w:tc>
        <w:tc>
          <w:tcPr>
            <w:tcW w:w="3213" w:type="dxa"/>
            <w:tcBorders>
              <w:left w:val="single" w:sz="4" w:space="0" w:color="000000"/>
              <w:bottom w:val="single" w:sz="4" w:space="0" w:color="000000"/>
            </w:tcBorders>
          </w:tcPr>
          <w:p w14:paraId="4BCD1E1E" w14:textId="77777777" w:rsidR="004A1288" w:rsidRDefault="00000000">
            <w:pPr>
              <w:pStyle w:val="TableContents"/>
            </w:pPr>
            <w:r>
              <w:t>NCDs cause ~63% of all deaths in India</w:t>
            </w:r>
          </w:p>
        </w:tc>
        <w:tc>
          <w:tcPr>
            <w:tcW w:w="3213" w:type="dxa"/>
            <w:tcBorders>
              <w:left w:val="single" w:sz="4" w:space="0" w:color="000000"/>
              <w:bottom w:val="single" w:sz="4" w:space="0" w:color="000000"/>
              <w:right w:val="single" w:sz="4" w:space="0" w:color="000000"/>
            </w:tcBorders>
          </w:tcPr>
          <w:p w14:paraId="170946D5" w14:textId="77777777" w:rsidR="004A1288" w:rsidRDefault="00000000">
            <w:pPr>
              <w:pStyle w:val="TableContents"/>
            </w:pPr>
            <w:r>
              <w:t>[1]</w:t>
            </w:r>
          </w:p>
        </w:tc>
      </w:tr>
      <w:tr w:rsidR="004A1288" w14:paraId="27980FF3" w14:textId="77777777">
        <w:tc>
          <w:tcPr>
            <w:tcW w:w="3212" w:type="dxa"/>
            <w:tcBorders>
              <w:left w:val="single" w:sz="4" w:space="0" w:color="000000"/>
              <w:bottom w:val="single" w:sz="4" w:space="0" w:color="000000"/>
            </w:tcBorders>
          </w:tcPr>
          <w:p w14:paraId="45200476" w14:textId="77777777" w:rsidR="004A1288" w:rsidRDefault="00000000">
            <w:pPr>
              <w:pStyle w:val="TableContents"/>
            </w:pPr>
            <w:r>
              <w:t>NCD Burden</w:t>
            </w:r>
          </w:p>
        </w:tc>
        <w:tc>
          <w:tcPr>
            <w:tcW w:w="3213" w:type="dxa"/>
            <w:tcBorders>
              <w:left w:val="single" w:sz="4" w:space="0" w:color="000000"/>
              <w:bottom w:val="single" w:sz="4" w:space="0" w:color="000000"/>
            </w:tcBorders>
          </w:tcPr>
          <w:p w14:paraId="7857F330" w14:textId="77777777" w:rsidR="004A1288" w:rsidRDefault="00000000">
            <w:pPr>
              <w:pStyle w:val="TableContents"/>
            </w:pPr>
            <w:r>
              <w:t>523 million CVD cases, 18.6 million CVD deaths globally (2019)</w:t>
            </w:r>
          </w:p>
        </w:tc>
        <w:tc>
          <w:tcPr>
            <w:tcW w:w="3213" w:type="dxa"/>
            <w:tcBorders>
              <w:left w:val="single" w:sz="4" w:space="0" w:color="000000"/>
              <w:bottom w:val="single" w:sz="4" w:space="0" w:color="000000"/>
              <w:right w:val="single" w:sz="4" w:space="0" w:color="000000"/>
            </w:tcBorders>
          </w:tcPr>
          <w:p w14:paraId="61196DD9" w14:textId="77777777" w:rsidR="004A1288" w:rsidRDefault="00000000">
            <w:pPr>
              <w:pStyle w:val="TableContents"/>
            </w:pPr>
            <w:r>
              <w:t>[2]</w:t>
            </w:r>
          </w:p>
        </w:tc>
      </w:tr>
      <w:tr w:rsidR="004A1288" w14:paraId="671C49AC" w14:textId="77777777">
        <w:tc>
          <w:tcPr>
            <w:tcW w:w="3212" w:type="dxa"/>
            <w:tcBorders>
              <w:left w:val="single" w:sz="4" w:space="0" w:color="000000"/>
              <w:bottom w:val="single" w:sz="4" w:space="0" w:color="000000"/>
            </w:tcBorders>
          </w:tcPr>
          <w:p w14:paraId="0FA8A942" w14:textId="77777777" w:rsidR="004A1288" w:rsidRDefault="00000000">
            <w:pPr>
              <w:pStyle w:val="TableContents"/>
            </w:pPr>
            <w:r>
              <w:t>NCD Burden</w:t>
            </w:r>
          </w:p>
        </w:tc>
        <w:tc>
          <w:tcPr>
            <w:tcW w:w="3213" w:type="dxa"/>
            <w:tcBorders>
              <w:left w:val="single" w:sz="4" w:space="0" w:color="000000"/>
              <w:bottom w:val="single" w:sz="4" w:space="0" w:color="000000"/>
            </w:tcBorders>
          </w:tcPr>
          <w:p w14:paraId="5472037F" w14:textId="77777777" w:rsidR="004A1288" w:rsidRDefault="00000000">
            <w:pPr>
              <w:pStyle w:val="TableContents"/>
            </w:pPr>
            <w:r>
              <w:t>107.7 million obese adults; 4.0 million deaths from high BMI</w:t>
            </w:r>
          </w:p>
        </w:tc>
        <w:tc>
          <w:tcPr>
            <w:tcW w:w="3213" w:type="dxa"/>
            <w:tcBorders>
              <w:left w:val="single" w:sz="4" w:space="0" w:color="000000"/>
              <w:bottom w:val="single" w:sz="4" w:space="0" w:color="000000"/>
              <w:right w:val="single" w:sz="4" w:space="0" w:color="000000"/>
            </w:tcBorders>
          </w:tcPr>
          <w:p w14:paraId="34FCF3A8" w14:textId="77777777" w:rsidR="004A1288" w:rsidRDefault="00000000">
            <w:pPr>
              <w:pStyle w:val="TableContents"/>
            </w:pPr>
            <w:r>
              <w:t>[4]</w:t>
            </w:r>
          </w:p>
        </w:tc>
      </w:tr>
      <w:tr w:rsidR="004A1288" w14:paraId="51F57E18" w14:textId="77777777">
        <w:tc>
          <w:tcPr>
            <w:tcW w:w="3212" w:type="dxa"/>
            <w:tcBorders>
              <w:left w:val="single" w:sz="4" w:space="0" w:color="000000"/>
              <w:bottom w:val="single" w:sz="4" w:space="0" w:color="000000"/>
            </w:tcBorders>
          </w:tcPr>
          <w:p w14:paraId="43433CED" w14:textId="77777777" w:rsidR="004A1288" w:rsidRDefault="00000000">
            <w:pPr>
              <w:pStyle w:val="TableContents"/>
            </w:pPr>
            <w:r>
              <w:t>Air Pollution</w:t>
            </w:r>
          </w:p>
        </w:tc>
        <w:tc>
          <w:tcPr>
            <w:tcW w:w="3213" w:type="dxa"/>
            <w:tcBorders>
              <w:left w:val="single" w:sz="4" w:space="0" w:color="000000"/>
              <w:bottom w:val="single" w:sz="4" w:space="0" w:color="000000"/>
            </w:tcBorders>
          </w:tcPr>
          <w:p w14:paraId="05852A17" w14:textId="77777777" w:rsidR="004A1288" w:rsidRDefault="00000000">
            <w:pPr>
              <w:pStyle w:val="TableContents"/>
            </w:pPr>
            <w:r>
              <w:t>4.2 million premature deaths from ambient PM2.5 globally</w:t>
            </w:r>
          </w:p>
        </w:tc>
        <w:tc>
          <w:tcPr>
            <w:tcW w:w="3213" w:type="dxa"/>
            <w:tcBorders>
              <w:left w:val="single" w:sz="4" w:space="0" w:color="000000"/>
              <w:bottom w:val="single" w:sz="4" w:space="0" w:color="000000"/>
              <w:right w:val="single" w:sz="4" w:space="0" w:color="000000"/>
            </w:tcBorders>
          </w:tcPr>
          <w:p w14:paraId="60AC6D99" w14:textId="77777777" w:rsidR="004A1288" w:rsidRDefault="00000000">
            <w:pPr>
              <w:pStyle w:val="TableContents"/>
            </w:pPr>
            <w:r>
              <w:t>[9]</w:t>
            </w:r>
          </w:p>
        </w:tc>
      </w:tr>
      <w:tr w:rsidR="004A1288" w14:paraId="67C0A0FD" w14:textId="77777777">
        <w:tc>
          <w:tcPr>
            <w:tcW w:w="3212" w:type="dxa"/>
            <w:tcBorders>
              <w:left w:val="single" w:sz="4" w:space="0" w:color="000000"/>
              <w:bottom w:val="single" w:sz="4" w:space="0" w:color="000000"/>
            </w:tcBorders>
          </w:tcPr>
          <w:p w14:paraId="51F32DB1" w14:textId="77777777" w:rsidR="004A1288" w:rsidRDefault="00000000">
            <w:pPr>
              <w:pStyle w:val="TableContents"/>
            </w:pPr>
            <w:r>
              <w:t>Air Pollution</w:t>
            </w:r>
          </w:p>
        </w:tc>
        <w:tc>
          <w:tcPr>
            <w:tcW w:w="3213" w:type="dxa"/>
            <w:tcBorders>
              <w:left w:val="single" w:sz="4" w:space="0" w:color="000000"/>
              <w:bottom w:val="single" w:sz="4" w:space="0" w:color="000000"/>
            </w:tcBorders>
          </w:tcPr>
          <w:p w14:paraId="792CCA5F" w14:textId="77777777" w:rsidR="004A1288" w:rsidRDefault="00000000">
            <w:pPr>
              <w:pStyle w:val="TableContents"/>
            </w:pPr>
            <w:r>
              <w:t>Air pollution among top 5 risk factors for DALYs globally</w:t>
            </w:r>
          </w:p>
        </w:tc>
        <w:tc>
          <w:tcPr>
            <w:tcW w:w="3213" w:type="dxa"/>
            <w:tcBorders>
              <w:left w:val="single" w:sz="4" w:space="0" w:color="000000"/>
              <w:bottom w:val="single" w:sz="4" w:space="0" w:color="000000"/>
              <w:right w:val="single" w:sz="4" w:space="0" w:color="000000"/>
            </w:tcBorders>
          </w:tcPr>
          <w:p w14:paraId="465C8E01" w14:textId="77777777" w:rsidR="004A1288" w:rsidRDefault="00000000">
            <w:pPr>
              <w:pStyle w:val="TableContents"/>
            </w:pPr>
            <w:r>
              <w:t>[8]</w:t>
            </w:r>
          </w:p>
        </w:tc>
      </w:tr>
      <w:tr w:rsidR="004A1288" w14:paraId="4BF70049" w14:textId="77777777">
        <w:tc>
          <w:tcPr>
            <w:tcW w:w="3212" w:type="dxa"/>
            <w:tcBorders>
              <w:left w:val="single" w:sz="4" w:space="0" w:color="000000"/>
              <w:bottom w:val="single" w:sz="4" w:space="0" w:color="000000"/>
            </w:tcBorders>
          </w:tcPr>
          <w:p w14:paraId="63ED07F0" w14:textId="77777777" w:rsidR="004A1288" w:rsidRDefault="00000000">
            <w:pPr>
              <w:pStyle w:val="TableContents"/>
            </w:pPr>
            <w:r>
              <w:t>Air Pollution</w:t>
            </w:r>
          </w:p>
        </w:tc>
        <w:tc>
          <w:tcPr>
            <w:tcW w:w="3213" w:type="dxa"/>
            <w:tcBorders>
              <w:left w:val="single" w:sz="4" w:space="0" w:color="000000"/>
              <w:bottom w:val="single" w:sz="4" w:space="0" w:color="000000"/>
            </w:tcBorders>
          </w:tcPr>
          <w:p w14:paraId="17566FF6" w14:textId="77777777" w:rsidR="004A1288" w:rsidRDefault="00000000">
            <w:pPr>
              <w:pStyle w:val="TableContents"/>
            </w:pPr>
            <w:r>
              <w:t>South Asia has highest population-weighted PM2.5</w:t>
            </w:r>
          </w:p>
        </w:tc>
        <w:tc>
          <w:tcPr>
            <w:tcW w:w="3213" w:type="dxa"/>
            <w:tcBorders>
              <w:left w:val="single" w:sz="4" w:space="0" w:color="000000"/>
              <w:bottom w:val="single" w:sz="4" w:space="0" w:color="000000"/>
              <w:right w:val="single" w:sz="4" w:space="0" w:color="000000"/>
            </w:tcBorders>
          </w:tcPr>
          <w:p w14:paraId="6A11E7D0" w14:textId="77777777" w:rsidR="004A1288" w:rsidRDefault="00000000">
            <w:pPr>
              <w:pStyle w:val="TableContents"/>
            </w:pPr>
            <w:r>
              <w:t>[11]</w:t>
            </w:r>
          </w:p>
        </w:tc>
      </w:tr>
      <w:tr w:rsidR="004A1288" w14:paraId="653A5E03" w14:textId="77777777">
        <w:tc>
          <w:tcPr>
            <w:tcW w:w="3212" w:type="dxa"/>
            <w:tcBorders>
              <w:left w:val="single" w:sz="4" w:space="0" w:color="000000"/>
              <w:bottom w:val="single" w:sz="4" w:space="0" w:color="000000"/>
            </w:tcBorders>
          </w:tcPr>
          <w:p w14:paraId="5DD2D5AC" w14:textId="77777777" w:rsidR="004A1288" w:rsidRDefault="00000000">
            <w:pPr>
              <w:pStyle w:val="TableContents"/>
            </w:pPr>
            <w:r>
              <w:t>Digital Health ROI</w:t>
            </w:r>
          </w:p>
        </w:tc>
        <w:tc>
          <w:tcPr>
            <w:tcW w:w="3213" w:type="dxa"/>
            <w:tcBorders>
              <w:left w:val="single" w:sz="4" w:space="0" w:color="000000"/>
              <w:bottom w:val="single" w:sz="4" w:space="0" w:color="000000"/>
            </w:tcBorders>
          </w:tcPr>
          <w:p w14:paraId="7C5C0990" w14:textId="77777777" w:rsidR="004A1288" w:rsidRDefault="00000000">
            <w:pPr>
              <w:pStyle w:val="TableContents"/>
            </w:pPr>
            <w:r>
              <w:t>14.3:1 median ROI for preventive health interventions</w:t>
            </w:r>
          </w:p>
        </w:tc>
        <w:tc>
          <w:tcPr>
            <w:tcW w:w="3213" w:type="dxa"/>
            <w:tcBorders>
              <w:left w:val="single" w:sz="4" w:space="0" w:color="000000"/>
              <w:bottom w:val="single" w:sz="4" w:space="0" w:color="000000"/>
              <w:right w:val="single" w:sz="4" w:space="0" w:color="000000"/>
            </w:tcBorders>
          </w:tcPr>
          <w:p w14:paraId="71E7D098" w14:textId="77777777" w:rsidR="004A1288" w:rsidRDefault="00000000">
            <w:pPr>
              <w:pStyle w:val="TableContents"/>
            </w:pPr>
            <w:r>
              <w:t>[18]</w:t>
            </w:r>
          </w:p>
        </w:tc>
      </w:tr>
      <w:tr w:rsidR="004A1288" w14:paraId="4C387A8B" w14:textId="77777777">
        <w:tc>
          <w:tcPr>
            <w:tcW w:w="3212" w:type="dxa"/>
            <w:tcBorders>
              <w:left w:val="single" w:sz="4" w:space="0" w:color="000000"/>
              <w:bottom w:val="single" w:sz="4" w:space="0" w:color="000000"/>
            </w:tcBorders>
          </w:tcPr>
          <w:p w14:paraId="0B35909B" w14:textId="77777777" w:rsidR="004A1288" w:rsidRDefault="00000000">
            <w:pPr>
              <w:pStyle w:val="TableContents"/>
            </w:pPr>
            <w:r>
              <w:t>RAG Safety</w:t>
            </w:r>
          </w:p>
        </w:tc>
        <w:tc>
          <w:tcPr>
            <w:tcW w:w="3213" w:type="dxa"/>
            <w:tcBorders>
              <w:left w:val="single" w:sz="4" w:space="0" w:color="000000"/>
              <w:bottom w:val="single" w:sz="4" w:space="0" w:color="000000"/>
            </w:tcBorders>
          </w:tcPr>
          <w:p w14:paraId="20F932EC" w14:textId="77777777" w:rsidR="004A1288" w:rsidRDefault="00000000">
            <w:pPr>
              <w:pStyle w:val="TableContents"/>
            </w:pPr>
            <w:r>
              <w:t xml:space="preserve">43.8% improvement in factual accuracy with </w:t>
            </w:r>
            <w:proofErr w:type="spellStart"/>
            <w:r>
              <w:t>MMed</w:t>
            </w:r>
            <w:proofErr w:type="spellEnd"/>
            <w:r>
              <w:t>-RAG</w:t>
            </w:r>
          </w:p>
        </w:tc>
        <w:tc>
          <w:tcPr>
            <w:tcW w:w="3213" w:type="dxa"/>
            <w:tcBorders>
              <w:left w:val="single" w:sz="4" w:space="0" w:color="000000"/>
              <w:bottom w:val="single" w:sz="4" w:space="0" w:color="000000"/>
              <w:right w:val="single" w:sz="4" w:space="0" w:color="000000"/>
            </w:tcBorders>
          </w:tcPr>
          <w:p w14:paraId="13234C72" w14:textId="77777777" w:rsidR="004A1288" w:rsidRDefault="00000000">
            <w:pPr>
              <w:pStyle w:val="TableContents"/>
            </w:pPr>
            <w:r>
              <w:t>[23]</w:t>
            </w:r>
          </w:p>
        </w:tc>
      </w:tr>
      <w:tr w:rsidR="004A1288" w14:paraId="75098A7A" w14:textId="77777777">
        <w:tc>
          <w:tcPr>
            <w:tcW w:w="3212" w:type="dxa"/>
            <w:tcBorders>
              <w:left w:val="single" w:sz="4" w:space="0" w:color="000000"/>
              <w:bottom w:val="single" w:sz="4" w:space="0" w:color="000000"/>
            </w:tcBorders>
          </w:tcPr>
          <w:p w14:paraId="2DC20B20" w14:textId="77777777" w:rsidR="004A1288" w:rsidRDefault="00000000">
            <w:pPr>
              <w:pStyle w:val="TableContents"/>
            </w:pPr>
            <w:r>
              <w:t>RAG Safety</w:t>
            </w:r>
          </w:p>
        </w:tc>
        <w:tc>
          <w:tcPr>
            <w:tcW w:w="3213" w:type="dxa"/>
            <w:tcBorders>
              <w:left w:val="single" w:sz="4" w:space="0" w:color="000000"/>
              <w:bottom w:val="single" w:sz="4" w:space="0" w:color="000000"/>
            </w:tcBorders>
          </w:tcPr>
          <w:p w14:paraId="0831A24B" w14:textId="77777777" w:rsidR="004A1288" w:rsidRDefault="00000000">
            <w:pPr>
              <w:pStyle w:val="TableContents"/>
            </w:pPr>
            <w:r>
              <w:t>Scope-matched KG-RAG outperforms generic knowledge union</w:t>
            </w:r>
          </w:p>
        </w:tc>
        <w:tc>
          <w:tcPr>
            <w:tcW w:w="3213" w:type="dxa"/>
            <w:tcBorders>
              <w:left w:val="single" w:sz="4" w:space="0" w:color="000000"/>
              <w:bottom w:val="single" w:sz="4" w:space="0" w:color="000000"/>
              <w:right w:val="single" w:sz="4" w:space="0" w:color="000000"/>
            </w:tcBorders>
          </w:tcPr>
          <w:p w14:paraId="732BDEA6" w14:textId="77777777" w:rsidR="004A1288" w:rsidRDefault="00000000">
            <w:pPr>
              <w:pStyle w:val="TableContents"/>
            </w:pPr>
            <w:r>
              <w:t>[22]</w:t>
            </w:r>
          </w:p>
        </w:tc>
      </w:tr>
      <w:tr w:rsidR="004A1288" w14:paraId="110C6D6E" w14:textId="77777777">
        <w:tc>
          <w:tcPr>
            <w:tcW w:w="3212" w:type="dxa"/>
            <w:tcBorders>
              <w:left w:val="single" w:sz="4" w:space="0" w:color="000000"/>
              <w:bottom w:val="single" w:sz="4" w:space="0" w:color="000000"/>
            </w:tcBorders>
          </w:tcPr>
          <w:p w14:paraId="0A12540C" w14:textId="77777777" w:rsidR="004A1288" w:rsidRDefault="00000000">
            <w:pPr>
              <w:pStyle w:val="TableContents"/>
            </w:pPr>
            <w:r>
              <w:t>Multilingual</w:t>
            </w:r>
          </w:p>
        </w:tc>
        <w:tc>
          <w:tcPr>
            <w:tcW w:w="3213" w:type="dxa"/>
            <w:tcBorders>
              <w:left w:val="single" w:sz="4" w:space="0" w:color="000000"/>
              <w:bottom w:val="single" w:sz="4" w:space="0" w:color="000000"/>
            </w:tcBorders>
          </w:tcPr>
          <w:p w14:paraId="7C2F0F39" w14:textId="77777777" w:rsidR="004A1288" w:rsidRDefault="00000000">
            <w:pPr>
              <w:pStyle w:val="TableContents"/>
            </w:pPr>
            <w:r>
              <w:t xml:space="preserve">+6.2 </w:t>
            </w:r>
            <w:proofErr w:type="spellStart"/>
            <w:r>
              <w:t>chrF</w:t>
            </w:r>
            <w:proofErr w:type="spellEnd"/>
            <w:r>
              <w:t xml:space="preserve"> gain for conversational Indic translation</w:t>
            </w:r>
          </w:p>
        </w:tc>
        <w:tc>
          <w:tcPr>
            <w:tcW w:w="3213" w:type="dxa"/>
            <w:tcBorders>
              <w:left w:val="single" w:sz="4" w:space="0" w:color="000000"/>
              <w:bottom w:val="single" w:sz="4" w:space="0" w:color="000000"/>
              <w:right w:val="single" w:sz="4" w:space="0" w:color="000000"/>
            </w:tcBorders>
          </w:tcPr>
          <w:p w14:paraId="3467E6C2" w14:textId="77777777" w:rsidR="004A1288" w:rsidRDefault="00000000">
            <w:pPr>
              <w:pStyle w:val="TableContents"/>
            </w:pPr>
            <w:r>
              <w:t>[29]</w:t>
            </w:r>
          </w:p>
        </w:tc>
      </w:tr>
      <w:tr w:rsidR="004A1288" w14:paraId="274A0E5C" w14:textId="77777777">
        <w:tc>
          <w:tcPr>
            <w:tcW w:w="3212" w:type="dxa"/>
            <w:tcBorders>
              <w:left w:val="single" w:sz="4" w:space="0" w:color="000000"/>
              <w:bottom w:val="single" w:sz="4" w:space="0" w:color="000000"/>
            </w:tcBorders>
          </w:tcPr>
          <w:p w14:paraId="24CEDD58" w14:textId="77777777" w:rsidR="004A1288" w:rsidRDefault="00000000">
            <w:pPr>
              <w:pStyle w:val="TableContents"/>
            </w:pPr>
            <w:r>
              <w:t>Multilingual</w:t>
            </w:r>
          </w:p>
        </w:tc>
        <w:tc>
          <w:tcPr>
            <w:tcW w:w="3213" w:type="dxa"/>
            <w:tcBorders>
              <w:left w:val="single" w:sz="4" w:space="0" w:color="000000"/>
              <w:bottom w:val="single" w:sz="4" w:space="0" w:color="000000"/>
            </w:tcBorders>
          </w:tcPr>
          <w:p w14:paraId="2F0E3E47" w14:textId="77777777" w:rsidR="004A1288" w:rsidRDefault="00000000">
            <w:pPr>
              <w:pStyle w:val="TableContents"/>
            </w:pPr>
            <w:r>
              <w:t>Cancer-Myth-Indic: 2,500 items across 5 Indic languages</w:t>
            </w:r>
          </w:p>
        </w:tc>
        <w:tc>
          <w:tcPr>
            <w:tcW w:w="3213" w:type="dxa"/>
            <w:tcBorders>
              <w:left w:val="single" w:sz="4" w:space="0" w:color="000000"/>
              <w:bottom w:val="single" w:sz="4" w:space="0" w:color="000000"/>
              <w:right w:val="single" w:sz="4" w:space="0" w:color="000000"/>
            </w:tcBorders>
          </w:tcPr>
          <w:p w14:paraId="5078044E" w14:textId="77777777" w:rsidR="004A1288" w:rsidRDefault="00000000">
            <w:pPr>
              <w:pStyle w:val="TableContents"/>
            </w:pPr>
            <w:r>
              <w:t>[30]</w:t>
            </w:r>
          </w:p>
        </w:tc>
      </w:tr>
      <w:tr w:rsidR="004A1288" w14:paraId="24D6A424" w14:textId="77777777">
        <w:tc>
          <w:tcPr>
            <w:tcW w:w="3212" w:type="dxa"/>
            <w:tcBorders>
              <w:left w:val="single" w:sz="4" w:space="0" w:color="000000"/>
              <w:bottom w:val="single" w:sz="4" w:space="0" w:color="000000"/>
            </w:tcBorders>
          </w:tcPr>
          <w:p w14:paraId="5F15BA15" w14:textId="77777777" w:rsidR="004A1288" w:rsidRDefault="00000000">
            <w:pPr>
              <w:pStyle w:val="TableContents"/>
            </w:pPr>
            <w:r>
              <w:t>Agentic AI</w:t>
            </w:r>
          </w:p>
        </w:tc>
        <w:tc>
          <w:tcPr>
            <w:tcW w:w="3213" w:type="dxa"/>
            <w:tcBorders>
              <w:left w:val="single" w:sz="4" w:space="0" w:color="000000"/>
              <w:bottom w:val="single" w:sz="4" w:space="0" w:color="000000"/>
            </w:tcBorders>
          </w:tcPr>
          <w:p w14:paraId="5F90AF96" w14:textId="77777777" w:rsidR="004A1288" w:rsidRDefault="00000000">
            <w:pPr>
              <w:pStyle w:val="TableContents"/>
            </w:pPr>
            <w:r>
              <w:t>Human-guided agents outperform fully autonomous for clinical tasks</w:t>
            </w:r>
          </w:p>
        </w:tc>
        <w:tc>
          <w:tcPr>
            <w:tcW w:w="3213" w:type="dxa"/>
            <w:tcBorders>
              <w:left w:val="single" w:sz="4" w:space="0" w:color="000000"/>
              <w:bottom w:val="single" w:sz="4" w:space="0" w:color="000000"/>
              <w:right w:val="single" w:sz="4" w:space="0" w:color="000000"/>
            </w:tcBorders>
          </w:tcPr>
          <w:p w14:paraId="4CAD0647" w14:textId="77777777" w:rsidR="004A1288" w:rsidRDefault="00000000">
            <w:pPr>
              <w:pStyle w:val="TableContents"/>
            </w:pPr>
            <w:r>
              <w:t>[36]</w:t>
            </w:r>
          </w:p>
        </w:tc>
      </w:tr>
      <w:tr w:rsidR="004A1288" w14:paraId="71107B0E" w14:textId="77777777">
        <w:tc>
          <w:tcPr>
            <w:tcW w:w="3212" w:type="dxa"/>
            <w:tcBorders>
              <w:left w:val="single" w:sz="4" w:space="0" w:color="000000"/>
              <w:bottom w:val="single" w:sz="4" w:space="0" w:color="000000"/>
            </w:tcBorders>
          </w:tcPr>
          <w:p w14:paraId="5963C474" w14:textId="77777777" w:rsidR="004A1288" w:rsidRDefault="00000000">
            <w:pPr>
              <w:pStyle w:val="TableContents"/>
            </w:pPr>
            <w:r>
              <w:lastRenderedPageBreak/>
              <w:t>Data Privacy</w:t>
            </w:r>
          </w:p>
        </w:tc>
        <w:tc>
          <w:tcPr>
            <w:tcW w:w="3213" w:type="dxa"/>
            <w:tcBorders>
              <w:left w:val="single" w:sz="4" w:space="0" w:color="000000"/>
              <w:bottom w:val="single" w:sz="4" w:space="0" w:color="000000"/>
            </w:tcBorders>
          </w:tcPr>
          <w:p w14:paraId="63748C00" w14:textId="77777777" w:rsidR="004A1288" w:rsidRDefault="00000000">
            <w:pPr>
              <w:pStyle w:val="TableContents"/>
            </w:pPr>
            <w:r>
              <w:t>DPDP Act: penalties up to INR 250 crore for non-compliance</w:t>
            </w:r>
          </w:p>
        </w:tc>
        <w:tc>
          <w:tcPr>
            <w:tcW w:w="3213" w:type="dxa"/>
            <w:tcBorders>
              <w:left w:val="single" w:sz="4" w:space="0" w:color="000000"/>
              <w:bottom w:val="single" w:sz="4" w:space="0" w:color="000000"/>
              <w:right w:val="single" w:sz="4" w:space="0" w:color="000000"/>
            </w:tcBorders>
          </w:tcPr>
          <w:p w14:paraId="092BD17E" w14:textId="77777777" w:rsidR="004A1288" w:rsidRDefault="00000000">
            <w:pPr>
              <w:pStyle w:val="TableContents"/>
            </w:pPr>
            <w:r>
              <w:t>[41]</w:t>
            </w:r>
          </w:p>
        </w:tc>
      </w:tr>
    </w:tbl>
    <w:p w14:paraId="204DAF57" w14:textId="77777777" w:rsidR="004A1288" w:rsidRDefault="004A1288">
      <w:pPr>
        <w:pStyle w:val="BodyText"/>
      </w:pPr>
    </w:p>
    <w:p w14:paraId="5F4C5BC5" w14:textId="77777777" w:rsidR="004A1288" w:rsidRDefault="004A1288">
      <w:pPr>
        <w:pStyle w:val="HorizontalLine"/>
      </w:pPr>
    </w:p>
    <w:p w14:paraId="0F697321" w14:textId="77777777" w:rsidR="004A1288" w:rsidRDefault="00000000">
      <w:pPr>
        <w:pStyle w:val="Heading2"/>
      </w:pPr>
      <w:r>
        <w:t>Appendix B: Raw Research Data Files</w:t>
      </w:r>
    </w:p>
    <w:p w14:paraId="5B72754E" w14:textId="77777777" w:rsidR="004A1288" w:rsidRDefault="00000000">
      <w:pPr>
        <w:pStyle w:val="BodyText"/>
      </w:pPr>
      <w:r>
        <w:t xml:space="preserve">All raw JSON data from database queries are stored in the </w:t>
      </w:r>
      <w:proofErr w:type="spellStart"/>
      <w:r>
        <w:rPr>
          <w:rFonts w:ascii="Liberation Mono" w:hAnsi="Liberation Mono"/>
        </w:rPr>
        <w:t>research_materials</w:t>
      </w:r>
      <w:proofErr w:type="spellEnd"/>
      <w:r>
        <w:rPr>
          <w:rFonts w:ascii="Liberation Mono" w:hAnsi="Liberation Mono"/>
        </w:rPr>
        <w:t>/raw/</w:t>
      </w:r>
      <w:r>
        <w:t xml:space="preserve"> directory:</w:t>
      </w:r>
    </w:p>
    <w:p w14:paraId="510B13A4" w14:textId="77777777" w:rsidR="004A1288" w:rsidRDefault="00000000">
      <w:pPr>
        <w:pStyle w:val="BodyText"/>
        <w:numPr>
          <w:ilvl w:val="0"/>
          <w:numId w:val="3"/>
        </w:numPr>
        <w:tabs>
          <w:tab w:val="left" w:pos="709"/>
        </w:tabs>
      </w:pPr>
      <w:r>
        <w:rPr>
          <w:rFonts w:ascii="Liberation Mono" w:hAnsi="Liberation Mono"/>
        </w:rPr>
        <w:t>pillar1/</w:t>
      </w:r>
      <w:r>
        <w:t xml:space="preserve"> — NCD burden, diabetes/CVD prevalence, ICMR guidelines (Europe PMC, </w:t>
      </w:r>
      <w:proofErr w:type="spellStart"/>
      <w:r>
        <w:t>OpenAlex</w:t>
      </w:r>
      <w:proofErr w:type="spellEnd"/>
      <w:r>
        <w:t>)</w:t>
      </w:r>
    </w:p>
    <w:p w14:paraId="30FD6068" w14:textId="77777777" w:rsidR="004A1288" w:rsidRDefault="00000000">
      <w:pPr>
        <w:pStyle w:val="BodyText"/>
        <w:numPr>
          <w:ilvl w:val="0"/>
          <w:numId w:val="3"/>
        </w:numPr>
        <w:tabs>
          <w:tab w:val="left" w:pos="709"/>
        </w:tabs>
      </w:pPr>
      <w:r>
        <w:rPr>
          <w:rFonts w:ascii="Liberation Mono" w:hAnsi="Liberation Mono"/>
        </w:rPr>
        <w:t>pillar2/</w:t>
      </w:r>
      <w:r>
        <w:t xml:space="preserve"> — PM2.5 health effects, AQI and hospital admissions, India city pollution (Europe PMC, </w:t>
      </w:r>
      <w:proofErr w:type="spellStart"/>
      <w:r>
        <w:t>OpenAlex</w:t>
      </w:r>
      <w:proofErr w:type="spellEnd"/>
      <w:r>
        <w:t>)</w:t>
      </w:r>
    </w:p>
    <w:p w14:paraId="036849DB" w14:textId="77777777" w:rsidR="004A1288" w:rsidRDefault="00000000">
      <w:pPr>
        <w:pStyle w:val="BodyText"/>
        <w:numPr>
          <w:ilvl w:val="0"/>
          <w:numId w:val="3"/>
        </w:numPr>
        <w:tabs>
          <w:tab w:val="left" w:pos="709"/>
        </w:tabs>
      </w:pPr>
      <w:r>
        <w:rPr>
          <w:rFonts w:ascii="Liberation Mono" w:hAnsi="Liberation Mono"/>
        </w:rPr>
        <w:t>pillar3_4/</w:t>
      </w:r>
      <w:r>
        <w:t xml:space="preserve"> — Digital health effectiveness, telemedicine India, RAG clinical (Europe PMC, </w:t>
      </w:r>
      <w:proofErr w:type="spellStart"/>
      <w:r>
        <w:t>arXiv</w:t>
      </w:r>
      <w:proofErr w:type="spellEnd"/>
      <w:r>
        <w:t>)</w:t>
      </w:r>
    </w:p>
    <w:p w14:paraId="52E60264" w14:textId="77777777" w:rsidR="004A1288" w:rsidRDefault="00000000">
      <w:pPr>
        <w:pStyle w:val="BodyText"/>
        <w:numPr>
          <w:ilvl w:val="0"/>
          <w:numId w:val="3"/>
        </w:numPr>
        <w:tabs>
          <w:tab w:val="left" w:pos="709"/>
        </w:tabs>
      </w:pPr>
      <w:r>
        <w:rPr>
          <w:rFonts w:ascii="Liberation Mono" w:hAnsi="Liberation Mono"/>
        </w:rPr>
        <w:t>pillar5_6_7/</w:t>
      </w:r>
      <w:r>
        <w:t xml:space="preserve"> — Indic language models, multilingual healthcare NLP, agentic AI, data privacy (</w:t>
      </w:r>
      <w:proofErr w:type="spellStart"/>
      <w:r>
        <w:t>arXiv</w:t>
      </w:r>
      <w:proofErr w:type="spellEnd"/>
      <w:r>
        <w:t xml:space="preserve">, Europe PMC, </w:t>
      </w:r>
      <w:proofErr w:type="spellStart"/>
      <w:r>
        <w:t>OpenAlex</w:t>
      </w:r>
      <w:proofErr w:type="spellEnd"/>
      <w:r>
        <w:t>)</w:t>
      </w:r>
    </w:p>
    <w:p w14:paraId="5CF69A22" w14:textId="77777777" w:rsidR="004A1288" w:rsidRDefault="00000000">
      <w:pPr>
        <w:pStyle w:val="BodyText"/>
      </w:pPr>
      <w:r>
        <w:t>These files contain full metadata (DOI, PMID, abstracts, author lists, citation counts) for all retrieved papers and can be used for further analysis or citation verification.</w:t>
      </w:r>
    </w:p>
    <w:p w14:paraId="7B83E217" w14:textId="77777777" w:rsidR="004A1288" w:rsidRDefault="004A1288">
      <w:pPr>
        <w:pStyle w:val="BodyText"/>
      </w:pPr>
    </w:p>
    <w:sectPr w:rsidR="004A128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00D0"/>
    <w:multiLevelType w:val="multilevel"/>
    <w:tmpl w:val="318044B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3AA7330"/>
    <w:multiLevelType w:val="multilevel"/>
    <w:tmpl w:val="930C9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5C3408FE"/>
    <w:multiLevelType w:val="multilevel"/>
    <w:tmpl w:val="2C24F05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05318772">
    <w:abstractNumId w:val="0"/>
  </w:num>
  <w:num w:numId="2" w16cid:durableId="1223634476">
    <w:abstractNumId w:val="2"/>
  </w:num>
  <w:num w:numId="3" w16cid:durableId="1767774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A1288"/>
    <w:rsid w:val="00144F72"/>
    <w:rsid w:val="004A1288"/>
    <w:rsid w:val="00AF52FB"/>
    <w:rsid w:val="00FB0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DCB72"/>
  <w15:docId w15:val="{13C09577-9683-4CF0-B199-D14B652F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hashini.gov.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sanjeevani.mohfw.gov.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cpcbccr.com/AQI_India/" TargetMode="External"/><Relationship Id="rId11" Type="http://schemas.openxmlformats.org/officeDocument/2006/relationships/hyperlink" Target="https://abdm.gov.in/" TargetMode="External"/><Relationship Id="rId5" Type="http://schemas.openxmlformats.org/officeDocument/2006/relationships/webSettings" Target="webSettings.xml"/><Relationship Id="rId10" Type="http://schemas.openxmlformats.org/officeDocument/2006/relationships/hyperlink" Target="https://www.sarvam.ai/" TargetMode="External"/><Relationship Id="rId4" Type="http://schemas.openxmlformats.org/officeDocument/2006/relationships/settings" Target="settings.xml"/><Relationship Id="rId9" Type="http://schemas.openxmlformats.org/officeDocument/2006/relationships/hyperlink" Target="https://news.microsoft.com/en-in/"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A4777-54FA-4074-B6C8-80B9BFCE6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4259</Words>
  <Characters>24281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Jayesh Patil</cp:lastModifiedBy>
  <cp:revision>1</cp:revision>
  <dcterms:created xsi:type="dcterms:W3CDTF">2026-10-08T11:16:00Z</dcterms:created>
  <dcterms:modified xsi:type="dcterms:W3CDTF">2026-10-09T10:53:00Z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93489219-b80f-3084-989c-0bec5c977c9c</vt:lpwstr>
  </property>
</Properties>
</file>