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6"/>
          <w:szCs w:val="44"/>
        </w:rPr>
      </w:pPr>
      <w:r>
        <w:rPr>
          <w:rFonts w:hint="default" w:ascii="Times New Roman" w:hAnsi="Times New Roman" w:cs="Times New Roman"/>
          <w:sz w:val="36"/>
          <w:szCs w:val="44"/>
        </w:rPr>
        <w:t>空间电压矢量调制</w:t>
      </w:r>
      <w:r>
        <w:rPr>
          <w:rFonts w:hint="eastAsia" w:ascii="Times New Roman" w:hAnsi="Times New Roman" w:cs="Times New Roman"/>
          <w:sz w:val="36"/>
          <w:szCs w:val="44"/>
          <w:lang w:eastAsia="zh-CN"/>
        </w:rPr>
        <w:t>——</w:t>
      </w:r>
      <w:r>
        <w:rPr>
          <w:rFonts w:hint="default" w:ascii="Times New Roman" w:hAnsi="Times New Roman" w:cs="Times New Roman"/>
          <w:sz w:val="36"/>
          <w:szCs w:val="44"/>
        </w:rPr>
        <w:t>SVPWM</w:t>
      </w:r>
    </w:p>
    <w:p>
      <w:pPr>
        <w:ind w:firstLine="480" w:firstLineChars="200"/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空间电压矢量脉宽调制(space-vector pulse width modulation，简称SVPWM)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  <w:t>模糊自适应PID(adaptive fuzzy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  <w:t>PID，简称AF．PID)和改进型直接自适应模糊(improved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  <w:t>direct adaptive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  <w:t>fuzzy，简称IDAF)的控制算法，且提出了一种强鲁棒性的数字转矩观测器算法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ind w:firstLine="420" w:firstLineChars="200"/>
        <w:jc w:val="both"/>
      </w:pPr>
    </w:p>
    <w:p>
      <w:pPr>
        <w:jc w:val="center"/>
      </w:pPr>
      <w:r>
        <w:drawing>
          <wp:inline distT="0" distB="0" distL="114300" distR="114300">
            <wp:extent cx="5120640" cy="1783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80" w:firstLineChars="200"/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其中，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SVPWM磁场定向矢量控制方法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FOC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和基于线性霍尔传感器的SPWM磁场定向控制方法</w:t>
      </w:r>
    </w:p>
    <w:p>
      <w:pPr>
        <w:ind w:firstLine="48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首先，明白坐标变换的简化原理http://www.docin.com/p-1302033603.html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FOC控制原理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"https://blog.csdn.net/u010671230/article/details/79478582"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  <w:t>https://blog.csdn.net/u010671230/article/details/79478582</w:t>
      </w:r>
    </w:p>
    <w:p>
      <w:pPr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  <w:t>矢量控制的SVPWM输出波形</w:t>
      </w:r>
    </w:p>
    <w:p>
      <w:pPr>
        <w:ind w:firstLine="42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952625"/>
            <wp:effectExtent l="0" t="0" r="317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  <w:t>PMSM的控制策略</w:t>
      </w:r>
      <w:r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基于PI调节器的PMSM矢量控制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37810" cy="206375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PI控制</w:t>
      </w:r>
    </w:p>
    <w:p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基于滑膜速度控制器的PMSM控制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349875" cy="1473200"/>
            <wp:effectExtent l="0" t="0" r="1460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SMC控制</w:t>
      </w:r>
    </w:p>
    <w:p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基于比例谐振控制的PMSM控制（校正问题）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329555" cy="1767205"/>
            <wp:effectExtent l="0" t="0" r="444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PR控制(未设D轴比较器)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1770" cy="1558290"/>
            <wp:effectExtent l="0" t="0" r="127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PR控制</w:t>
      </w:r>
    </w:p>
    <w:p>
      <w:pPr>
        <w:jc w:val="both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PR控制的设定有问题，比较前面两种后者转矩的输出震荡性大，而且输出的Iabc三相电流为非正弦信号，不满足使用条件。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1135" cy="1927860"/>
            <wp:effectExtent l="0" t="0" r="190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410460"/>
            <wp:effectExtent l="0" t="0" r="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PR控制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63190"/>
            <wp:effectExtent l="0" t="0" r="4445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PR控制—</w:t>
      </w:r>
      <w:r>
        <w:rPr>
          <w:rFonts w:hint="eastAsia"/>
          <w:lang w:val="en-US" w:eastAsia="zh-CN"/>
        </w:rPr>
        <w:t>采用传函的方式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4150" cy="2533650"/>
            <wp:effectExtent l="0" t="0" r="8890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PR控制—</w:t>
      </w:r>
      <w:r>
        <w:rPr>
          <w:rFonts w:hint="eastAsia"/>
          <w:lang w:val="en-US" w:eastAsia="zh-CN"/>
        </w:rPr>
        <w:t>无转速、无转矩、直流电流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4654550"/>
            <wp:effectExtent l="0" t="0" r="2540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E2240"/>
    <w:rsid w:val="05855B18"/>
    <w:rsid w:val="10F22F49"/>
    <w:rsid w:val="25BF78D5"/>
    <w:rsid w:val="3A4A076E"/>
    <w:rsid w:val="42741CFA"/>
    <w:rsid w:val="43237710"/>
    <w:rsid w:val="49D66262"/>
    <w:rsid w:val="4A8C1355"/>
    <w:rsid w:val="669E2240"/>
    <w:rsid w:val="720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2018-11-11T11:17:00Z</dcterms:created>
  <dc:creator>少兴</dc:creator>
  <cp:lastModifiedBy>shaoxing</cp:lastModifiedBy>
  <dcterms:modified xsi:type="dcterms:W3CDTF">2019-02-01T02:38:05Z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