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89" w:rsidRDefault="000B1189" w:rsidP="000B1189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color w:val="0000EE"/>
        </w:rPr>
        <w:drawing>
          <wp:inline distT="0" distB="0" distL="0" distR="0">
            <wp:extent cx="1429385" cy="351155"/>
            <wp:effectExtent l="0" t="0" r="0" b="0"/>
            <wp:docPr id="7" name="Grafik 7" descr="synolog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olog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742"/>
        </w:rPr>
        <w:t> </w:t>
      </w:r>
      <w:r>
        <w:rPr>
          <w:rFonts w:ascii="Segoe UI" w:hAnsi="Segoe UI" w:cs="Segoe UI"/>
        </w:rPr>
        <w:t xml:space="preserve">   </w:t>
      </w:r>
      <w:r>
        <w:rPr>
          <w:rFonts w:ascii="Arial" w:hAnsi="Arial" w:cs="Arial"/>
          <w:color w:val="2E3742"/>
        </w:rPr>
        <w:t> </w:t>
      </w:r>
      <w:r>
        <w:rPr>
          <w:rFonts w:ascii="Segoe UI" w:hAnsi="Segoe UI" w:cs="Segoe UI"/>
        </w:rPr>
        <w:t xml:space="preserve"> </w:t>
      </w:r>
    </w:p>
    <w:tbl>
      <w:tblPr>
        <w:tblW w:w="56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spacing w:line="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6285230" cy="3618865"/>
                  <wp:effectExtent l="0" t="0" r="1270" b="635"/>
                  <wp:docPr id="6" name="Grafik 6" descr="https://fileres.synology.com/images/enews/mip/under10000/9046/banner_ProductivitySa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ileres.synology.com/images/enews/mip/under10000/9046/banner_ProductivitySa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5230" cy="361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189" w:rsidTr="000B1189">
        <w:trPr>
          <w:trHeight w:val="386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2E3742"/>
                <w:sz w:val="39"/>
                <w:szCs w:val="39"/>
              </w:rPr>
              <w:t>Produktivität SaaS verändert sich: ein Weckruf für Ihr Unternehmen</w:t>
            </w:r>
          </w:p>
        </w:tc>
      </w:tr>
      <w:tr w:rsidR="000B1189" w:rsidTr="000B1189">
        <w:trPr>
          <w:trHeight w:val="150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spacing w:line="150" w:lineRule="atLeast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E3742"/>
              </w:rPr>
              <w:t>Microsofts neue Einschränkungen für Microsoft 365 für Bildungseinrichtungen—einschließlich reduzierter Speicherplatz, höherer Abonnementkosten und der Einstellung von Desktop-Apps—sind nicht nur auf Microsoft beschränkt. SaaS-Produktivitätslösungen stehen vor ähnlichen Herausforderungen, einschließlich steigender Kosten, begrenzter Kontrolle über Daten und Abhängigkeit von Drittanbieterplattformen.</w:t>
            </w:r>
          </w:p>
        </w:tc>
      </w:tr>
      <w:tr w:rsidR="000B1189" w:rsidTr="000B1189">
        <w:trPr>
          <w:trHeight w:val="300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6"/>
            </w:tblGrid>
            <w:tr w:rsidR="000B1189">
              <w:trPr>
                <w:trHeight w:val="343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  <w:hyperlink r:id="rId8" w:history="1">
                    <w:r>
                      <w:rPr>
                        <w:rStyle w:val="Hyperlink"/>
                        <w:rFonts w:ascii="Segoe UI" w:hAnsi="Segoe UI" w:cs="Segoe UI"/>
                        <w:color w:val="FFFFFF"/>
                        <w:u w:val="none"/>
                        <w:shd w:val="clear" w:color="auto" w:fill="0067E6"/>
                      </w:rPr>
                      <w:t>Den Blog lesen</w:t>
                    </w:r>
                  </w:hyperlink>
                </w:p>
              </w:tc>
            </w:tr>
          </w:tbl>
          <w:p w:rsidR="000B1189" w:rsidRDefault="000B1189">
            <w:pPr>
              <w:jc w:val="center"/>
              <w:rPr>
                <w:rFonts w:ascii="Segoe UI" w:hAnsi="Segoe UI" w:cs="Segoe UI"/>
              </w:rPr>
            </w:pPr>
          </w:p>
        </w:tc>
      </w:tr>
      <w:tr w:rsidR="000B1189" w:rsidTr="000B1189">
        <w:trPr>
          <w:trHeight w:val="471"/>
          <w:tblCellSpacing w:w="0" w:type="dxa"/>
        </w:trPr>
        <w:tc>
          <w:tcPr>
            <w:tcW w:w="0" w:type="auto"/>
            <w:vAlign w:val="center"/>
            <w:hideMark/>
          </w:tcPr>
          <w:p w:rsidR="000B1189" w:rsidRDefault="000B11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</w:tbl>
    <w:p w:rsidR="000B1189" w:rsidRDefault="000B1189" w:rsidP="000B1189">
      <w:pPr>
        <w:rPr>
          <w:rFonts w:ascii="Segoe UI" w:hAnsi="Segoe UI" w:cs="Segoe UI"/>
        </w:rPr>
      </w:pPr>
      <w:r>
        <w:rPr>
          <w:rFonts w:ascii="Arial" w:hAnsi="Arial" w:cs="Arial"/>
          <w:color w:val="2E3742"/>
        </w:rPr>
        <w:t> </w:t>
      </w:r>
      <w:r>
        <w:rPr>
          <w:rFonts w:ascii="Segoe UI" w:hAnsi="Segoe UI" w:cs="Segoe UI"/>
        </w:rPr>
        <w:t xml:space="preserve"> </w:t>
      </w:r>
    </w:p>
    <w:tbl>
      <w:tblPr>
        <w:tblW w:w="56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3"/>
      </w:tblGrid>
      <w:tr w:rsidR="000B1189" w:rsidTr="000B1189">
        <w:trPr>
          <w:trHeight w:val="429"/>
          <w:tblCellSpacing w:w="0" w:type="dxa"/>
        </w:trPr>
        <w:tc>
          <w:tcPr>
            <w:tcW w:w="0" w:type="auto"/>
            <w:vAlign w:val="center"/>
            <w:hideMark/>
          </w:tcPr>
          <w:p w:rsidR="000B1189" w:rsidRDefault="000B11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4288155" cy="953135"/>
                  <wp:effectExtent l="0" t="0" r="0" b="0"/>
                  <wp:docPr id="5" name="Grafik 5" descr="https://fileres.synology.com/images/enews/mip/under10000/9046/img_Instit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ileres.synology.com/images/enews/mip/under10000/9046/img_Instit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15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spacing w:line="75" w:lineRule="atLeast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2E3742"/>
                <w:sz w:val="39"/>
                <w:szCs w:val="39"/>
              </w:rPr>
              <w:t xml:space="preserve">Warum wechseln Institutionen zur </w:t>
            </w:r>
            <w:proofErr w:type="spellStart"/>
            <w:r>
              <w:rPr>
                <w:rFonts w:ascii="Segoe UI" w:hAnsi="Segoe UI" w:cs="Segoe UI"/>
                <w:b/>
                <w:bCs/>
                <w:color w:val="2E3742"/>
                <w:sz w:val="39"/>
                <w:szCs w:val="39"/>
              </w:rPr>
              <w:lastRenderedPageBreak/>
              <w:t>Synology</w:t>
            </w:r>
            <w:proofErr w:type="spellEnd"/>
            <w:r>
              <w:rPr>
                <w:rFonts w:ascii="Segoe UI" w:hAnsi="Segoe UI" w:cs="Segoe UI"/>
                <w:b/>
                <w:bCs/>
                <w:color w:val="2E3742"/>
                <w:sz w:val="39"/>
                <w:szCs w:val="39"/>
              </w:rPr>
              <w:t xml:space="preserve"> Office Suite?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E3742"/>
              </w:rPr>
              <w:t xml:space="preserve">Mit über 18 Millionen Nutzern und Tausenden von Unternehmen bis heute haben unsere Lösungen, von </w:t>
            </w:r>
            <w:proofErr w:type="spellStart"/>
            <w:r>
              <w:rPr>
                <w:rFonts w:ascii="Segoe UI" w:hAnsi="Segoe UI" w:cs="Segoe UI"/>
                <w:color w:val="2E3742"/>
              </w:rPr>
              <w:t>Synology</w:t>
            </w:r>
            <w:proofErr w:type="spellEnd"/>
            <w:r>
              <w:rPr>
                <w:rFonts w:ascii="Segoe UI" w:hAnsi="Segoe UI" w:cs="Segoe UI"/>
                <w:color w:val="2E3742"/>
              </w:rPr>
              <w:t xml:space="preserve"> Drive bis </w:t>
            </w:r>
            <w:proofErr w:type="spellStart"/>
            <w:r>
              <w:rPr>
                <w:rFonts w:ascii="Segoe UI" w:hAnsi="Segoe UI" w:cs="Segoe UI"/>
                <w:color w:val="2E3742"/>
              </w:rPr>
              <w:t>Synology</w:t>
            </w:r>
            <w:proofErr w:type="spellEnd"/>
            <w:r>
              <w:rPr>
                <w:rFonts w:ascii="Segoe UI" w:hAnsi="Segoe UI" w:cs="Segoe UI"/>
                <w:color w:val="2E374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E3742"/>
              </w:rPr>
              <w:t>MailPlus</w:t>
            </w:r>
            <w:proofErr w:type="spellEnd"/>
            <w:r>
              <w:rPr>
                <w:rFonts w:ascii="Segoe UI" w:hAnsi="Segoe UI" w:cs="Segoe UI"/>
                <w:color w:val="2E3742"/>
              </w:rPr>
              <w:t>, im letzten Jahrzehnt ein enormes Wachstum erlebt und allein 2024 ein Wachstum von mehr als 20% verzeichnet.</w:t>
            </w:r>
          </w:p>
        </w:tc>
      </w:tr>
      <w:tr w:rsidR="000B1189" w:rsidTr="000B1189">
        <w:trPr>
          <w:trHeight w:val="300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657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7"/>
              <w:gridCol w:w="343"/>
              <w:gridCol w:w="2657"/>
            </w:tblGrid>
            <w:tr w:rsidR="000B1189">
              <w:trPr>
                <w:tblCellSpacing w:w="0" w:type="dxa"/>
                <w:jc w:val="center"/>
              </w:trPr>
              <w:tc>
                <w:tcPr>
                  <w:tcW w:w="2657" w:type="dxa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7"/>
                  </w:tblGrid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0" w:lineRule="auto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noProof/>
                          </w:rPr>
                          <w:drawing>
                            <wp:inline distT="0" distB="0" distL="0" distR="0">
                              <wp:extent cx="611505" cy="611505"/>
                              <wp:effectExtent l="0" t="0" r="0" b="0"/>
                              <wp:docPr id="4" name="Grafik 4" descr="https://fileres.synology.com/images/enews/mip/under10000/9046/0114/icon_complet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fileres.synology.com/images/enews/mip/under10000/9046/0114/icon_complet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1505" cy="611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5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E3742"/>
                            <w:sz w:val="27"/>
                            <w:szCs w:val="27"/>
                          </w:rPr>
                          <w:t>Vollständige Datenhoheit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8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24"/>
                        </w:tblGrid>
                        <w:tr w:rsidR="000B118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1189" w:rsidRDefault="000B1189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E3742"/>
                                </w:rPr>
                                <w:t>Vor-Ort-Daten geben Ihnen die vollständige Kontrolle, wobei Verschlüsselung und MFA sicherstellen, dass sensible Daten sicher bleiben.</w:t>
                              </w:r>
                            </w:p>
                          </w:tc>
                        </w:tr>
                      </w:tbl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</w:tbl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43" w:type="dxa"/>
                  <w:hideMark/>
                </w:tcPr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 </w:t>
                  </w:r>
                </w:p>
              </w:tc>
              <w:tc>
                <w:tcPr>
                  <w:tcW w:w="2657" w:type="dxa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7"/>
                  </w:tblGrid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0" w:lineRule="auto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noProof/>
                          </w:rPr>
                          <w:drawing>
                            <wp:inline distT="0" distB="0" distL="0" distR="0">
                              <wp:extent cx="611505" cy="611505"/>
                              <wp:effectExtent l="0" t="0" r="0" b="0"/>
                              <wp:docPr id="3" name="Grafik 3" descr="https://fileres.synology.com/images/enews/mip/under10000/9046/0114/icon_one-tim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fileres.synology.com/images/enews/mip/under10000/9046/0114/icon_one-tim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1505" cy="611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5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E3742"/>
                            <w:sz w:val="27"/>
                            <w:szCs w:val="27"/>
                          </w:rPr>
                          <w:t>Einmalige Investition, langfristige Einsparungen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8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24"/>
                        </w:tblGrid>
                        <w:tr w:rsidR="000B118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1189" w:rsidRDefault="000B1189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E3742"/>
                                </w:rPr>
                                <w:t>Genießen Sie flexibles Speicherwachstum ohne die Einschränkungen von SaaS-Plänen oder steigende Abonnementkosten.</w:t>
                              </w:r>
                            </w:p>
                          </w:tc>
                        </w:tr>
                      </w:tbl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</w:tbl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0B1189" w:rsidRDefault="000B1189">
            <w:pPr>
              <w:jc w:val="center"/>
              <w:rPr>
                <w:rFonts w:ascii="Segoe UI" w:hAnsi="Segoe UI" w:cs="Segoe UI"/>
              </w:rPr>
            </w:pPr>
          </w:p>
        </w:tc>
      </w:tr>
      <w:tr w:rsidR="000B1189" w:rsidTr="000B1189">
        <w:trPr>
          <w:trHeight w:val="300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657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  <w:gridCol w:w="261"/>
              <w:gridCol w:w="2966"/>
            </w:tblGrid>
            <w:tr w:rsidR="000B1189">
              <w:trPr>
                <w:tblCellSpacing w:w="0" w:type="dxa"/>
                <w:jc w:val="center"/>
              </w:trPr>
              <w:tc>
                <w:tcPr>
                  <w:tcW w:w="2657" w:type="dxa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0"/>
                  </w:tblGrid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0" w:lineRule="auto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noProof/>
                          </w:rPr>
                          <w:drawing>
                            <wp:inline distT="0" distB="0" distL="0" distR="0">
                              <wp:extent cx="611505" cy="611505"/>
                              <wp:effectExtent l="0" t="0" r="0" b="0"/>
                              <wp:docPr id="2" name="Grafik 2" descr="https://fileres.synology.com/images/enews/mip/under10000/9046/0114/icon_complianc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fileres.synology.com/images/enews/mip/under10000/9046/0114/icon_complianc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1505" cy="611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5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E3742"/>
                            <w:sz w:val="27"/>
                            <w:szCs w:val="27"/>
                          </w:rPr>
                          <w:t>Compliance leicht gemacht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8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09"/>
                        </w:tblGrid>
                        <w:tr w:rsidR="000B118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1189" w:rsidRDefault="000B1189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E3742"/>
                                </w:rPr>
                                <w:t>Zentrale Verwaltungstools, prüfbereite Protokolle und sichere Zugriffskontrollen helfen, regulatorische Anforderungen zu erfüllen.</w:t>
                              </w:r>
                            </w:p>
                          </w:tc>
                        </w:tr>
                      </w:tbl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</w:tbl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343" w:type="dxa"/>
                  <w:hideMark/>
                </w:tcPr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 </w:t>
                  </w:r>
                </w:p>
              </w:tc>
              <w:tc>
                <w:tcPr>
                  <w:tcW w:w="2657" w:type="dxa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66"/>
                  </w:tblGrid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0" w:lineRule="auto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noProof/>
                          </w:rPr>
                          <w:drawing>
                            <wp:inline distT="0" distB="0" distL="0" distR="0">
                              <wp:extent cx="611505" cy="611505"/>
                              <wp:effectExtent l="0" t="0" r="0" b="0"/>
                              <wp:docPr id="1" name="Grafik 1" descr="https://fileres.synology.com/images/enews/mip/under10000/9046/0114/icon_secu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fileres.synology.com/images/enews/mip/under10000/9046/0114/icon_secu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1505" cy="611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5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E3742"/>
                            <w:sz w:val="27"/>
                            <w:szCs w:val="27"/>
                          </w:rPr>
                          <w:t>Sichere und schnelle Intranet-Zusammenarbeit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0B1189" w:rsidRDefault="000B1189">
                        <w:pPr>
                          <w:spacing w:line="180" w:lineRule="atLeast"/>
                          <w:jc w:val="center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 </w:t>
                        </w:r>
                      </w:p>
                    </w:tc>
                  </w:tr>
                  <w:tr w:rsidR="000B1189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6"/>
                        </w:tblGrid>
                        <w:tr w:rsidR="000B118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1189" w:rsidRDefault="000B1189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E3742"/>
                                </w:rPr>
                                <w:t>Nutzen Sie lokale Netzwerkgeschwindigkeiten für schnellen Datei-Upload und -Transfer in einer sicheren privaten Cloud-Umgebung.</w:t>
                              </w:r>
                            </w:p>
                          </w:tc>
                        </w:tr>
                      </w:tbl>
                      <w:p w:rsidR="000B1189" w:rsidRDefault="000B1189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</w:tbl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0B1189" w:rsidRDefault="000B1189">
            <w:pPr>
              <w:jc w:val="center"/>
              <w:rPr>
                <w:rFonts w:ascii="Segoe UI" w:hAnsi="Segoe UI" w:cs="Segoe UI"/>
              </w:rPr>
            </w:pPr>
          </w:p>
        </w:tc>
      </w:tr>
      <w:tr w:rsidR="000B1189" w:rsidTr="000B1189">
        <w:trPr>
          <w:trHeight w:val="300"/>
          <w:tblCellSpacing w:w="0" w:type="dxa"/>
        </w:trPr>
        <w:tc>
          <w:tcPr>
            <w:tcW w:w="0" w:type="auto"/>
            <w:hideMark/>
          </w:tcPr>
          <w:p w:rsidR="000B1189" w:rsidRDefault="000B118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 </w:t>
            </w:r>
          </w:p>
        </w:tc>
      </w:tr>
      <w:tr w:rsidR="000B1189" w:rsidTr="000B11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0B1189">
              <w:trPr>
                <w:trHeight w:val="343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1189" w:rsidRDefault="000B1189">
                  <w:pPr>
                    <w:jc w:val="center"/>
                    <w:rPr>
                      <w:rFonts w:ascii="Segoe UI" w:hAnsi="Segoe UI" w:cs="Segoe UI"/>
                    </w:rPr>
                  </w:pPr>
                  <w:hyperlink r:id="rId14" w:history="1">
                    <w:r>
                      <w:rPr>
                        <w:rStyle w:val="Hyperlink"/>
                        <w:rFonts w:ascii="Segoe UI" w:hAnsi="Segoe UI" w:cs="Segoe UI"/>
                        <w:color w:val="FFFFFF"/>
                        <w:u w:val="none"/>
                        <w:shd w:val="clear" w:color="auto" w:fill="0067E6"/>
                      </w:rPr>
                      <w:t xml:space="preserve">Erfahren Sie mehr über die </w:t>
                    </w:r>
                    <w:proofErr w:type="spellStart"/>
                    <w:r>
                      <w:rPr>
                        <w:rStyle w:val="Hyperlink"/>
                        <w:rFonts w:ascii="Segoe UI" w:hAnsi="Segoe UI" w:cs="Segoe UI"/>
                        <w:color w:val="FFFFFF"/>
                        <w:u w:val="none"/>
                        <w:shd w:val="clear" w:color="auto" w:fill="0067E6"/>
                      </w:rPr>
                      <w:t>Synology</w:t>
                    </w:r>
                    <w:proofErr w:type="spellEnd"/>
                    <w:r>
                      <w:rPr>
                        <w:rStyle w:val="Hyperlink"/>
                        <w:rFonts w:ascii="Segoe UI" w:hAnsi="Segoe UI" w:cs="Segoe UI"/>
                        <w:color w:val="FFFFFF"/>
                        <w:u w:val="none"/>
                        <w:shd w:val="clear" w:color="auto" w:fill="0067E6"/>
                      </w:rPr>
                      <w:t xml:space="preserve"> Office Suite</w:t>
                    </w:r>
                  </w:hyperlink>
                </w:p>
              </w:tc>
              <w:bookmarkStart w:id="0" w:name="_GoBack"/>
              <w:bookmarkEnd w:id="0"/>
            </w:tr>
          </w:tbl>
          <w:p w:rsidR="000B1189" w:rsidRDefault="000B1189">
            <w:pPr>
              <w:jc w:val="center"/>
              <w:rPr>
                <w:rFonts w:ascii="Segoe UI" w:hAnsi="Segoe UI" w:cs="Segoe UI"/>
              </w:rPr>
            </w:pPr>
          </w:p>
        </w:tc>
      </w:tr>
      <w:tr w:rsidR="000B1189" w:rsidTr="000B1189">
        <w:trPr>
          <w:trHeight w:val="429"/>
          <w:tblCellSpacing w:w="0" w:type="dxa"/>
        </w:trPr>
        <w:tc>
          <w:tcPr>
            <w:tcW w:w="0" w:type="auto"/>
            <w:vAlign w:val="center"/>
            <w:hideMark/>
          </w:tcPr>
          <w:p w:rsidR="000B1189" w:rsidRDefault="000B11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 </w:t>
            </w:r>
          </w:p>
        </w:tc>
      </w:tr>
    </w:tbl>
    <w:p w:rsidR="00582E5B" w:rsidRDefault="00582E5B"/>
    <w:sectPr w:rsidR="00582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89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B1189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1189"/>
    <w:rPr>
      <w:color w:val="0000EE"/>
      <w:u w:val="single"/>
    </w:rPr>
  </w:style>
  <w:style w:type="paragraph" w:styleId="Sprechblasentext">
    <w:name w:val="Balloon Text"/>
    <w:basedOn w:val="Standard"/>
    <w:link w:val="SprechblasentextZchn"/>
    <w:rsid w:val="000B11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B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1189"/>
    <w:rPr>
      <w:color w:val="0000EE"/>
      <w:u w:val="single"/>
    </w:rPr>
  </w:style>
  <w:style w:type="paragraph" w:styleId="Sprechblasentext">
    <w:name w:val="Balloon Text"/>
    <w:basedOn w:val="Standard"/>
    <w:link w:val="SprechblasentextZchn"/>
    <w:rsid w:val="000B11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B1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ews.synology.com/t?c_id=f979eaab-7ba1-4854-b5e1-55d16a6e56c8&amp;t_k=af3ec2dd-0b00-42f6-9e0b-c40df662757b&amp;s_id=dc7281a6-c15d-46ce-8fb3-4138fe4b80e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news.synology.com/t?c_id=f979eaab-7ba1-4854-b5e1-55d16a6e56c8&amp;t_k=deceab0a-2b90-496b-a3c3-cc7c9c10f093&amp;s_id=dc7281a6-c15d-46ce-8fb3-4138fe4b80e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ews.synology.com/t?c_id=f979eaab-7ba1-4854-b5e1-55d16a6e56c8&amp;t_k=61912b66-53f3-4f80-bc81-f71cb80bfd8d&amp;s_id=dc7281a6-c15d-46ce-8fb3-4138fe4b80e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1</cp:revision>
  <dcterms:created xsi:type="dcterms:W3CDTF">2025-01-16T08:43:00Z</dcterms:created>
  <dcterms:modified xsi:type="dcterms:W3CDTF">2025-01-16T08:45:00Z</dcterms:modified>
</cp:coreProperties>
</file>