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jpg"/>
  <Override PartName="/word/media/image2.jpg" ContentType="image/jpg"/>
  <Override PartName="/word/media/image3.jpg" ContentType="image/jpg"/>
  <Override PartName="/word/media/image4.jpg" ContentType="image/jpg"/>
  <Override PartName="/word/media/image5.jpg" ContentType="image/jpg"/>
  <Override PartName="/word/media/image6.jpg" ContentType="image/jpg"/>
  <Override PartName="/word/media/image7.jpg" ContentType="image/jp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pageBreakBefore w:val="false"/>
        <w:spacing w:before="0" w:after="0" w:line="485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42"/>
          <w:vertAlign w:val="baseline"/>
          <w:lang w:val="de-DE"/>
        </w:rPr>
      </w:pPr>
      <w:r>
        <w:rPr>
          <w:rFonts w:ascii="Arial" w:hAnsi="Arial" w:eastAsia="Arial"/>
          <w:b w:val="true"/>
          <w:color w:val="000000"/>
          <w:spacing w:val="0"/>
          <w:w w:val="100"/>
          <w:sz w:val="42"/>
          <w:vertAlign w:val="baseline"/>
          <w:lang w:val="de-DE"/>
        </w:rPr>
        <w:t xml:space="preserve">Teure Wafer bescheren TSMC ein Rekordjahr</w:t>
      </w:r>
    </w:p>
    <w:p>
      <w:pPr>
        <w:pageBreakBefore w:val="false"/>
        <w:spacing w:before="309" w:after="339" w:line="274" w:lineRule="exact"/>
        <w:ind w:right="0" w:left="144" w:firstLine="0"/>
        <w:jc w:val="left"/>
        <w:textAlignment w:val="baseline"/>
        <w:rPr>
          <w:rFonts w:ascii="Arial" w:hAnsi="Arial" w:eastAsia="Arial"/>
          <w:color w:val="AEA899"/>
          <w:spacing w:val="0"/>
          <w:w w:val="100"/>
          <w:sz w:val="24"/>
          <w:vertAlign w:val="baseline"/>
          <w:lang w:val="de-DE"/>
        </w:rPr>
      </w:pPr>
      <w:r>
        <w:rPr>
          <w:rFonts w:ascii="Arial" w:hAnsi="Arial" w:eastAsia="Arial"/>
          <w:color w:val="AEA899"/>
          <w:spacing w:val="0"/>
          <w:w w:val="100"/>
          <w:sz w:val="24"/>
          <w:vertAlign w:val="baseline"/>
          <w:lang w:val="de-DE"/>
        </w:rPr>
        <w:t xml:space="preserve">1.</w:t>
      </w:r>
      <w:r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  <w:t xml:space="preserve"> Teure Wafer bescheren TSMC ein Rekordjahr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79"/>
        <w:gridCol w:w="9621"/>
      </w:tblGrid>
      <w:tr>
        <w:trPr>
          <w:trHeight w:val="1087" w:hRule="exact"/>
        </w:trPr>
        <w:tc>
          <w:tcPr>
            <w:tcW w:w="279" w:type="auto"/>
            <w:gridSpan w:val="1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textDirection w:val="lrTb"/>
            <w:vAlign w:val="top"/>
          </w:tcPr>
          <w:p>
            <w:pPr>
              <w:pageBreakBefore w:val="false"/>
              <w:spacing w:before="39" w:after="16" w:line="240" w:lineRule="auto"/>
              <w:ind w:right="0" w:left="202"/>
              <w:jc w:val="right"/>
              <w:textAlignment w:val="baseline"/>
            </w:pPr>
            <w:r>
              <w:drawing>
                <wp:inline>
                  <wp:extent cx="48895" cy="554990"/>
                  <wp:docPr name="Picture" id="1"/>
                  <a:graphic>
                    <a:graphicData uri="http://schemas.openxmlformats.org/drawingml/2006/picture">
                      <pic:pic>
                        <pic:nvPicPr>
                          <pic:cNvPr id="1" name="Picture"/>
                          <pic:cNvPicPr preferRelativeResize="false"/>
                        </pic:nvPicPr>
                        <pic:blipFill>
                          <a:blip r:embed="p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" cy="5549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0" w:type="auto"/>
            <w:gridSpan w:val="1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74" w:lineRule="exact"/>
              <w:ind w:right="0" w:left="144" w:firstLine="0"/>
              <w:jc w:val="left"/>
              <w:textAlignment w:val="baseline"/>
              <w:rPr>
                <w:rFonts w:ascii="Arial" w:hAnsi="Arial" w:eastAsia="Arial"/>
                <w:color w:val="895CF4"/>
                <w:spacing w:val="0"/>
                <w:w w:val="100"/>
                <w:sz w:val="24"/>
                <w:u w:val="single"/>
                <w:vertAlign w:val="baseline"/>
                <w:lang w:val="de-DE"/>
              </w:rPr>
            </w:pPr>
            <w:hyperlink r:id="dhId1">
              <w:r>
                <w:rPr>
                  <w:rFonts w:ascii="Arial" w:hAnsi="Arial" w:eastAsia="Arial"/>
                  <w:color w:val="0000FF"/>
                  <w:spacing w:val="0"/>
                  <w:w w:val="100"/>
                  <w:sz w:val="24"/>
                  <w:u w:val="single"/>
                  <w:vertAlign w:val="baseline"/>
                  <w:lang w:val="de-DE"/>
                </w:rPr>
                <w:t xml:space="preserve">Viele teure Wafer</w:t>
              </w:r>
            </w:hyperlink>
            <w:r>
              <w:rPr>
                <w:rFonts w:ascii="Arial" w:hAnsi="Arial" w:eastAsia="Arial"/>
                <w:color w:val="895CF4"/>
                <w:spacing w:val="0"/>
                <w:w w:val="100"/>
                <w:sz w:val="24"/>
                <w:u w:val="single"/>
                <w:vertAlign w:val="baseline"/>
                <w:lang w:val="de-DE"/>
              </w:rPr>
              <w:t xml:space="preserve">
</w:t>
            </w:r>
          </w:p>
          <w:p>
            <w:pPr>
              <w:pageBreakBefore w:val="false"/>
              <w:spacing w:before="134" w:after="0" w:line="274" w:lineRule="exact"/>
              <w:ind w:right="0" w:left="144" w:firstLine="0"/>
              <w:jc w:val="left"/>
              <w:textAlignment w:val="baseline"/>
              <w:rPr>
                <w:rFonts w:ascii="Arial" w:hAnsi="Arial" w:eastAsia="Arial"/>
                <w:color w:val="895CF4"/>
                <w:spacing w:val="0"/>
                <w:w w:val="100"/>
                <w:sz w:val="24"/>
                <w:u w:val="single"/>
                <w:vertAlign w:val="baseline"/>
                <w:lang w:val="de-DE"/>
              </w:rPr>
            </w:pPr>
            <w:hyperlink r:id="dhId2">
              <w:r>
                <w:rPr>
                  <w:rFonts w:ascii="Arial" w:hAnsi="Arial" w:eastAsia="Arial"/>
                  <w:color w:val="0000FF"/>
                  <w:spacing w:val="0"/>
                  <w:w w:val="100"/>
                  <w:sz w:val="24"/>
                  <w:u w:val="single"/>
                  <w:vertAlign w:val="baseline"/>
                  <w:lang w:val="de-DE"/>
                </w:rPr>
                <w:t xml:space="preserve">KI ist Köni</w:t>
              </w:r>
            </w:hyperlink>
            <w:r>
              <w:rPr>
                <w:rFonts w:ascii="Arial" w:hAnsi="Arial" w:eastAsia="Arial"/>
                <w:color w:val="0000FF"/>
                <w:spacing w:val="0"/>
                <w:w w:val="100"/>
                <w:sz w:val="24"/>
                <w:u w:val="single"/>
                <w:vertAlign w:val="baseline"/>
                <w:lang w:val="de-DE"/>
              </w:rPr>
              <w:t xml:space="preserve">g</w:t>
            </w:r>
            <w:r>
              <w:rPr>
                <w:rFonts w:ascii="Arial" w:hAnsi="Arial" w:eastAsia="Arial"/>
                <w:color w:val="895CF4"/>
                <w:spacing w:val="0"/>
                <w:w w:val="100"/>
                <w:sz w:val="24"/>
                <w:u w:val="single"/>
                <w:vertAlign w:val="baseline"/>
                <w:lang w:val="de-DE"/>
              </w:rPr>
              <w:t xml:space="preserve">
</w:t>
            </w:r>
          </w:p>
          <w:p>
            <w:pPr>
              <w:pageBreakBefore w:val="false"/>
              <w:spacing w:before="114" w:after="8" w:line="274" w:lineRule="exact"/>
              <w:ind w:right="0" w:left="144" w:firstLine="0"/>
              <w:jc w:val="left"/>
              <w:textAlignment w:val="baseline"/>
              <w:rPr>
                <w:rFonts w:ascii="Arial" w:hAnsi="Arial" w:eastAsia="Arial"/>
                <w:color w:val="895CF4"/>
                <w:spacing w:val="0"/>
                <w:w w:val="100"/>
                <w:sz w:val="24"/>
                <w:u w:val="single"/>
                <w:vertAlign w:val="baseline"/>
                <w:lang w:val="de-DE"/>
              </w:rPr>
            </w:pPr>
            <w:hyperlink r:id="dhId3">
              <w:r>
                <w:rPr>
                  <w:rFonts w:ascii="Arial" w:hAnsi="Arial" w:eastAsia="Arial"/>
                  <w:color w:val="0000FF"/>
                  <w:spacing w:val="0"/>
                  <w:w w:val="100"/>
                  <w:sz w:val="24"/>
                  <w:u w:val="single"/>
                  <w:vertAlign w:val="baseline"/>
                  <w:lang w:val="de-DE"/>
                </w:rPr>
                <w:t xml:space="preserve">Rosi</w:t>
              </w:r>
            </w:hyperlink>
            <w:r>
              <w:rPr>
                <w:rFonts w:ascii="Arial" w:hAnsi="Arial" w:eastAsia="Arial"/>
                <w:color w:val="0000FF"/>
                <w:spacing w:val="0"/>
                <w:w w:val="100"/>
                <w:sz w:val="24"/>
                <w:u w:val="single"/>
                <w:vertAlign w:val="baseline"/>
                <w:lang w:val="de-DE"/>
              </w:rPr>
              <w:t xml:space="preserve">g</w:t>
            </w:r>
            <w:r>
              <w:rPr>
                <w:rFonts w:ascii="Arial" w:hAnsi="Arial" w:eastAsia="Arial"/>
                <w:color w:val="0000FF"/>
                <w:spacing w:val="0"/>
                <w:w w:val="100"/>
                <w:sz w:val="24"/>
                <w:u w:val="single"/>
                <w:vertAlign w:val="baseline"/>
                <w:lang w:val="de-DE"/>
              </w:rPr>
              <w:t xml:space="preserve">er Ausblick entzückt die Börse</w:t>
            </w:r>
            <w:r>
              <w:rPr>
                <w:rFonts w:ascii="Arial" w:hAnsi="Arial" w:eastAsia="Arial"/>
                <w:color w:val="895CF4"/>
                <w:spacing w:val="0"/>
                <w:w w:val="100"/>
                <w:sz w:val="24"/>
                <w:u w:val="single"/>
                <w:vertAlign w:val="baseline"/>
                <w:lang w:val="de-DE"/>
              </w:rPr>
              <w:t xml:space="preserve">
</w:t>
            </w:r>
          </w:p>
        </w:tc>
      </w:tr>
    </w:tbl>
    <w:p>
      <w:pPr>
        <w:spacing w:before="0" w:after="304" w:line="20" w:lineRule="exact"/>
      </w:pPr>
    </w:p>
    <w:p>
      <w:pPr>
        <w:pageBreakBefore w:val="false"/>
        <w:spacing w:before="0" w:after="272" w:line="339" w:lineRule="exact"/>
        <w:ind w:right="288" w:left="0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</w:pPr>
      <w:r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  <w:t xml:space="preserve">Dem weltweit größten Chipauftragsfertiger geht es so prächtig wie noch nie. Gut 90 Milliarden US-Dollar hat TSMC im Jahr 2024 umgesetzt. Das sind 19 Prozent mehr als</w:t>
      </w:r>
      <w:r>
        <w:rPr>
          <w:rFonts w:ascii="Arial" w:hAnsi="Arial" w:eastAsia="Arial"/>
          <w:color w:val="895CF4"/>
          <w:spacing w:val="0"/>
          <w:w w:val="100"/>
          <w:sz w:val="24"/>
          <w:u w:val="single"/>
          <w:vertAlign w:val="baseline"/>
          <w:lang w:val="de-DE"/>
        </w:rPr>
        <w:t xml:space="preserve"> </w:t>
      </w:r>
      <w:hyperlink r:id="dhId4">
        <w:r>
          <w:rPr>
            <w:rFonts w:ascii="Arial" w:hAnsi="Arial" w:eastAsia="Arial"/>
            <w:color w:val="0000FF"/>
            <w:spacing w:val="0"/>
            <w:w w:val="100"/>
            <w:sz w:val="24"/>
            <w:u w:val="single"/>
            <w:vertAlign w:val="baseline"/>
            <w:lang w:val="de-DE"/>
          </w:rPr>
          <w:t xml:space="preserve">im</w:t>
        </w:r>
      </w:hyperlink>
      <w:r>
        <w:rPr>
          <w:rFonts w:ascii="Arial" w:hAnsi="Arial" w:eastAsia="Arial"/>
          <w:color w:val="895CF4"/>
          <w:spacing w:val="0"/>
          <w:w w:val="100"/>
          <w:sz w:val="24"/>
          <w:u w:val="single"/>
          <w:vertAlign w:val="baseline"/>
          <w:lang w:val="de-DE"/>
        </w:rPr>
        <w:t xml:space="preserve"> </w:t>
      </w:r>
      <w:hyperlink r:id="dhId5">
        <w:r>
          <w:rPr>
            <w:rFonts w:ascii="Arial" w:hAnsi="Arial" w:eastAsia="Arial"/>
            <w:color w:val="0000FF"/>
            <w:spacing w:val="0"/>
            <w:w w:val="100"/>
            <w:sz w:val="24"/>
            <w:u w:val="single"/>
            <w:vertAlign w:val="baseline"/>
            <w:lang w:val="de-DE"/>
          </w:rPr>
          <w:t xml:space="preserve"> bisheri</w:t>
        </w:r>
      </w:hyperlink>
      <w:r>
        <w:rPr>
          <w:rFonts w:ascii="Arial" w:hAnsi="Arial" w:eastAsia="Arial"/>
          <w:color w:val="0000FF"/>
          <w:spacing w:val="0"/>
          <w:w w:val="100"/>
          <w:sz w:val="24"/>
          <w:u w:val="single"/>
          <w:vertAlign w:val="baseline"/>
          <w:lang w:val="de-DE"/>
        </w:rPr>
        <w:t xml:space="preserve">g</w:t>
      </w:r>
      <w:r>
        <w:rPr>
          <w:rFonts w:ascii="Arial" w:hAnsi="Arial" w:eastAsia="Arial"/>
          <w:color w:val="0000FF"/>
          <w:spacing w:val="0"/>
          <w:w w:val="100"/>
          <w:sz w:val="24"/>
          <w:u w:val="single"/>
          <w:vertAlign w:val="baseline"/>
          <w:lang w:val="de-DE"/>
        </w:rPr>
        <w:t xml:space="preserve">en Rekord</w:t>
      </w:r>
      <w:r>
        <w:rPr>
          <w:rFonts w:ascii="Arial" w:hAnsi="Arial" w:eastAsia="Arial"/>
          <w:color w:val="0000FF"/>
          <w:spacing w:val="0"/>
          <w:w w:val="100"/>
          <w:sz w:val="24"/>
          <w:u w:val="single"/>
          <w:vertAlign w:val="baseline"/>
          <w:lang w:val="de-DE"/>
        </w:rPr>
        <w:t xml:space="preserve">j</w:t>
      </w:r>
      <w:r>
        <w:rPr>
          <w:rFonts w:ascii="Arial" w:hAnsi="Arial" w:eastAsia="Arial"/>
          <w:color w:val="0000FF"/>
          <w:spacing w:val="0"/>
          <w:w w:val="100"/>
          <w:sz w:val="24"/>
          <w:u w:val="single"/>
          <w:vertAlign w:val="baseline"/>
          <w:lang w:val="de-DE"/>
        </w:rPr>
        <w:t xml:space="preserve">ahr 2022</w:t>
      </w:r>
      <w:r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  <w:t xml:space="preserve"> und 30 Prozent mehr als im schwächelnden Jahr 2023, als es der ganzen Industrie schlechter ging.</w:t>
      </w:r>
    </w:p>
    <w:p>
      <w:pPr>
        <w:pageBreakBefore w:val="false"/>
        <w:spacing w:before="0" w:after="378" w:line="240" w:lineRule="auto"/>
        <w:ind w:right="7" w:left="0"/>
        <w:jc w:val="left"/>
        <w:textAlignment w:val="baseline"/>
      </w:pPr>
      <w:r>
        <w:drawing>
          <wp:inline>
            <wp:extent cx="6282055" cy="3535680"/>
            <wp:docPr name="Picture" id="2"/>
            <a:graphic>
              <a:graphicData uri="http://schemas.openxmlformats.org/drawingml/2006/picture">
                <pic:pic>
                  <pic:nvPicPr>
                    <pic:cNvPr id="2" name="Picture"/>
                    <pic:cNvPicPr preferRelativeResize="false"/>
                  </pic:nvPicPr>
                  <pic:blipFill>
                    <a:blip r:embed="prId2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ageBreakBefore w:val="false"/>
        <w:spacing w:before="2" w:after="0" w:line="274" w:lineRule="exact"/>
        <w:ind w:right="0" w:left="0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</w:pPr>
      <w:r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  <w:t xml:space="preserve">Anzeige</w:t>
      </w:r>
    </w:p>
    <w:p>
      <w:pPr>
        <w:pageBreakBefore w:val="false"/>
        <w:spacing w:before="240" w:after="0" w:line="360" w:lineRule="exact"/>
        <w:ind w:right="216" w:left="0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</w:pPr>
      <w:r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  <w:t xml:space="preserve">Gemischter sieht es beim Nettogewinn aus. Auch hier schafft TSMC einen Rekord, verglichen mit 2022 aber nur knapp: 36,5 Milliarden US-Dollar sind es 2024 – eine Milliarde mehr als damals. Das liegt unter anderem an höheren Forschungsausgaben (6,4 statt 5,5 Milliarden), Administrativkosten (3 statt 2,1 Milliarden) und höheren Steuern (7,3 statt 4,3 Milliarden).</w:t>
      </w:r>
    </w:p>
    <w:p>
      <w:pPr>
        <w:pageBreakBefore w:val="false"/>
        <w:spacing w:before="240" w:after="0" w:line="360" w:lineRule="exact"/>
        <w:ind w:right="0" w:left="0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</w:pPr>
      <w:r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  <w:t xml:space="preserve">2023 war hingegen ein Ausreißer nach unten. In dem Jahr machte TSMC einen Nettogewinn von 26,6 Milliarden US-Dollar.</w:t>
      </w:r>
    </w:p>
    <w:p>
      <w:pPr>
        <w:pageBreakBefore w:val="false"/>
        <w:spacing w:before="315" w:after="0" w:line="384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33"/>
          <w:vertAlign w:val="baseline"/>
          <w:lang w:val="de-DE"/>
        </w:rPr>
      </w:pPr>
      <w:r>
        <w:rPr>
          <w:rFonts w:ascii="Arial" w:hAnsi="Arial" w:eastAsia="Arial"/>
          <w:b w:val="true"/>
          <w:color w:val="000000"/>
          <w:spacing w:val="0"/>
          <w:w w:val="100"/>
          <w:sz w:val="33"/>
          <w:vertAlign w:val="baseline"/>
          <w:lang w:val="de-DE"/>
        </w:rPr>
        <w:t xml:space="preserve">Viele teure Wafer</w:t>
      </w:r>
    </w:p>
    <w:p>
      <w:pPr>
        <w:sectPr>
          <w:type w:val="nextPage"/>
          <w:pgSz w:w="11918" w:h="16858" w:orient="portrait"/>
          <w:pgMar w:bottom="762" w:top="1300" w:right="1020" w:left="998" w:header="720" w:footer="720"/>
          <w:titlePg w:val="false"/>
          <w:textDirection w:val="lrTb"/>
        </w:sectPr>
      </w:pPr>
    </w:p>
    <w:p>
      <w:pPr>
        <w:pageBreakBefore w:val="false"/>
        <w:spacing w:before="8" w:after="0" w:line="360" w:lineRule="exact"/>
        <w:ind w:right="360" w:left="72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</w:pPr>
      <w:r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  <w:t xml:space="preserve">Die Einnahmen steigen, weil TSMC zum einen seine Produktion erhöht und zum anderen mehr Geld pro verkauften Wafer einnimmt. Im ersten Quartal 2024 startete TSMC mit gut drei Millionen Silizium-Wafern (300-mm-Äquivalent) und erhöhte die Kapazität schlussendlich auf gut 3,4 Millionen Wafer im vierten Quartal. Insgesamt kam TSMC auf 12,9 Millionen Wafer.</w:t>
      </w:r>
    </w:p>
    <w:p>
      <w:pPr>
        <w:pageBreakBefore w:val="false"/>
        <w:spacing w:before="242" w:after="344" w:line="360" w:lineRule="exact"/>
        <w:ind w:right="72" w:left="72" w:firstLine="0"/>
        <w:jc w:val="left"/>
        <w:textAlignment w:val="baseline"/>
        <w:rPr>
          <w:rFonts w:ascii="Arial" w:hAnsi="Arial" w:eastAsia="Arial"/>
          <w:color w:val="000000"/>
          <w:spacing w:val="-2"/>
          <w:w w:val="100"/>
          <w:sz w:val="24"/>
          <w:vertAlign w:val="baseline"/>
          <w:lang w:val="de-DE"/>
        </w:rPr>
      </w:pPr>
      <w:r>
        <w:rPr>
          <w:rFonts w:ascii="Arial" w:hAnsi="Arial" w:eastAsia="Arial"/>
          <w:color w:val="000000"/>
          <w:spacing w:val="-2"/>
          <w:w w:val="100"/>
          <w:sz w:val="24"/>
          <w:vertAlign w:val="baseline"/>
          <w:lang w:val="de-DE"/>
        </w:rPr>
        <w:t xml:space="preserve">Das meiste Geld bringen teure Chips mit 3-Nanometer-Technik. Im letzten Quartal lag deren Anteil bei 26 Prozent; übers komplette Jahr gerechnet bei 18 Prozent. Unter der Hand heißt es allerdings auch, dass</w:t>
      </w:r>
      <w:r>
        <w:rPr>
          <w:rFonts w:ascii="Arial" w:hAnsi="Arial" w:eastAsia="Arial"/>
          <w:color w:val="895CF4"/>
          <w:spacing w:val="-2"/>
          <w:w w:val="100"/>
          <w:sz w:val="24"/>
          <w:u w:val="single"/>
          <w:vertAlign w:val="baseline"/>
          <w:lang w:val="de-DE"/>
        </w:rPr>
        <w:t xml:space="preserve"> </w:t>
      </w:r>
      <w:hyperlink r:id="dhId6">
        <w:r>
          <w:rPr>
            <w:rFonts w:ascii="Arial" w:hAnsi="Arial" w:eastAsia="Arial"/>
            <w:color w:val="0000FF"/>
            <w:spacing w:val="-2"/>
            <w:w w:val="100"/>
            <w:sz w:val="24"/>
            <w:u w:val="single"/>
            <w:vertAlign w:val="baseline"/>
            <w:lang w:val="de-DE"/>
          </w:rPr>
          <w:t xml:space="preserve">TSMC die Preise bei älteren Prozess</w:t>
        </w:r>
      </w:hyperlink>
      <w:r>
        <w:rPr>
          <w:rFonts w:ascii="Arial" w:hAnsi="Arial" w:eastAsia="Arial"/>
          <w:color w:val="0000FF"/>
          <w:spacing w:val="-2"/>
          <w:w w:val="100"/>
          <w:sz w:val="24"/>
          <w:u w:val="single"/>
          <w:vertAlign w:val="baseline"/>
          <w:lang w:val="de-DE"/>
        </w:rPr>
        <w:t xml:space="preserve">g</w:t>
      </w:r>
      <w:r>
        <w:rPr>
          <w:rFonts w:ascii="Arial" w:hAnsi="Arial" w:eastAsia="Arial"/>
          <w:color w:val="0000FF"/>
          <w:spacing w:val="-2"/>
          <w:w w:val="100"/>
          <w:sz w:val="24"/>
          <w:u w:val="single"/>
          <w:vertAlign w:val="baseline"/>
          <w:lang w:val="de-DE"/>
        </w:rPr>
        <w:t xml:space="preserve">enerationen an</w:t>
      </w:r>
      <w:r>
        <w:rPr>
          <w:rFonts w:ascii="Arial" w:hAnsi="Arial" w:eastAsia="Arial"/>
          <w:color w:val="0000FF"/>
          <w:spacing w:val="-2"/>
          <w:w w:val="100"/>
          <w:sz w:val="24"/>
          <w:u w:val="single"/>
          <w:vertAlign w:val="baseline"/>
          <w:lang w:val="de-DE"/>
        </w:rPr>
        <w:t xml:space="preserve">g</w:t>
      </w:r>
      <w:r>
        <w:rPr>
          <w:rFonts w:ascii="Arial" w:hAnsi="Arial" w:eastAsia="Arial"/>
          <w:color w:val="0000FF"/>
          <w:spacing w:val="-2"/>
          <w:w w:val="100"/>
          <w:sz w:val="24"/>
          <w:u w:val="single"/>
          <w:vertAlign w:val="baseline"/>
          <w:lang w:val="de-DE"/>
        </w:rPr>
        <w:t xml:space="preserve">ehoben hat</w:t>
      </w:r>
      <w:r>
        <w:rPr>
          <w:rFonts w:ascii="Arial" w:hAnsi="Arial" w:eastAsia="Arial"/>
          <w:color w:val="895CF4"/>
          <w:spacing w:val="-2"/>
          <w:w w:val="100"/>
          <w:sz w:val="24"/>
          <w:vertAlign w:val="baseline"/>
          <w:lang w:val="de-DE"/>
        </w:rPr>
        <w:t xml:space="preserve">.</w:t>
      </w:r>
      <w:r>
        <w:rPr>
          <w:rFonts w:ascii="Arial" w:hAnsi="Arial" w:eastAsia="Arial"/>
          <w:color w:val="895CF4"/>
          <w:spacing w:val="-2"/>
          <w:w w:val="100"/>
          <w:sz w:val="24"/>
          <w:u w:val="single"/>
          <w:vertAlign w:val="baseline"/>
          <w:lang w:val="de-DE"/>
        </w:rPr>
        <w:t xml:space="preserve">
</w:t>
      </w:r>
    </w:p>
    <w:p>
      <w:pPr>
        <w:spacing w:before="242" w:after="344" w:line="360" w:lineRule="exact"/>
        <w:sectPr>
          <w:type w:val="nextPage"/>
          <w:pgSz w:w="11918" w:h="16858" w:orient="portrait"/>
          <w:pgMar w:bottom="1342" w:top="500" w:right="1049" w:left="969" w:header="720" w:footer="720"/>
          <w:titlePg w:val="false"/>
          <w:textDirection w:val="lrTb"/>
        </w:sectPr>
      </w:pPr>
    </w:p>
    <w:p>
      <w:pPr>
        <w:pageBreakBefore w:val="false"/>
        <w:spacing w:before="0" w:after="301" w:line="219" w:lineRule="exact"/>
        <w:ind w:right="23" w:left="23"/>
        <w:jc w:val="left"/>
        <w:textAlignment w:val="baseline"/>
      </w:pPr>
      <w:r>
        <w:drawing>
          <wp:inline>
            <wp:extent cx="6257290" cy="139065"/>
            <wp:docPr name="Picture" id="3"/>
            <a:graphic>
              <a:graphicData uri="http://schemas.openxmlformats.org/drawingml/2006/picture">
                <pic:pic>
                  <pic:nvPicPr>
                    <pic:cNvPr id="3" name="Picture"/>
                    <pic:cNvPicPr preferRelativeResize="false"/>
                  </pic:nvPicPr>
                  <pic:blipFill>
                    <a:blip r:embed="prId3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139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ageBreakBefore w:val="false"/>
        <w:spacing w:before="0" w:after="0" w:line="358" w:lineRule="exact"/>
        <w:ind w:right="288" w:left="0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62pt;height:262.4pt;z-index:-1000;margin-left:82.8pt;margin-top:199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0" w:after="6" w:line="240" w:lineRule="auto"/>
                    <w:ind w:right="5" w:left="0"/>
                    <w:jc w:val="left"/>
                    <w:textAlignment w:val="baseline"/>
                  </w:pPr>
                  <w:r>
                    <w:drawing>
                      <wp:inline>
                        <wp:extent cx="5864225" cy="3328670"/>
                        <wp:docPr name="Picture" id="4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Picture"/>
                                <pic:cNvPicPr preferRelativeResize="false"/>
                              </pic:nvPicPr>
                              <pic:blipFill>
                                <a:blip r:embed="p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64225" cy="332867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  <w:t xml:space="preserve">TSMCs Umsatzanteile nach Fertigungsgenerationen. Hinweis: 4-nm-Chips gehören zur 5-nm-Klasse und 6 zu 7 nm.</w:t>
      </w:r>
    </w:p>
    <w:p>
      <w:pPr>
        <w:pageBreakBefore w:val="false"/>
        <w:spacing w:before="328" w:after="0" w:line="272" w:lineRule="exact"/>
        <w:ind w:right="0" w:left="0" w:firstLine="0"/>
        <w:jc w:val="left"/>
        <w:textAlignment w:val="baseline"/>
        <w:rPr>
          <w:rFonts w:ascii="Arial" w:hAnsi="Arial" w:eastAsia="Arial"/>
          <w:color w:val="000000"/>
          <w:spacing w:val="-2"/>
          <w:w w:val="100"/>
          <w:sz w:val="24"/>
          <w:vertAlign w:val="baseline"/>
          <w:lang w:val="de-DE"/>
        </w:rPr>
      </w:pPr>
      <w:r>
        <w:rPr>
          <w:rFonts w:ascii="Arial" w:hAnsi="Arial" w:eastAsia="Arial"/>
          <w:color w:val="000000"/>
          <w:spacing w:val="-2"/>
          <w:w w:val="100"/>
          <w:sz w:val="24"/>
          <w:vertAlign w:val="baseline"/>
          <w:lang w:val="de-DE"/>
        </w:rPr>
        <w:t xml:space="preserve">(Bild: TSMC)</w:t>
      </w:r>
    </w:p>
    <w:p>
      <w:pPr>
        <w:pageBreakBefore w:val="false"/>
        <w:spacing w:before="312" w:after="0" w:line="386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000000"/>
          <w:spacing w:val="-2"/>
          <w:w w:val="100"/>
          <w:sz w:val="33"/>
          <w:vertAlign w:val="baseline"/>
          <w:lang w:val="de-DE"/>
        </w:rPr>
      </w:pPr>
      <w:r>
        <w:rPr>
          <w:rFonts w:ascii="Arial" w:hAnsi="Arial" w:eastAsia="Arial"/>
          <w:b w:val="true"/>
          <w:color w:val="000000"/>
          <w:spacing w:val="-2"/>
          <w:w w:val="100"/>
          <w:sz w:val="33"/>
          <w:vertAlign w:val="baseline"/>
          <w:lang w:val="de-DE"/>
        </w:rPr>
        <w:t xml:space="preserve">KI ist König</w:t>
      </w:r>
    </w:p>
    <w:p>
      <w:pPr>
        <w:pageBreakBefore w:val="false"/>
        <w:spacing w:before="229" w:after="0" w:line="360" w:lineRule="exact"/>
        <w:ind w:right="0" w:left="0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</w:pPr>
      <w:r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  <w:t xml:space="preserve">Das mit Abstand größte Wachstum im Jahresvergleich brachten nach einem schlappen 2023 HPC- (+58 Prozent) und Smartphone-Chips (+23 Prozent). Unter HPC fasst TSMC alle Prozessoren, Grafikchips und Beschleuniger vom Notebook bis zum Server zusammen. Mit solchen HPC-Chips machte TSMC die Hälfte seines Umsatzes.</w:t>
      </w:r>
    </w:p>
    <w:p>
      <w:pPr>
        <w:pageBreakBefore w:val="false"/>
        <w:spacing w:before="240" w:after="0" w:line="360" w:lineRule="exact"/>
        <w:ind w:right="288" w:left="0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</w:pPr>
      <w:r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  <w:t xml:space="preserve">Der Chipauftragsfertiger profitiert dabei erheblich von der Nachfrage nach Nvidias KI-Beschleunigern. Maßgeblich für Nvidia baut TSMC auch weiter seine Packaging-Kapazität aus, um immer mehr der hergestellten Chips auf gemeinsamen Trägern unterbringen zu können.</w:t>
      </w:r>
    </w:p>
    <w:p>
      <w:pPr>
        <w:sectPr>
          <w:type w:val="continuous"/>
          <w:pgSz w:w="11918" w:h="16858" w:orient="portrait"/>
          <w:pgMar w:bottom="1342" w:top="500" w:right="1004" w:left="1014" w:header="720" w:footer="720"/>
          <w:titlePg w:val="false"/>
          <w:textDirection w:val="lrTb"/>
        </w:sectPr>
      </w:pPr>
    </w:p>
    <w:p>
      <w:pPr>
        <w:pageBreakBefore w:val="false"/>
        <w:spacing w:before="14" w:after="725" w:line="240" w:lineRule="auto"/>
        <w:ind w:right="8" w:left="0"/>
        <w:jc w:val="left"/>
        <w:textAlignment w:val="baseline"/>
      </w:pPr>
      <w:r>
        <w:drawing>
          <wp:inline>
            <wp:extent cx="5836920" cy="536575"/>
            <wp:docPr name="Picture" id="5"/>
            <a:graphic>
              <a:graphicData uri="http://schemas.openxmlformats.org/drawingml/2006/picture">
                <pic:pic>
                  <pic:nvPicPr>
                    <pic:cNvPr id="5" name="Picture"/>
                    <pic:cNvPicPr preferRelativeResize="false"/>
                  </pic:nvPicPr>
                  <pic:blipFill>
                    <a:blip r:embed="p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536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14" w:after="725" w:line="240" w:lineRule="auto"/>
        <w:sectPr>
          <w:type w:val="nextPage"/>
          <w:pgSz w:w="11918" w:h="16858" w:orient="portrait"/>
          <w:pgMar w:bottom="862" w:top="600" w:right="1072" w:left="1646" w:header="720" w:footer="720"/>
          <w:titlePg w:val="false"/>
          <w:textDirection w:val="lrTb"/>
        </w:sectPr>
      </w:pPr>
    </w:p>
    <w:p>
      <w:pPr>
        <w:pageBreakBefore w:val="false"/>
        <w:spacing w:before="0" w:after="691" w:line="240" w:lineRule="auto"/>
        <w:ind w:right="23" w:left="23"/>
        <w:jc w:val="left"/>
        <w:textAlignment w:val="baseline"/>
      </w:pPr>
      <w:r>
        <w:drawing>
          <wp:inline>
            <wp:extent cx="6257290" cy="3276600"/>
            <wp:docPr name="Picture" id="6"/>
            <a:graphic>
              <a:graphicData uri="http://schemas.openxmlformats.org/drawingml/2006/picture">
                <pic:pic>
                  <pic:nvPicPr>
                    <pic:cNvPr id="6" name="Picture"/>
                    <pic:cNvPicPr preferRelativeResize="false"/>
                  </pic:nvPicPr>
                  <pic:blipFill>
                    <a:blip r:embed="p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327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ageBreakBefore w:val="false"/>
        <w:spacing w:before="0" w:after="383" w:line="240" w:lineRule="auto"/>
        <w:ind w:right="23" w:left="23"/>
        <w:jc w:val="left"/>
        <w:textAlignment w:val="baseline"/>
      </w:pPr>
      <w:r>
        <w:drawing>
          <wp:inline>
            <wp:extent cx="6257290" cy="2508885"/>
            <wp:docPr name="Picture" id="7"/>
            <a:graphic>
              <a:graphicData uri="http://schemas.openxmlformats.org/drawingml/2006/picture">
                <pic:pic>
                  <pic:nvPicPr>
                    <pic:cNvPr id="7" name="Picture"/>
                    <pic:cNvPicPr preferRelativeResize="false"/>
                  </pic:nvPicPr>
                  <pic:blipFill>
                    <a:blip r:embed="p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2508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ageBreakBefore w:val="false"/>
        <w:spacing w:before="0" w:after="0" w:line="437" w:lineRule="exact"/>
        <w:ind w:right="2232" w:left="0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</w:pPr>
      <w:r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  <w:t xml:space="preserve">CPUs, GPUs und KI-Beschleuniger bringen TSMC das meiste Geld ein. (Bild: TSMC)</w:t>
      </w:r>
    </w:p>
    <w:p>
      <w:pPr>
        <w:pageBreakBefore w:val="false"/>
        <w:spacing w:before="312" w:after="0" w:line="386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33"/>
          <w:vertAlign w:val="baseline"/>
          <w:lang w:val="de-DE"/>
        </w:rPr>
      </w:pPr>
      <w:r>
        <w:rPr>
          <w:rFonts w:ascii="Arial" w:hAnsi="Arial" w:eastAsia="Arial"/>
          <w:b w:val="true"/>
          <w:color w:val="000000"/>
          <w:spacing w:val="0"/>
          <w:w w:val="100"/>
          <w:sz w:val="33"/>
          <w:vertAlign w:val="baseline"/>
          <w:lang w:val="de-DE"/>
        </w:rPr>
        <w:t xml:space="preserve">Rosiger Ausblick entzückt die Börse</w:t>
      </w:r>
    </w:p>
    <w:p>
      <w:pPr>
        <w:pageBreakBefore w:val="false"/>
        <w:spacing w:before="214" w:after="0" w:line="360" w:lineRule="exact"/>
        <w:ind w:right="144" w:left="0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</w:pPr>
      <w:r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  <w:t xml:space="preserve">Im Ausblick macht TSMC klar, dass der KI-Hype bis auf Weiteres fortbesteht: Wachstum bei entsprechender Hardware soll den saisonalen Rückgang bei Smartphones abfangen. Der Fertiger geht von einem Umsatz zwischen 25 Milliarden und 25,8 Milliarden US-Dollar aus – das wären im Mittel 35 Prozent mehr als Anfang 2024.</w:t>
      </w:r>
    </w:p>
    <w:p>
      <w:pPr>
        <w:sectPr>
          <w:type w:val="continuous"/>
          <w:pgSz w:w="11918" w:h="16858" w:orient="portrait"/>
          <w:pgMar w:bottom="862" w:top="600" w:right="1004" w:left="1014" w:header="720" w:footer="720"/>
          <w:titlePg w:val="false"/>
          <w:textDirection w:val="lrTb"/>
        </w:sectPr>
      </w:pPr>
    </w:p>
    <w:p>
      <w:pPr>
        <w:pageBreakBefore w:val="false"/>
        <w:spacing w:before="0" w:after="0" w:line="342" w:lineRule="exact"/>
        <w:ind w:right="72" w:left="72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</w:pPr>
      <w:r>
        <w:rPr>
          <w:rFonts w:ascii="Arial" w:hAnsi="Arial" w:eastAsia="Arial"/>
          <w:color w:val="000000"/>
          <w:spacing w:val="0"/>
          <w:w w:val="100"/>
          <w:sz w:val="24"/>
          <w:vertAlign w:val="baseline"/>
          <w:lang w:val="de-DE"/>
        </w:rPr>
        <w:t xml:space="preserve">Für das gesamte Jahr 2025 sieht TSMC ein Kapitalbudget zwischen 38 Milliarden und 42 Milliarden US-Dollar vor; primär für den Bau neuer Halbleiterwerke. TSMCs Aktie stieg nach Bekanntgabe der Geschäftszahlen um gut 5 Prozent. Ähnlich verhielt sich die Aktie des wichtigsten Maschinenzulieferers ASML.</w:t>
      </w:r>
    </w:p>
    <w:p>
      <w:pPr>
        <w:pageBreakBefore w:val="false"/>
        <w:spacing w:before="325" w:after="0" w:line="275" w:lineRule="exact"/>
        <w:ind w:right="0" w:left="72" w:firstLine="0"/>
        <w:jc w:val="left"/>
        <w:textAlignment w:val="baseline"/>
        <w:rPr>
          <w:rFonts w:ascii="Arial" w:hAnsi="Arial" w:eastAsia="Arial"/>
          <w:color w:val="895CF4"/>
          <w:spacing w:val="-4"/>
          <w:w w:val="100"/>
          <w:sz w:val="24"/>
          <w:vertAlign w:val="baseline"/>
          <w:lang w:val="de-DE"/>
        </w:rPr>
      </w:pPr>
      <w:r>
        <w:rPr>
          <w:rFonts w:ascii="Arial" w:hAnsi="Arial" w:eastAsia="Arial"/>
          <w:color w:val="895CF4"/>
          <w:spacing w:val="-4"/>
          <w:w w:val="100"/>
          <w:sz w:val="24"/>
          <w:vertAlign w:val="baseline"/>
          <w:lang w:val="de-DE"/>
        </w:rPr>
        <w:t xml:space="preserve">(</w:t>
      </w:r>
      <w:hyperlink r:id="dhId7">
        <w:r>
          <w:rPr>
            <w:rFonts w:ascii="Arial" w:hAnsi="Arial" w:eastAsia="Arial"/>
            <w:color w:val="0000FF"/>
            <w:spacing w:val="-4"/>
            <w:w w:val="100"/>
            <w:sz w:val="24"/>
            <w:u w:val="single"/>
            <w:vertAlign w:val="baseline"/>
            <w:lang w:val="de-DE"/>
          </w:rPr>
          <w:t xml:space="preserve">mma</w:t>
        </w:r>
      </w:hyperlink>
      <w:r>
        <w:rPr>
          <w:rFonts w:ascii="Arial" w:hAnsi="Arial" w:eastAsia="Arial"/>
          <w:color w:val="895CF4"/>
          <w:spacing w:val="-4"/>
          <w:w w:val="100"/>
          <w:sz w:val="24"/>
          <w:vertAlign w:val="baseline"/>
          <w:lang w:val="de-DE"/>
        </w:rPr>
        <w:t xml:space="preserve">)</w:t>
      </w:r>
    </w:p>
    <w:sectPr>
      <w:type w:val="nextPage"/>
      <w:pgSz w:w="11918" w:h="16858" w:orient="portrait"/>
      <w:pgMar w:bottom="13862" w:top="580" w:right="1071" w:left="947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val="14" w:uri="http://schemas.microsoft.com/office/word" w:name="compatibilityMode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style w:styleId="Normal" w:default="1" w:type="paragraph">
    <w:name w:val="Normal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dhId1" Type="http://schemas.openxmlformats.org/officeDocument/2006/relationships/hyperlink" TargetMode="External" Target="https://www.heise.de/news/#nav_viele_teure__0"/><Relationship Id="dhId2" Type="http://schemas.openxmlformats.org/officeDocument/2006/relationships/hyperlink" TargetMode="External" Target="https://www.heise.de/news/#nav_ki_ist_k%C3%B6nig_1"/><Relationship Id="dhId3" Type="http://schemas.openxmlformats.org/officeDocument/2006/relationships/hyperlink" TargetMode="External" Target="https://www.heise.de/news/#nav_rosiger__2"/><Relationship Id="dhId4" Type="http://schemas.openxmlformats.org/officeDocument/2006/relationships/hyperlink" TargetMode="External" Target="https://www.heise.de/news/76-Milliarden-US-Dollar-Gewinn-TSMC-beendet-Rekordjahr-7457060.html"/><Relationship Id="dhId5" Type="http://schemas.openxmlformats.org/officeDocument/2006/relationships/hyperlink" TargetMode="External" Target="https://www.heise.de/news/76-Milliarden-US-Dollar-Gewinn-TSMC-beendet-Rekordjahr-7457060.html"/><Relationship Id="dhId6" Type="http://schemas.openxmlformats.org/officeDocument/2006/relationships/hyperlink" TargetMode="External" Target="https://www.heise.de/news/Viele-Chips-werden-teurer-TSMC-hebt-Wafer-Preise-an-9798570.html"/><Relationship Id="dhId7" Type="http://schemas.openxmlformats.org/officeDocument/2006/relationships/hyperlink" TargetMode="External" Target="https://www.heise.de/news/"/><Relationship Id="prId1" Type="http://schemas.openxmlformats.org/officeDocument/2006/relationships/image" Target="media/image1.jpg"/><Relationship Id="prId2" Type="http://schemas.openxmlformats.org/officeDocument/2006/relationships/image" Target="media/image2.jpg"/><Relationship Id="prId3" Type="http://schemas.openxmlformats.org/officeDocument/2006/relationships/image" Target="media/image3.jpg"/><Relationship Id="prId4" Type="http://schemas.openxmlformats.org/officeDocument/2006/relationships/image" Target="media/image4.jpg"/><Relationship Id="prId5" Type="http://schemas.openxmlformats.org/officeDocument/2006/relationships/image" Target="media/image5.jpg"/><Relationship Id="prId6" Type="http://schemas.openxmlformats.org/officeDocument/2006/relationships/image" Target="media/image6.jpg"/><Relationship Id="prId7" Type="http://schemas.openxmlformats.org/officeDocument/2006/relationships/image" Target="media/image7.jpg"/><Relationship Id="styleId" Type="http://schemas.openxmlformats.org/officeDocument/2006/relationships/styles" Target="styles.xml"/><Relationship Id="settingId" Type="http://schemas.openxmlformats.org/officeDocument/2006/relationships/settings" Target="settings.xml"/></Relationships>
</file>

<file path=docProps/core.xml><?xml version="1.0" encoding="utf-8"?>
<cp:core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