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jpg"/>
  <Override PartName="/word/media/image2.jpg" ContentType="image/jp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body>
    <w:p>
      <w:pPr>
        <w:pageBreakBefore w:val="false"/>
        <w:tabs>
          <w:tab w:val="left" w:leader="none" w:pos="4392"/>
          <w:tab w:val="left" w:leader="none" w:pos="10080"/>
          <w:tab w:val="right" w:leader="none" w:pos="15264"/>
        </w:tabs>
        <w:spacing w:before="38" w:after="0" w:line="352" w:lineRule="exact"/>
        <w:ind w:right="0" w:left="0" w:firstLine="0"/>
        <w:jc w:val="left"/>
        <w:textAlignment w:val="baseline"/>
        <w:rPr>
          <w:rFonts w:ascii="Courier New" w:hAnsi="Courier New" w:eastAsia="Courier New"/>
          <w:color w:val="000000"/>
          <w:spacing w:val="0"/>
          <w:w w:val="100"/>
          <w:sz w:val="31"/>
          <w:vertAlign w:val="baseline"/>
          <w:lang w:val="de-DE"/>
        </w:rPr>
      </w:pPr>
      <w:r>
        <w:rPr>
          <w:rFonts w:ascii="Courier New" w:hAnsi="Courier New" w:eastAsia="Courier New"/>
          <w:color w:val="000000"/>
          <w:spacing w:val="0"/>
          <w:w w:val="100"/>
          <w:sz w:val="31"/>
          <w:vertAlign w:val="baseline"/>
          <w:lang w:val="de-DE"/>
        </w:rPr>
        <w:t xml:space="preserve">22 M@R 2002 17:22	</w:t>
      </w:r>
      <w:r>
        <w:rPr>
          <w:rFonts w:ascii="Courier New" w:hAnsi="Courier New" w:eastAsia="Courier New"/>
          <w:color w:val="000000"/>
          <w:spacing w:val="0"/>
          <w:w w:val="100"/>
          <w:sz w:val="31"/>
          <w:vertAlign w:val="baseline"/>
          <w:lang w:val="de-DE"/>
        </w:rPr>
        <w:t xml:space="preserve">SI SYSTEMS INTEGRATION	</w:t>
      </w:r>
      <w:r>
        <w:rPr>
          <w:rFonts w:ascii="Courier New" w:hAnsi="Courier New" w:eastAsia="Courier New"/>
          <w:color w:val="000000"/>
          <w:spacing w:val="0"/>
          <w:w w:val="100"/>
          <w:sz w:val="31"/>
          <w:vertAlign w:val="baseline"/>
          <w:lang w:val="de-DE"/>
        </w:rPr>
        <w:t xml:space="preserve">498929037724	</w:t>
      </w:r>
      <w:r>
        <w:rPr>
          <w:rFonts w:ascii="Courier New" w:hAnsi="Courier New" w:eastAsia="Courier New"/>
          <w:color w:val="000000"/>
          <w:spacing w:val="0"/>
          <w:w w:val="100"/>
          <w:sz w:val="31"/>
          <w:vertAlign w:val="baseline"/>
          <w:lang w:val="de-DE"/>
        </w:rPr>
        <w:t xml:space="preserve">p.1</w:t>
      </w:r>
    </w:p>
    <w:p>
      <w:pPr>
        <w:pageBreakBefore w:val="false"/>
        <w:spacing w:before="2364" w:after="0" w:line="446" w:lineRule="exact"/>
        <w:ind w:right="0" w:left="0" w:firstLine="0"/>
        <w:jc w:val="center"/>
        <w:textAlignment w:val="baseline"/>
        <w:rPr>
          <w:rFonts w:ascii="Times New Roman" w:hAnsi="Times New Roman" w:eastAsia="Times New Roman"/>
          <w:color w:val="000000"/>
          <w:spacing w:val="16"/>
          <w:w w:val="95"/>
          <w:sz w:val="40"/>
          <w:vertAlign w:val="baseline"/>
          <w:lang w:val="de-DE"/>
        </w:rPr>
      </w:pPr>
      <w:r>
        <w:rPr>
          <w:rFonts w:ascii="Times New Roman" w:hAnsi="Times New Roman" w:eastAsia="Times New Roman"/>
          <w:color w:val="000000"/>
          <w:spacing w:val="16"/>
          <w:w w:val="95"/>
          <w:sz w:val="40"/>
          <w:vertAlign w:val="baseline"/>
          <w:lang w:val="de-DE"/>
        </w:rPr>
        <w:t xml:space="preserve">Geschäftsordnung des Aufsichtsrates</w:t>
      </w:r>
    </w:p>
    <w:p>
      <w:pPr>
        <w:pageBreakBefore w:val="false"/>
        <w:spacing w:before="1233" w:after="0" w:line="357" w:lineRule="exact"/>
        <w:ind w:right="2160" w:left="1152" w:firstLine="0"/>
        <w:jc w:val="left"/>
        <w:textAlignment w:val="baseline"/>
        <w:rPr>
          <w:rFonts w:ascii="Times New Roman" w:hAnsi="Times New Roman" w:eastAsia="Times New Roman"/>
          <w:color w:val="000000"/>
          <w:spacing w:val="0"/>
          <w:w w:val="100"/>
          <w:sz w:val="30"/>
          <w:vertAlign w:val="baseline"/>
          <w:lang w:val="de-DE"/>
        </w:rPr>
      </w:pPr>
      <w:r>
        <w:rPr>
          <w:rFonts w:ascii="Times New Roman" w:hAnsi="Times New Roman" w:eastAsia="Times New Roman"/>
          <w:color w:val="000000"/>
          <w:spacing w:val="0"/>
          <w:w w:val="100"/>
          <w:sz w:val="30"/>
          <w:vertAlign w:val="baseline"/>
          <w:lang w:val="de-DE"/>
        </w:rPr>
        <w:t xml:space="preserve">Der Aufsichtsrat führt die Geschäfte nach den gesetzlichen Vorschriften, den Ausfithrwigen der Satzung sowie dieser Geschäftsordnung.</w:t>
      </w:r>
    </w:p>
    <w:p>
      <w:pPr>
        <w:pageBreakBefore w:val="false"/>
        <w:spacing w:before="270" w:after="0" w:line="350" w:lineRule="exact"/>
        <w:ind w:right="0" w:left="1152" w:firstLine="0"/>
        <w:jc w:val="left"/>
        <w:textAlignment w:val="baseline"/>
        <w:rPr>
          <w:rFonts w:ascii="Times New Roman" w:hAnsi="Times New Roman" w:eastAsia="Times New Roman"/>
          <w:color w:val="000000"/>
          <w:spacing w:val="3"/>
          <w:w w:val="100"/>
          <w:sz w:val="30"/>
          <w:vertAlign w:val="baseline"/>
          <w:lang w:val="de-DE"/>
        </w:rPr>
      </w:pPr>
      <w:r>
        <w:rPr>
          <w:rFonts w:ascii="Times New Roman" w:hAnsi="Times New Roman" w:eastAsia="Times New Roman"/>
          <w:color w:val="000000"/>
          <w:spacing w:val="3"/>
          <w:w w:val="100"/>
          <w:sz w:val="30"/>
          <w:vertAlign w:val="baseline"/>
          <w:lang w:val="de-DE"/>
        </w:rPr>
        <w:t xml:space="preserve">§ 1 Allgemeines</w:t>
      </w:r>
    </w:p>
    <w:p>
      <w:pPr>
        <w:pageBreakBefore w:val="false"/>
        <w:spacing w:before="144" w:after="0" w:line="350" w:lineRule="exact"/>
        <w:ind w:right="1296" w:left="1152" w:firstLine="0"/>
        <w:jc w:val="left"/>
        <w:textAlignment w:val="baseline"/>
        <w:rPr>
          <w:rFonts w:ascii="Times New Roman" w:hAnsi="Times New Roman" w:eastAsia="Times New Roman"/>
          <w:color w:val="000000"/>
          <w:spacing w:val="0"/>
          <w:w w:val="100"/>
          <w:sz w:val="30"/>
          <w:vertAlign w:val="baseline"/>
          <w:lang w:val="de-DE"/>
        </w:rPr>
      </w:pPr>
      <w:r>
        <w:rPr>
          <w:rFonts w:ascii="Times New Roman" w:hAnsi="Times New Roman" w:eastAsia="Times New Roman"/>
          <w:color w:val="000000"/>
          <w:spacing w:val="0"/>
          <w:w w:val="100"/>
          <w:sz w:val="30"/>
          <w:vertAlign w:val="baseline"/>
          <w:lang w:val="de-DE"/>
        </w:rPr>
        <w:t xml:space="preserve">Bei der Wahrnehmung seiner Aufgaben hat der Aufsichtsrat mit den übrigen Organen der Gesellschaft vertrauensvoll zusammenzuarbeiten, um so dem Wohle des Unternehmens zu dienen. Die Aufsichtsratsmitglieder sind von Aufträgen und Weisungen unabhängig. Sie haben gleiche Rechte und Pflichten.</w:t>
      </w:r>
    </w:p>
    <w:p>
      <w:pPr>
        <w:pageBreakBefore w:val="false"/>
        <w:spacing w:before="234" w:after="0" w:line="350" w:lineRule="exact"/>
        <w:ind w:right="0" w:left="1152" w:firstLine="0"/>
        <w:jc w:val="left"/>
        <w:textAlignment w:val="baseline"/>
        <w:rPr>
          <w:rFonts w:ascii="Times New Roman" w:hAnsi="Times New Roman" w:eastAsia="Times New Roman"/>
          <w:color w:val="000000"/>
          <w:spacing w:val="5"/>
          <w:w w:val="100"/>
          <w:sz w:val="30"/>
          <w:vertAlign w:val="baseline"/>
          <w:lang w:val="de-DE"/>
        </w:rPr>
      </w:pPr>
      <w:r>
        <w:rPr>
          <w:rFonts w:ascii="Times New Roman" w:hAnsi="Times New Roman" w:eastAsia="Times New Roman"/>
          <w:color w:val="000000"/>
          <w:spacing w:val="5"/>
          <w:w w:val="100"/>
          <w:sz w:val="30"/>
          <w:vertAlign w:val="baseline"/>
          <w:lang w:val="de-DE"/>
        </w:rPr>
        <w:t xml:space="preserve">§ 2 Sitzungen</w:t>
      </w:r>
    </w:p>
    <w:p>
      <w:pPr>
        <w:pageBreakBefore w:val="false"/>
        <w:spacing w:before="141" w:after="0" w:line="347" w:lineRule="exact"/>
        <w:ind w:right="1368" w:left="1152" w:firstLine="0"/>
        <w:jc w:val="left"/>
        <w:textAlignment w:val="baseline"/>
        <w:rPr>
          <w:rFonts w:ascii="Times New Roman" w:hAnsi="Times New Roman" w:eastAsia="Times New Roman"/>
          <w:color w:val="000000"/>
          <w:spacing w:val="0"/>
          <w:w w:val="100"/>
          <w:sz w:val="30"/>
          <w:vertAlign w:val="baseline"/>
          <w:lang w:val="de-DE"/>
        </w:rPr>
      </w:pPr>
      <w:r>
        <w:rPr>
          <w:rFonts w:ascii="Times New Roman" w:hAnsi="Times New Roman" w:eastAsia="Times New Roman"/>
          <w:color w:val="000000"/>
          <w:spacing w:val="0"/>
          <w:w w:val="100"/>
          <w:sz w:val="30"/>
          <w:vertAlign w:val="baseline"/>
          <w:lang w:val="de-DE"/>
        </w:rPr>
        <w:t xml:space="preserve">Der Aufsichtsrat soll in der Regel einmal im Kalendenierteljahr, er muss einmal im Kalenderhalbjahr einberufen werden. Darüber hinaus ist er einzuberufen, wenn dies von einem Aufsichtsratsmitglied oder dem Vorstand unter Angabe des Zwecks und der Gründe verlangt wird.</w:t>
      </w:r>
    </w:p>
    <w:p>
      <w:pPr>
        <w:pageBreakBefore w:val="false"/>
        <w:spacing w:before="431" w:after="0" w:line="352" w:lineRule="exact"/>
        <w:ind w:right="0" w:left="1152" w:firstLine="0"/>
        <w:jc w:val="left"/>
        <w:textAlignment w:val="baseline"/>
        <w:rPr>
          <w:rFonts w:ascii="Times New Roman" w:hAnsi="Times New Roman" w:eastAsia="Times New Roman"/>
          <w:color w:val="000000"/>
          <w:spacing w:val="10"/>
          <w:w w:val="100"/>
          <w:sz w:val="30"/>
          <w:vertAlign w:val="baseline"/>
          <w:lang w:val="de-DE"/>
        </w:rPr>
      </w:pPr>
      <w:r>
        <w:rPr>
          <w:rFonts w:ascii="Times New Roman" w:hAnsi="Times New Roman" w:eastAsia="Times New Roman"/>
          <w:color w:val="000000"/>
          <w:spacing w:val="10"/>
          <w:w w:val="100"/>
          <w:sz w:val="30"/>
          <w:vertAlign w:val="baseline"/>
          <w:lang w:val="de-DE"/>
        </w:rPr>
        <w:t xml:space="preserve">§ 3 Zustimmungspflichtige Geschäfte</w:t>
      </w:r>
    </w:p>
    <w:p>
      <w:pPr>
        <w:pageBreakBefore w:val="false"/>
        <w:spacing w:before="123" w:after="0" w:line="350" w:lineRule="exact"/>
        <w:ind w:right="1440" w:left="1152" w:firstLine="0"/>
        <w:jc w:val="left"/>
        <w:textAlignment w:val="baseline"/>
        <w:rPr>
          <w:rFonts w:ascii="Times New Roman" w:hAnsi="Times New Roman" w:eastAsia="Times New Roman"/>
          <w:color w:val="000000"/>
          <w:spacing w:val="0"/>
          <w:w w:val="100"/>
          <w:sz w:val="30"/>
          <w:vertAlign w:val="baseline"/>
          <w:lang w:val="de-DE"/>
        </w:rPr>
      </w:pPr>
      <w:r>
        <w:rPr>
          <w:rFonts w:ascii="Times New Roman" w:hAnsi="Times New Roman" w:eastAsia="Times New Roman"/>
          <w:color w:val="000000"/>
          <w:spacing w:val="0"/>
          <w:w w:val="100"/>
          <w:sz w:val="30"/>
          <w:vertAlign w:val="baseline"/>
          <w:lang w:val="de-DE"/>
        </w:rPr>
        <w:t xml:space="preserve">1. Der Vorstand bedarf zu folgenden Geschäften der Zustimmung des Aufsichtsrates, welche auch im Riuidumverfahren oder per Fax schriftlich von den Mitgliedern des Aufsichtsrates eingeholt werden kann:</w:t>
      </w:r>
    </w:p>
    <w:p>
      <w:pPr>
        <w:pageBreakBefore w:val="false"/>
        <w:numPr>
          <w:ilvl w:val="0"/>
          <w:numId w:val="1"/>
        </w:numPr>
        <w:tabs>
          <w:tab w:val="clear" w:pos="360"/>
          <w:tab w:val="left" w:pos="1512"/>
        </w:tabs>
        <w:spacing w:before="71" w:after="0" w:line="340" w:lineRule="exact"/>
        <w:ind w:right="2304" w:left="1152" w:firstLine="0"/>
        <w:jc w:val="left"/>
        <w:textAlignment w:val="baseline"/>
        <w:rPr>
          <w:rFonts w:ascii="Times New Roman" w:hAnsi="Times New Roman" w:eastAsia="Times New Roman"/>
          <w:color w:val="000000"/>
          <w:spacing w:val="0"/>
          <w:w w:val="100"/>
          <w:sz w:val="30"/>
          <w:vertAlign w:val="baseline"/>
          <w:lang w:val="de-DE"/>
        </w:rPr>
      </w:pPr>
      <w:r>
        <w:rPr>
          <w:rFonts w:ascii="Times New Roman" w:hAnsi="Times New Roman" w:eastAsia="Times New Roman"/>
          <w:color w:val="000000"/>
          <w:spacing w:val="0"/>
          <w:w w:val="100"/>
          <w:sz w:val="30"/>
          <w:vertAlign w:val="baseline"/>
          <w:lang w:val="de-DE"/>
        </w:rPr>
        <w:t xml:space="preserve">der Erwerb und die Veräußerung von Grundeigentum und grundstücksgleichen Rechten, die Errichtung neuer Anlagen sowie sonstiger Anlageinvestitionen, die Vornahme von Um- und</w:t>
      </w:r>
    </w:p>
    <w:p>
      <w:pPr>
        <w:pageBreakBefore w:val="false"/>
        <w:spacing w:before="0" w:after="0" w:line="346" w:lineRule="exact"/>
        <w:ind w:right="1656" w:left="1152" w:firstLine="0"/>
        <w:jc w:val="left"/>
        <w:textAlignment w:val="baseline"/>
        <w:rPr>
          <w:rFonts w:ascii="Times New Roman" w:hAnsi="Times New Roman" w:eastAsia="Times New Roman"/>
          <w:color w:val="000000"/>
          <w:spacing w:val="0"/>
          <w:w w:val="100"/>
          <w:sz w:val="30"/>
          <w:vertAlign w:val="baseline"/>
          <w:lang w:val="de-DE"/>
        </w:rPr>
      </w:pPr>
      <w:r>
        <w:rPr>
          <w:rFonts w:ascii="Times New Roman" w:hAnsi="Times New Roman" w:eastAsia="Times New Roman"/>
          <w:color w:val="000000"/>
          <w:spacing w:val="0"/>
          <w:w w:val="100"/>
          <w:sz w:val="30"/>
          <w:vertAlign w:val="baseline"/>
          <w:lang w:val="de-DE"/>
        </w:rPr>
        <w:t xml:space="preserve">Enveirerungsbauten, wenn der Aufwand im Einzelfall 150.000,00E übersteigt, sowie die Vornahme von Erneuerungsarbeiten, die im Einzelfall mehr als 50.000,00 f ausmachest</w:t>
      </w:r>
    </w:p>
    <w:p>
      <w:pPr>
        <w:pageBreakBefore w:val="false"/>
        <w:numPr>
          <w:ilvl w:val="0"/>
          <w:numId w:val="1"/>
        </w:numPr>
        <w:tabs>
          <w:tab w:val="clear" w:pos="360"/>
          <w:tab w:val="left" w:pos="1512"/>
        </w:tabs>
        <w:spacing w:before="47" w:after="0" w:line="343" w:lineRule="exact"/>
        <w:ind w:right="2520" w:left="1152" w:firstLine="0"/>
        <w:jc w:val="left"/>
        <w:textAlignment w:val="baseline"/>
        <w:rPr>
          <w:rFonts w:ascii="Times New Roman" w:hAnsi="Times New Roman" w:eastAsia="Times New Roman"/>
          <w:color w:val="000000"/>
          <w:spacing w:val="0"/>
          <w:w w:val="100"/>
          <w:sz w:val="30"/>
          <w:vertAlign w:val="baseline"/>
          <w:lang w:val="de-DE"/>
        </w:rPr>
      </w:pPr>
      <w:r>
        <w:rPr>
          <w:rFonts w:ascii="Times New Roman" w:hAnsi="Times New Roman" w:eastAsia="Times New Roman"/>
          <w:color w:val="000000"/>
          <w:spacing w:val="0"/>
          <w:w w:val="100"/>
          <w:sz w:val="30"/>
          <w:vertAlign w:val="baseline"/>
          <w:lang w:val="de-DE"/>
        </w:rPr>
        <w:t xml:space="preserve">die Übernahme von Bürgschaften und Garantien oder von ähnlichen Haftungen, wenn der Höchstbetrag 50.000,00E übersteigt,</w:t>
      </w:r>
    </w:p>
    <w:p>
      <w:pPr>
        <w:pageBreakBefore w:val="false"/>
        <w:numPr>
          <w:ilvl w:val="0"/>
          <w:numId w:val="1"/>
        </w:numPr>
        <w:tabs>
          <w:tab w:val="clear" w:pos="360"/>
          <w:tab w:val="left" w:pos="1512"/>
        </w:tabs>
        <w:spacing w:before="71" w:after="0" w:line="340" w:lineRule="exact"/>
        <w:ind w:right="2880" w:left="1152" w:firstLine="0"/>
        <w:jc w:val="left"/>
        <w:textAlignment w:val="baseline"/>
        <w:rPr>
          <w:rFonts w:ascii="Times New Roman" w:hAnsi="Times New Roman" w:eastAsia="Times New Roman"/>
          <w:color w:val="000000"/>
          <w:spacing w:val="0"/>
          <w:w w:val="100"/>
          <w:sz w:val="30"/>
          <w:vertAlign w:val="baseline"/>
          <w:lang w:val="de-DE"/>
        </w:rPr>
      </w:pPr>
      <w:r>
        <w:rPr>
          <w:rFonts w:ascii="Times New Roman" w:hAnsi="Times New Roman" w:eastAsia="Times New Roman"/>
          <w:color w:val="000000"/>
          <w:spacing w:val="0"/>
          <w:w w:val="100"/>
          <w:sz w:val="30"/>
          <w:vertAlign w:val="baseline"/>
          <w:lang w:val="de-DE"/>
        </w:rPr>
        <w:t xml:space="preserve">die Errichtung, der Enverb und die Veräußerung von Unternehmen, Betriebsstätten und Zweigniederlassungen;</w:t>
      </w:r>
    </w:p>
    <w:p>
      <w:pPr>
        <w:pageBreakBefore w:val="false"/>
        <w:numPr>
          <w:ilvl w:val="0"/>
          <w:numId w:val="1"/>
        </w:numPr>
        <w:tabs>
          <w:tab w:val="clear" w:pos="360"/>
          <w:tab w:val="left" w:pos="1512"/>
        </w:tabs>
        <w:spacing w:before="78" w:after="0" w:line="345" w:lineRule="exact"/>
        <w:ind w:right="1440" w:left="1152" w:firstLine="0"/>
        <w:jc w:val="left"/>
        <w:textAlignment w:val="baseline"/>
        <w:rPr>
          <w:rFonts w:ascii="Times New Roman" w:hAnsi="Times New Roman" w:eastAsia="Times New Roman"/>
          <w:color w:val="000000"/>
          <w:spacing w:val="0"/>
          <w:w w:val="100"/>
          <w:sz w:val="30"/>
          <w:vertAlign w:val="baseline"/>
          <w:lang w:val="de-DE"/>
        </w:rPr>
      </w:pPr>
      <w:r>
        <w:rPr>
          <w:rFonts w:ascii="Times New Roman" w:hAnsi="Times New Roman" w:eastAsia="Times New Roman"/>
          <w:color w:val="000000"/>
          <w:spacing w:val="0"/>
          <w:w w:val="100"/>
          <w:sz w:val="30"/>
          <w:vertAlign w:val="baseline"/>
          <w:lang w:val="de-DE"/>
        </w:rPr>
        <w:t xml:space="preserve">der Erwerb und die Veräußerung von Beteiligungen an anderen Unternehmen sowie der Abschluss von Untemelunensverträgen;</w:t>
      </w:r>
    </w:p>
    <w:p>
      <w:pPr>
        <w:pageBreakBefore w:val="false"/>
        <w:numPr>
          <w:ilvl w:val="0"/>
          <w:numId w:val="1"/>
        </w:numPr>
        <w:tabs>
          <w:tab w:val="clear" w:pos="360"/>
          <w:tab w:val="left" w:pos="1512"/>
        </w:tabs>
        <w:spacing w:before="121" w:after="0" w:line="340" w:lineRule="exact"/>
        <w:ind w:right="1944" w:left="1152" w:firstLine="0"/>
        <w:jc w:val="left"/>
        <w:textAlignment w:val="baseline"/>
        <w:rPr>
          <w:rFonts w:ascii="Times New Roman" w:hAnsi="Times New Roman" w:eastAsia="Times New Roman"/>
          <w:color w:val="000000"/>
          <w:spacing w:val="0"/>
          <w:w w:val="100"/>
          <w:sz w:val="30"/>
          <w:vertAlign w:val="baseline"/>
          <w:lang w:val="de-DE"/>
        </w:rPr>
      </w:pPr>
      <w:r>
        <w:rPr>
          <w:rFonts w:ascii="Times New Roman" w:hAnsi="Times New Roman" w:eastAsia="Times New Roman"/>
          <w:color w:val="000000"/>
          <w:spacing w:val="0"/>
          <w:w w:val="100"/>
          <w:sz w:val="30"/>
          <w:vertAlign w:val="baseline"/>
          <w:lang w:val="de-DE"/>
        </w:rPr>
        <w:t xml:space="preserve">die Aufnahme und die Gewährung von Finanzkrediten, wenn die Kreditaufnahme im Einzelfall 100.000,00 </w:t>
      </w:r>
      <w:r>
        <w:rPr>
          <w:rFonts w:ascii="Times New Roman" w:hAnsi="Times New Roman" w:eastAsia="Times New Roman"/>
          <w:color w:val="000000"/>
          <w:spacing w:val="0"/>
          <w:w w:val="95"/>
          <w:sz w:val="40"/>
          <w:vertAlign w:val="baseline"/>
          <w:lang w:val="de-DE"/>
        </w:rPr>
        <w:t xml:space="preserve">e </w:t>
      </w:r>
      <w:r>
        <w:rPr>
          <w:rFonts w:ascii="Times New Roman" w:hAnsi="Times New Roman" w:eastAsia="Times New Roman"/>
          <w:color w:val="000000"/>
          <w:spacing w:val="0"/>
          <w:w w:val="100"/>
          <w:sz w:val="30"/>
          <w:vertAlign w:val="baseline"/>
          <w:lang w:val="de-DE"/>
        </w:rPr>
        <w:t xml:space="preserve">übersteigt,</w:t>
      </w:r>
    </w:p>
    <w:p>
      <w:pPr>
        <w:pageBreakBefore w:val="false"/>
        <w:spacing w:before="71" w:after="0" w:line="350" w:lineRule="exact"/>
        <w:ind w:right="0" w:left="1152" w:firstLine="0"/>
        <w:jc w:val="left"/>
        <w:textAlignment w:val="baseline"/>
        <w:rPr>
          <w:rFonts w:ascii="Times New Roman" w:hAnsi="Times New Roman" w:eastAsia="Times New Roman"/>
          <w:color w:val="000000"/>
          <w:spacing w:val="3"/>
          <w:w w:val="100"/>
          <w:sz w:val="30"/>
          <w:vertAlign w:val="baseline"/>
          <w:lang w:val="de-DE"/>
        </w:rPr>
      </w:pPr>
      <w:r>
        <w:rPr>
          <w:rFonts w:ascii="Times New Roman" w:hAnsi="Times New Roman" w:eastAsia="Times New Roman"/>
          <w:color w:val="000000"/>
          <w:spacing w:val="3"/>
          <w:w w:val="100"/>
          <w:sz w:val="30"/>
          <w:vertAlign w:val="baseline"/>
          <w:lang w:val="de-DE"/>
        </w:rPr>
        <w:t xml:space="preserve">t) die Ausgabe von Schuldverschreibungen;</w:t>
      </w:r>
    </w:p>
    <w:p>
      <w:pPr>
        <w:pageBreakBefore w:val="false"/>
        <w:spacing w:before="91" w:after="0" w:line="354" w:lineRule="exact"/>
        <w:ind w:right="1368" w:left="1152" w:firstLine="0"/>
        <w:jc w:val="left"/>
        <w:textAlignment w:val="baseline"/>
        <w:rPr>
          <w:rFonts w:ascii="Times New Roman" w:hAnsi="Times New Roman" w:eastAsia="Times New Roman"/>
          <w:color w:val="000000"/>
          <w:spacing w:val="0"/>
          <w:w w:val="100"/>
          <w:sz w:val="30"/>
          <w:vertAlign w:val="baseline"/>
          <w:lang w:val="de-DE"/>
        </w:rPr>
      </w:pPr>
      <w:r>
        <w:rPr>
          <w:rFonts w:ascii="Times New Roman" w:hAnsi="Times New Roman" w:eastAsia="Times New Roman"/>
          <w:color w:val="000000"/>
          <w:spacing w:val="0"/>
          <w:w w:val="100"/>
          <w:sz w:val="30"/>
          <w:vertAlign w:val="baseline"/>
          <w:lang w:val="de-DE"/>
        </w:rPr>
        <w:t xml:space="preserve">g) die Eingehung langfristiger Verbindlichkeiten, deren Laufzeit im Einzelfall 8 Jahre und deren Höhe im Einzelfall den Betrag von 50.000,00 € übersteigt.</w:t>
      </w:r>
    </w:p>
    <w:p>
      <w:pPr>
        <w:pageBreakBefore w:val="false"/>
        <w:spacing w:before="63" w:after="0" w:line="343" w:lineRule="exact"/>
        <w:ind w:right="1512" w:left="1152" w:firstLine="0"/>
        <w:jc w:val="left"/>
        <w:textAlignment w:val="baseline"/>
        <w:rPr>
          <w:rFonts w:ascii="Times New Roman" w:hAnsi="Times New Roman" w:eastAsia="Times New Roman"/>
          <w:color w:val="000000"/>
          <w:spacing w:val="0"/>
          <w:w w:val="100"/>
          <w:sz w:val="30"/>
          <w:vertAlign w:val="baseline"/>
          <w:lang w:val="de-DE"/>
        </w:rPr>
      </w:pPr>
      <w:r>
        <w:rPr>
          <w:rFonts w:ascii="Times New Roman" w:hAnsi="Times New Roman" w:eastAsia="Times New Roman"/>
          <w:color w:val="000000"/>
          <w:spacing w:val="0"/>
          <w:w w:val="100"/>
          <w:sz w:val="30"/>
          <w:vertAlign w:val="baseline"/>
          <w:lang w:val="de-DE"/>
        </w:rPr>
        <w:t xml:space="preserve">In dringenden Fällen, in denen die Einholung der vorherigen Zustimmung des Aufsichtsrates nicht möglich ist, kann der Vorstand ohne Mitwirkung des Aufsichtsrates entscheiden. Der Vorstand hat in solchen Ausnalunefällen dem Aufsichtsrat anschließend unverzüglich schriftlich Bericht zu erstatten.</w:t>
      </w:r>
    </w:p>
    <w:p>
      <w:pPr>
        <w:pageBreakBefore w:val="false"/>
        <w:spacing w:before="84" w:after="0" w:line="346" w:lineRule="exact"/>
        <w:ind w:right="1368" w:left="1152" w:firstLine="0"/>
        <w:jc w:val="left"/>
        <w:textAlignment w:val="baseline"/>
        <w:rPr>
          <w:rFonts w:ascii="Times New Roman" w:hAnsi="Times New Roman" w:eastAsia="Times New Roman"/>
          <w:color w:val="000000"/>
          <w:spacing w:val="0"/>
          <w:w w:val="100"/>
          <w:sz w:val="30"/>
          <w:vertAlign w:val="baseline"/>
          <w:lang w:val="de-DE"/>
        </w:rPr>
      </w:pPr>
      <w:r>
        <w:rPr>
          <w:rFonts w:ascii="Times New Roman" w:hAnsi="Times New Roman" w:eastAsia="Times New Roman"/>
          <w:color w:val="000000"/>
          <w:spacing w:val="0"/>
          <w:w w:val="100"/>
          <w:sz w:val="30"/>
          <w:vertAlign w:val="baseline"/>
          <w:lang w:val="de-DE"/>
        </w:rPr>
        <w:t xml:space="preserve">2. Der Vorstand hat dem Aufsichtsrat die jährliche Unternehmensplanung zu erlautern (Ergebnis-, Finanz- und Investitionsplan • einschließlich Bereitstellung von Sicherheiten- und Umsatzplan, jeweils unter Gegenüberstellung der entsprechenden Zahlen des vorangegangenen Geschäftsjahres sowie dem Soll-Ist-Vergleich des laufenden Geschäftsjahres) und zur Genehmigung vorzulegen.</w:t>
      </w:r>
    </w:p>
    <w:p>
      <w:pPr>
        <w:pageBreakBefore w:val="false"/>
        <w:spacing w:before="64" w:after="0" w:line="339" w:lineRule="exact"/>
        <w:ind w:right="1368" w:left="1152" w:firstLine="0"/>
        <w:jc w:val="left"/>
        <w:textAlignment w:val="baseline"/>
        <w:rPr>
          <w:rFonts w:ascii="Times New Roman" w:hAnsi="Times New Roman" w:eastAsia="Times New Roman"/>
          <w:color w:val="000000"/>
          <w:spacing w:val="0"/>
          <w:w w:val="100"/>
          <w:sz w:val="30"/>
          <w:vertAlign w:val="baseline"/>
          <w:lang w:val="de-DE"/>
        </w:rPr>
      </w:pPr>
      <w:r>
        <w:rPr>
          <w:rFonts w:ascii="Times New Roman" w:hAnsi="Times New Roman" w:eastAsia="Times New Roman"/>
          <w:color w:val="000000"/>
          <w:spacing w:val="0"/>
          <w:w w:val="100"/>
          <w:sz w:val="30"/>
          <w:vertAlign w:val="baseline"/>
          <w:lang w:val="de-DE"/>
        </w:rPr>
        <w:t xml:space="preserve">Soweit der genehmigte Plan Geschäfte enthält, die nach der Satzung oder dieser Geschäftsordnung der Zustimmung dm Aufsichtsrates bedürfen, ist für solche Geschäfte eine Einzelgenehmigung nicht mehr erforderlich.</w:t>
      </w:r>
    </w:p>
    <w:p>
      <w:pPr>
        <w:pageBreakBefore w:val="false"/>
        <w:spacing w:before="72" w:after="0" w:line="336" w:lineRule="exact"/>
        <w:ind w:right="1656" w:left="1152" w:firstLine="0"/>
        <w:jc w:val="left"/>
        <w:textAlignment w:val="baseline"/>
        <w:rPr>
          <w:rFonts w:ascii="Times New Roman" w:hAnsi="Times New Roman" w:eastAsia="Times New Roman"/>
          <w:color w:val="000000"/>
          <w:spacing w:val="0"/>
          <w:w w:val="100"/>
          <w:sz w:val="30"/>
          <w:vertAlign w:val="baseline"/>
          <w:lang w:val="de-DE"/>
        </w:rPr>
      </w:pPr>
      <w:r>
        <w:rPr>
          <w:rFonts w:ascii="Times New Roman" w:hAnsi="Times New Roman" w:eastAsia="Times New Roman"/>
          <w:color w:val="000000"/>
          <w:spacing w:val="0"/>
          <w:w w:val="100"/>
          <w:sz w:val="30"/>
          <w:vertAlign w:val="baseline"/>
          <w:lang w:val="de-DE"/>
        </w:rPr>
        <w:t xml:space="preserve">über die Realisierung dieser Pläne ist dem Aufsichtsrat vierteljährlich zu berichten. Zur Überschreitung eines genehmigten Finanz- und Investitionsplanes von mehr als insgesamt 20 % ist -</w:t>
      </w:r>
    </w:p>
    <w:p>
      <w:pPr>
        <w:sectPr>
          <w:type w:val="nextPage"/>
          <w:pgSz w:w="17280" w:h="23080" w:orient="portrait"/>
          <w:pgMar w:bottom="1504" w:top="20" w:right="1110" w:left="930" w:header="720" w:footer="720"/>
          <w:titlePg w:val="false"/>
          <w:textDirection w:val="lrTb"/>
        </w:sectPr>
      </w:pPr>
    </w:p>
    <w:p>
      <w:pPr>
        <w:pageBreakBefore w:val="false"/>
        <w:tabs>
          <w:tab w:val="left" w:leader="none" w:pos="4392"/>
          <w:tab w:val="left" w:leader="none" w:pos="10080"/>
          <w:tab w:val="right" w:leader="none" w:pos="15336"/>
        </w:tabs>
        <w:spacing w:before="25" w:after="0" w:line="395" w:lineRule="exact"/>
        <w:ind w:right="0" w:left="0" w:firstLine="0"/>
        <w:jc w:val="left"/>
        <w:textAlignment w:val="baseline"/>
        <w:rPr>
          <w:rFonts w:ascii="Courier New" w:hAnsi="Courier New" w:eastAsia="Courier New"/>
          <w:color w:val="000000"/>
          <w:spacing w:val="0"/>
          <w:w w:val="100"/>
          <w:sz w:val="31"/>
          <w:vertAlign w:val="baseline"/>
          <w:lang w:val="de-DE"/>
        </w:rPr>
      </w:pPr>
      <w:r>
        <w:rPr>
          <w:rFonts w:ascii="Courier New" w:hAnsi="Courier New" w:eastAsia="Courier New"/>
          <w:color w:val="000000"/>
          <w:spacing w:val="0"/>
          <w:w w:val="100"/>
          <w:sz w:val="31"/>
          <w:vertAlign w:val="baseline"/>
          <w:lang w:val="de-DE"/>
        </w:rPr>
        <w:t xml:space="preserve">22 MOR 2002 17:22	</w:t>
      </w:r>
      <w:r>
        <w:rPr>
          <w:rFonts w:ascii="Courier New" w:hAnsi="Courier New" w:eastAsia="Courier New"/>
          <w:color w:val="000000"/>
          <w:spacing w:val="0"/>
          <w:w w:val="100"/>
          <w:sz w:val="31"/>
          <w:vertAlign w:val="baseline"/>
          <w:lang w:val="de-DE"/>
        </w:rPr>
        <w:t xml:space="preserve">SI SYSTEMS INTEGRRTION	</w:t>
      </w:r>
      <w:r>
        <w:rPr>
          <w:rFonts w:ascii="Courier New" w:hAnsi="Courier New" w:eastAsia="Courier New"/>
          <w:color w:val="000000"/>
          <w:spacing w:val="0"/>
          <w:w w:val="100"/>
          <w:sz w:val="31"/>
          <w:vertAlign w:val="baseline"/>
          <w:lang w:val="de-DE"/>
        </w:rPr>
        <w:t xml:space="preserve">498929037724	</w:t>
      </w:r>
      <w:r>
        <w:rPr>
          <w:rFonts w:ascii="Courier New" w:hAnsi="Courier New" w:eastAsia="Courier New"/>
          <w:color w:val="000000"/>
          <w:spacing w:val="0"/>
          <w:w w:val="100"/>
          <w:sz w:val="31"/>
          <w:vertAlign w:val="baseline"/>
          <w:lang w:val="de-DE"/>
        </w:rPr>
        <w:t xml:space="preserve">p</w:t>
      </w:r>
      <w:r>
        <w:rPr>
          <w:rFonts w:ascii="Arial" w:hAnsi="Arial" w:eastAsia="Arial"/>
          <w:color w:val="000000"/>
          <w:spacing w:val="0"/>
          <w:w w:val="100"/>
          <w:sz w:val="33"/>
          <w:vertAlign w:val="baseline"/>
          <w:lang w:val="de-DE"/>
        </w:rPr>
        <w:t xml:space="preserve">.</w:t>
      </w:r>
      <w:r>
        <w:rPr>
          <w:rFonts w:ascii="Courier New" w:hAnsi="Courier New" w:eastAsia="Courier New"/>
          <w:color w:val="000000"/>
          <w:spacing w:val="0"/>
          <w:w w:val="100"/>
          <w:sz w:val="31"/>
          <w:vertAlign w:val="baseline"/>
          <w:lang w:val="de-DE"/>
        </w:rPr>
        <w:t xml:space="preserve">2</w:t>
      </w:r>
    </w:p>
    <w:p>
      <w:pPr>
        <w:pageBreakBefore w:val="false"/>
        <w:spacing w:before="1764" w:after="0" w:line="361" w:lineRule="exact"/>
        <w:ind w:right="2664" w:left="1152" w:firstLine="0"/>
        <w:jc w:val="left"/>
        <w:textAlignment w:val="baseline"/>
        <w:rPr>
          <w:rFonts w:ascii="Times New Roman" w:hAnsi="Times New Roman" w:eastAsia="Times New Roman"/>
          <w:color w:val="000000"/>
          <w:spacing w:val="0"/>
          <w:w w:val="100"/>
          <w:sz w:val="31"/>
          <w:vertAlign w:val="baseline"/>
          <w:lang w:val="de-DE"/>
        </w:rPr>
      </w:pPr>
      <w:r>
        <w:rPr>
          <w:rFonts w:ascii="Times New Roman" w:hAnsi="Times New Roman" w:eastAsia="Times New Roman"/>
          <w:color w:val="000000"/>
          <w:spacing w:val="0"/>
          <w:w w:val="100"/>
          <w:sz w:val="31"/>
          <w:vertAlign w:val="baseline"/>
          <w:lang w:val="de-DE"/>
        </w:rPr>
        <w:t xml:space="preserve">unabhängig davon, ob das einzelne Geschäft der Genehmigung bedarf - die Zustimmung des Aufsichtsrates erforderlich.</w:t>
      </w:r>
    </w:p>
    <w:p>
      <w:pPr>
        <w:pageBreakBefore w:val="false"/>
        <w:spacing w:before="335" w:after="0" w:line="353" w:lineRule="exact"/>
        <w:ind w:right="0" w:left="1152" w:firstLine="0"/>
        <w:jc w:val="left"/>
        <w:textAlignment w:val="baseline"/>
        <w:rPr>
          <w:rFonts w:ascii="Times New Roman" w:hAnsi="Times New Roman" w:eastAsia="Times New Roman"/>
          <w:color w:val="000000"/>
          <w:spacing w:val="2"/>
          <w:w w:val="100"/>
          <w:sz w:val="31"/>
          <w:vertAlign w:val="baseline"/>
          <w:lang w:val="de-DE"/>
        </w:rPr>
      </w:pPr>
      <w:r>
        <w:rPr>
          <w:rFonts w:ascii="Times New Roman" w:hAnsi="Times New Roman" w:eastAsia="Times New Roman"/>
          <w:color w:val="000000"/>
          <w:spacing w:val="2"/>
          <w:w w:val="100"/>
          <w:sz w:val="31"/>
          <w:vertAlign w:val="baseline"/>
          <w:lang w:val="de-DE"/>
        </w:rPr>
        <w:t xml:space="preserve">§ 4 Ausschüsse</w:t>
      </w:r>
    </w:p>
    <w:p>
      <w:pPr>
        <w:pageBreakBefore w:val="false"/>
        <w:spacing w:before="100" w:after="0" w:line="347" w:lineRule="exact"/>
        <w:ind w:right="0" w:left="1152" w:firstLine="0"/>
        <w:jc w:val="left"/>
        <w:textAlignment w:val="baseline"/>
        <w:rPr>
          <w:rFonts w:ascii="Times New Roman" w:hAnsi="Times New Roman" w:eastAsia="Times New Roman"/>
          <w:color w:val="000000"/>
          <w:spacing w:val="0"/>
          <w:w w:val="100"/>
          <w:sz w:val="31"/>
          <w:vertAlign w:val="baseline"/>
          <w:lang w:val="de-DE"/>
        </w:rPr>
      </w:pPr>
      <w:r>
        <w:rPr>
          <w:rFonts w:ascii="Times New Roman" w:hAnsi="Times New Roman" w:eastAsia="Times New Roman"/>
          <w:color w:val="000000"/>
          <w:spacing w:val="0"/>
          <w:w w:val="100"/>
          <w:sz w:val="31"/>
          <w:vertAlign w:val="baseline"/>
          <w:lang w:val="de-DE"/>
        </w:rPr>
        <w:t xml:space="preserve">Der Aufsichtsrat kann Ausschüsse bilden.</w:t>
      </w:r>
    </w:p>
    <w:p>
      <w:pPr>
        <w:pageBreakBefore w:val="false"/>
        <w:spacing w:before="0" w:after="0" w:line="342" w:lineRule="exact"/>
        <w:ind w:right="0" w:left="1152" w:firstLine="0"/>
        <w:jc w:val="left"/>
        <w:textAlignment w:val="baseline"/>
        <w:rPr>
          <w:rFonts w:ascii="Times New Roman" w:hAnsi="Times New Roman" w:eastAsia="Times New Roman"/>
          <w:color w:val="000000"/>
          <w:spacing w:val="0"/>
          <w:w w:val="100"/>
          <w:sz w:val="31"/>
          <w:vertAlign w:val="baseline"/>
          <w:lang w:val="de-DE"/>
        </w:rPr>
      </w:pPr>
      <w:r>
        <w:rPr>
          <w:rFonts w:ascii="Times New Roman" w:hAnsi="Times New Roman" w:eastAsia="Times New Roman"/>
          <w:color w:val="000000"/>
          <w:spacing w:val="0"/>
          <w:w w:val="100"/>
          <w:sz w:val="31"/>
          <w:vertAlign w:val="baseline"/>
          <w:lang w:val="de-DE"/>
        </w:rPr>
        <w:t xml:space="preserve">Die Wahl des Ausschussmitgliedes erfolgt auf die längste nach § 102 AktG zulässige Zeit.</w:t>
      </w:r>
    </w:p>
    <w:p>
      <w:pPr>
        <w:pageBreakBefore w:val="false"/>
        <w:spacing w:before="0" w:after="0" w:line="348" w:lineRule="exact"/>
        <w:ind w:right="0" w:left="1152" w:firstLine="0"/>
        <w:jc w:val="left"/>
        <w:textAlignment w:val="baseline"/>
        <w:rPr>
          <w:rFonts w:ascii="Times New Roman" w:hAnsi="Times New Roman" w:eastAsia="Times New Roman"/>
          <w:color w:val="000000"/>
          <w:spacing w:val="0"/>
          <w:w w:val="100"/>
          <w:sz w:val="31"/>
          <w:vertAlign w:val="baseline"/>
          <w:lang w:val="de-DE"/>
        </w:rPr>
      </w:pPr>
      <w:r>
        <w:rPr>
          <w:rFonts w:ascii="Times New Roman" w:hAnsi="Times New Roman" w:eastAsia="Times New Roman"/>
          <w:color w:val="000000"/>
          <w:spacing w:val="0"/>
          <w:w w:val="100"/>
          <w:sz w:val="31"/>
          <w:vertAlign w:val="baseline"/>
          <w:lang w:val="de-DE"/>
        </w:rPr>
        <w:t xml:space="preserve">Wiedenvahl ist zulässig.</w:t>
      </w:r>
    </w:p>
    <w:p>
      <w:pPr>
        <w:pageBreakBefore w:val="false"/>
        <w:spacing w:before="52" w:after="0" w:line="350" w:lineRule="exact"/>
        <w:ind w:right="1728" w:left="1152" w:firstLine="0"/>
        <w:jc w:val="left"/>
        <w:textAlignment w:val="baseline"/>
        <w:rPr>
          <w:rFonts w:ascii="Times New Roman" w:hAnsi="Times New Roman" w:eastAsia="Times New Roman"/>
          <w:color w:val="000000"/>
          <w:spacing w:val="0"/>
          <w:w w:val="100"/>
          <w:sz w:val="31"/>
          <w:vertAlign w:val="baseline"/>
          <w:lang w:val="de-DE"/>
        </w:rPr>
      </w:pPr>
      <w:r>
        <w:rPr>
          <w:rFonts w:ascii="Times New Roman" w:hAnsi="Times New Roman" w:eastAsia="Times New Roman"/>
          <w:color w:val="000000"/>
          <w:spacing w:val="0"/>
          <w:w w:val="100"/>
          <w:sz w:val="31"/>
          <w:vertAlign w:val="baseline"/>
          <w:lang w:val="de-DE"/>
        </w:rPr>
        <w:t xml:space="preserve">Die für den Aufsichtsrat in der Satzung und dieser Geschäftsordnung getroffenen Regelungen gelten entsprechend ler die innere Ordnung der Ausschüsse, soweit nicht nachfolgend Abweichendes bestinunt ist</w:t>
      </w:r>
    </w:p>
    <w:p>
      <w:pPr>
        <w:pageBreakBefore w:val="false"/>
        <w:spacing w:before="54" w:after="0" w:line="353" w:lineRule="exact"/>
        <w:ind w:right="0" w:left="1152" w:firstLine="0"/>
        <w:jc w:val="left"/>
        <w:textAlignment w:val="baseline"/>
        <w:rPr>
          <w:rFonts w:ascii="Times New Roman" w:hAnsi="Times New Roman" w:eastAsia="Times New Roman"/>
          <w:color w:val="000000"/>
          <w:spacing w:val="0"/>
          <w:w w:val="100"/>
          <w:sz w:val="31"/>
          <w:vertAlign w:val="baseline"/>
          <w:lang w:val="de-DE"/>
        </w:rPr>
      </w:pPr>
      <w:r>
        <w:rPr>
          <w:rFonts w:ascii="Times New Roman" w:hAnsi="Times New Roman" w:eastAsia="Times New Roman"/>
          <w:color w:val="000000"/>
          <w:spacing w:val="0"/>
          <w:w w:val="100"/>
          <w:sz w:val="31"/>
          <w:vertAlign w:val="baseline"/>
          <w:lang w:val="de-DE"/>
        </w:rPr>
        <w:t xml:space="preserve">Die Ausschüsse sind beschlussfähig, wenn alle Mitglieder an der Beschlussfassung teilnehmen.</w:t>
      </w:r>
    </w:p>
    <w:p>
      <w:pPr>
        <w:pageBreakBefore w:val="false"/>
        <w:spacing w:before="229" w:after="0" w:line="361" w:lineRule="exact"/>
        <w:ind w:right="0" w:left="1152" w:firstLine="0"/>
        <w:jc w:val="left"/>
        <w:textAlignment w:val="baseline"/>
        <w:rPr>
          <w:rFonts w:ascii="Times New Roman" w:hAnsi="Times New Roman" w:eastAsia="Times New Roman"/>
          <w:color w:val="000000"/>
          <w:spacing w:val="6"/>
          <w:w w:val="100"/>
          <w:sz w:val="31"/>
          <w:vertAlign w:val="baseline"/>
          <w:lang w:val="de-DE"/>
        </w:rPr>
      </w:pPr>
      <w:r>
        <w:rPr>
          <w:rFonts w:ascii="Times New Roman" w:hAnsi="Times New Roman" w:eastAsia="Times New Roman"/>
          <w:color w:val="000000"/>
          <w:spacing w:val="6"/>
          <w:w w:val="100"/>
          <w:sz w:val="31"/>
          <w:vertAlign w:val="baseline"/>
          <w:lang w:val="de-DE"/>
        </w:rPr>
        <w:t xml:space="preserve">§ 5 Teilnahme an Sitzungen des Aufsichtsrates</w:t>
      </w:r>
    </w:p>
    <w:p>
      <w:pPr>
        <w:pageBreakBefore w:val="false"/>
        <w:numPr>
          <w:ilvl w:val="0"/>
          <w:numId w:val="2"/>
        </w:numPr>
        <w:tabs>
          <w:tab w:val="clear" w:pos="360"/>
          <w:tab w:val="left" w:pos="1512"/>
        </w:tabs>
        <w:spacing w:before="132" w:after="0" w:line="340" w:lineRule="exact"/>
        <w:ind w:right="1872" w:left="1152" w:firstLine="0"/>
        <w:jc w:val="left"/>
        <w:textAlignment w:val="baseline"/>
        <w:rPr>
          <w:rFonts w:ascii="Times New Roman" w:hAnsi="Times New Roman" w:eastAsia="Times New Roman"/>
          <w:color w:val="000000"/>
          <w:spacing w:val="0"/>
          <w:w w:val="100"/>
          <w:sz w:val="31"/>
          <w:vertAlign w:val="baseline"/>
          <w:lang w:val="de-DE"/>
        </w:rPr>
      </w:pPr>
      <w:r>
        <w:rPr>
          <w:rFonts w:ascii="Times New Roman" w:hAnsi="Times New Roman" w:eastAsia="Times New Roman"/>
          <w:color w:val="000000"/>
          <w:spacing w:val="0"/>
          <w:w w:val="100"/>
          <w:sz w:val="31"/>
          <w:vertAlign w:val="baseline"/>
          <w:lang w:val="de-DE"/>
        </w:rPr>
        <w:t xml:space="preserve">Zu den Sitzungen des Aufsichtsrates können nach entsprechender Beschlussfassung Berater, Sachverständige und sonstige Auskunftspersonen zur Erörterung einzelner Gegenstände zugezogen werden.</w:t>
      </w:r>
    </w:p>
    <w:p>
      <w:pPr>
        <w:pageBreakBefore w:val="false"/>
        <w:numPr>
          <w:ilvl w:val="0"/>
          <w:numId w:val="2"/>
        </w:numPr>
        <w:tabs>
          <w:tab w:val="clear" w:pos="360"/>
          <w:tab w:val="left" w:pos="1512"/>
        </w:tabs>
        <w:spacing w:before="16" w:after="0" w:line="353" w:lineRule="exact"/>
        <w:ind w:right="0" w:left="1152" w:firstLine="0"/>
        <w:jc w:val="left"/>
        <w:textAlignment w:val="baseline"/>
        <w:rPr>
          <w:rFonts w:ascii="Times New Roman" w:hAnsi="Times New Roman" w:eastAsia="Times New Roman"/>
          <w:color w:val="000000"/>
          <w:spacing w:val="0"/>
          <w:w w:val="100"/>
          <w:sz w:val="31"/>
          <w:vertAlign w:val="baseline"/>
          <w:lang w:val="de-DE"/>
        </w:rPr>
      </w:pPr>
      <w:r>
        <w:rPr>
          <w:rFonts w:ascii="Times New Roman" w:hAnsi="Times New Roman" w:eastAsia="Times New Roman"/>
          <w:color w:val="000000"/>
          <w:spacing w:val="0"/>
          <w:w w:val="100"/>
          <w:sz w:val="31"/>
          <w:vertAlign w:val="baseline"/>
          <w:lang w:val="de-DE"/>
        </w:rPr>
        <w:t xml:space="preserve">Der Vorstend soll an allen Aufsichtsratssitzungen, zu denen er eingeladen worden ist, teilnehmen.</w:t>
      </w:r>
    </w:p>
    <w:p>
      <w:pPr>
        <w:pageBreakBefore w:val="false"/>
        <w:spacing w:before="239" w:after="0" w:line="353" w:lineRule="exact"/>
        <w:ind w:right="0" w:left="1152" w:firstLine="0"/>
        <w:jc w:val="left"/>
        <w:textAlignment w:val="baseline"/>
        <w:rPr>
          <w:rFonts w:ascii="Times New Roman" w:hAnsi="Times New Roman" w:eastAsia="Times New Roman"/>
          <w:color w:val="000000"/>
          <w:spacing w:val="7"/>
          <w:w w:val="100"/>
          <w:sz w:val="31"/>
          <w:vertAlign w:val="baseline"/>
          <w:lang w:val="de-DE"/>
        </w:rPr>
      </w:pPr>
      <w:r>
        <w:rPr>
          <w:rFonts w:ascii="Times New Roman" w:hAnsi="Times New Roman" w:eastAsia="Times New Roman"/>
          <w:color w:val="000000"/>
          <w:spacing w:val="7"/>
          <w:w w:val="100"/>
          <w:sz w:val="31"/>
          <w:vertAlign w:val="baseline"/>
          <w:lang w:val="de-DE"/>
        </w:rPr>
        <w:t xml:space="preserve">§ 6 Verschwiegenheitspflicht der Aufsichtsratsmitglieder</w:t>
      </w:r>
    </w:p>
    <w:p>
      <w:pPr>
        <w:pageBreakBefore w:val="false"/>
        <w:spacing w:before="207" w:after="0" w:line="344" w:lineRule="exact"/>
        <w:ind w:right="1872" w:left="1152" w:firstLine="0"/>
        <w:jc w:val="left"/>
        <w:textAlignment w:val="baseline"/>
        <w:rPr>
          <w:rFonts w:ascii="Times New Roman" w:hAnsi="Times New Roman" w:eastAsia="Times New Roman"/>
          <w:color w:val="000000"/>
          <w:spacing w:val="0"/>
          <w:w w:val="100"/>
          <w:sz w:val="31"/>
          <w:vertAlign w:val="baseline"/>
          <w:lang w:val="de-DE"/>
        </w:rPr>
      </w:pPr>
      <w:r>
        <w:pict>
          <v:shapetype id="_x0000_t1" coordsize="21600,21600" o:spt="202" path="m,l,21600r21600,l21600,xe">
            <v:stroke joinstyle="miter"/>
            <v:path gradientshapeok="t" o:connecttype="rect"/>
          </v:shapetype>
          <v:shape id="_x0000_s0" type="#_x0000_t1" filled="f" stroked="f" style="position:absolute;width:770.1pt;height:345.4pt;z-index:-1000;margin-left:45.85pt;margin-top:570.5pt;mso-wrap-distance-left:0pt;mso-wrap-distance-right:0pt;mso-position-horizontal-relative:page;mso-position-vertical-relative:page">
            <w10:wrap type="square"/>
            <v:fill opacity="1" o:opacity2="1" recolor="f" rotate="f" type="solid"/>
            <v:textbox inset="0pt, 0pt, 0pt, 0pt">
              <w:txbxContent/>
            </v:textbox>
          </v:shape>
        </w:pict>
      </w:r>
      <w:r>
        <w:drawing>
          <wp:anchor distT="0" distB="0" distL="0" distR="0" simplePos="false" relativeHeight="251658240" behindDoc="true" locked="false" layoutInCell="true" allowOverlap="true">
            <wp:simplePos x="0" y="0"/>
            <wp:positionH relativeFrom="page">
              <wp:posOffset>582295</wp:posOffset>
            </wp:positionH>
            <wp:positionV relativeFrom="page">
              <wp:posOffset>7245350</wp:posOffset>
            </wp:positionV>
            <wp:extent cx="3886200" cy="4368800"/>
            <wp:wrapThrough wrapText="bothSides">
              <wp:wrapPolygon>
                <wp:start x="0" y="0"/>
                <wp:lineTo x="0" y="21600"/>
                <wp:lineTo x="21600" y="21600"/>
                <wp:lineTo x="21600" y="13154"/>
                <wp:lineTo x="10411" y="13154"/>
                <wp:lineTo x="10411" y="8351"/>
                <wp:lineTo x="6988" y="8351"/>
                <wp:lineTo x="6988" y="5494"/>
                <wp:lineTo x="9600" y="5494"/>
                <wp:lineTo x="9600" y="0"/>
                <wp:lineTo x="0" y="0"/>
              </wp:wrapPolygon>
            </wp:wrapThrough>
            <wp:docPr name="IrregularPicture" id="1"/>
            <a:graphic>
              <a:graphicData uri="http://schemas.openxmlformats.org/drawingml/2006/picture">
                <pic:pic>
                  <pic:nvPicPr>
                    <pic:cNvPr id="1" name="Picture"/>
                    <pic:cNvPicPr preferRelativeResize="false"/>
                  </pic:nvPicPr>
                  <pic:blipFill>
                    <a:blip r:embed="prId1"/>
                    <a:stretch>
                      <a:fillRect/>
                    </a:stretch>
                  </pic:blipFill>
                  <pic:spPr>
                    <a:xfrm>
                      <a:off x="0" y="0"/>
                      <a:ext cx="3886200" cy="4368800"/>
                    </a:xfrm>
                    <a:prstGeom prst="rect"/>
                  </pic:spPr>
                </pic:pic>
              </a:graphicData>
            </a:graphic>
          </wp:anchor>
        </w:drawing>
      </w:r>
      <w:r>
        <w:pict>
          <v:shapetype id="_x0000_t3" coordsize="21600,21600" o:spt="202" path="m,l,21600r21600,l21600,xe">
            <v:stroke joinstyle="miter"/>
            <v:path gradientshapeok="t" o:connecttype="rect"/>
          </v:shapetype>
          <v:shape id="_x0000_s2" type="#_x0000_t3" filled="f" stroked="f" style="position:absolute;width:587.85pt;height:87.5pt;z-index:-998;margin-left:228.1pt;margin-top:570.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97" w:after="0" w:line="610" w:lineRule="exact"/>
                    <w:ind w:right="0" w:left="360" w:firstLine="0"/>
                    <w:jc w:val="left"/>
                    <w:textAlignment w:val="baseline"/>
                    <w:rPr>
                      <w:rFonts w:ascii="Times New Roman" w:hAnsi="Times New Roman" w:eastAsia="Times New Roman"/>
                      <w:color w:val="000000"/>
                      <w:spacing w:val="72"/>
                      <w:w w:val="60"/>
                      <w:sz w:val="57"/>
                      <w:vertAlign w:val="superscript"/>
                      <w:lang w:val="de-DE"/>
                    </w:rPr>
                  </w:pPr>
                  <w:r>
                    <w:rPr>
                      <w:rFonts w:ascii="Times New Roman" w:hAnsi="Times New Roman" w:eastAsia="Times New Roman"/>
                      <w:color w:val="000000"/>
                      <w:spacing w:val="72"/>
                      <w:w w:val="60"/>
                      <w:sz w:val="57"/>
                      <w:vertAlign w:val="superscript"/>
                      <w:lang w:val="de-DE"/>
                    </w:rPr>
                    <w:t xml:space="preserve">-</w:t>
                  </w:r>
                  <w:r>
                    <w:rPr>
                      <w:rFonts w:ascii="Times New Roman" w:hAnsi="Times New Roman" w:eastAsia="Times New Roman"/>
                      <w:color w:val="000000"/>
                      <w:spacing w:val="72"/>
                      <w:w w:val="115"/>
                      <w:sz w:val="50"/>
                      <w:vertAlign w:val="baseline"/>
                      <w:lang w:val="de-DE"/>
                    </w:rPr>
                    <w:t xml:space="preserve">22.3 20</w:t>
                  </w:r>
                </w:p>
              </w:txbxContent>
            </v:textbox>
          </v:shape>
        </w:pict>
      </w:r>
      <w:r>
        <w:pict>
          <v:shapetype id="_x0000_t4" coordsize="21600,21600" o:spt="202" path="m,l,21600r21600,l21600,xe">
            <v:stroke joinstyle="miter"/>
            <v:path gradientshapeok="t" o:connecttype="rect"/>
          </v:shapetype>
          <v:shape id="_x0000_s3" type="#_x0000_t4" filled="f" stroked="f" style="position:absolute;width:624.85pt;height:43.5pt;z-index:-997;margin-left:191.1pt;margin-top:658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100" w:after="0" w:line="909" w:lineRule="exact"/>
                    <w:ind w:right="0" w:left="0" w:firstLine="0"/>
                    <w:jc w:val="left"/>
                    <w:textAlignment w:val="baseline"/>
                    <w:rPr>
                      <w:rFonts w:ascii="Times New Roman" w:hAnsi="Times New Roman" w:eastAsia="Times New Roman"/>
                      <w:color w:val="000000"/>
                      <w:spacing w:val="-4"/>
                      <w:w w:val="115"/>
                      <w:sz w:val="50"/>
                      <w:vertAlign w:val="baseline"/>
                      <w:lang w:val="de-DE"/>
                    </w:rPr>
                  </w:pPr>
                  <w:r>
                    <w:rPr>
                      <w:rFonts w:ascii="Times New Roman" w:hAnsi="Times New Roman" w:eastAsia="Times New Roman"/>
                      <w:color w:val="000000"/>
                      <w:spacing w:val="-4"/>
                      <w:w w:val="115"/>
                      <w:sz w:val="50"/>
                      <w:vertAlign w:val="baseline"/>
                      <w:lang w:val="de-DE"/>
                    </w:rPr>
                    <w:t xml:space="preserve">ace,ezc</w:t>
                  </w:r>
                </w:p>
              </w:txbxContent>
            </v:textbox>
          </v:shape>
        </w:pict>
      </w:r>
      <w:r>
        <w:pict>
          <v:shapetype id="_x0000_t5" coordsize="21600,21600" o:spt="202" path="m,l,21600r21600,l21600,xe">
            <v:stroke joinstyle="miter"/>
            <v:path gradientshapeok="t" o:connecttype="rect"/>
          </v:shapetype>
          <v:shape id="_x0000_s4" type="#_x0000_t5" filled="f" stroked="f" style="position:absolute;width:130pt;height:78.5pt;z-index:-996;margin-left:238.5pt;margin-top:701.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1" w:after="0" w:line="1525" w:lineRule="exact"/>
                    <w:ind w:right="0" w:left="0" w:firstLine="0"/>
                    <w:jc w:val="left"/>
                    <w:textAlignment w:val="baseline"/>
                    <w:rPr>
                      <w:rFonts w:ascii="Times New Roman" w:hAnsi="Times New Roman" w:eastAsia="Times New Roman"/>
                      <w:color w:val="000000"/>
                      <w:spacing w:val="-28"/>
                      <w:w w:val="135"/>
                      <w:sz w:val="82"/>
                      <w:vertAlign w:val="baseline"/>
                      <w:lang w:val="de-DE"/>
                    </w:rPr>
                  </w:pPr>
                  <w:r>
                    <w:rPr>
                      <w:rFonts w:ascii="Times New Roman" w:hAnsi="Times New Roman" w:eastAsia="Times New Roman"/>
                      <w:color w:val="000000"/>
                      <w:spacing w:val="-28"/>
                      <w:w w:val="135"/>
                      <w:sz w:val="82"/>
                      <w:vertAlign w:val="baseline"/>
                      <w:lang w:val="de-DE"/>
                    </w:rPr>
                    <w:t xml:space="preserve">.:e#L/</w:t>
                  </w:r>
                </w:p>
              </w:txbxContent>
            </v:textbox>
          </v:shape>
        </w:pict>
      </w:r>
      <w:r>
        <w:pict>
          <v:shapetype id="_x0000_t6" coordsize="21600,21600" o:spt="202" path="m,l,21600r21600,l21600,xe">
            <v:stroke joinstyle="miter"/>
            <v:path gradientshapeok="t" o:connecttype="rect"/>
          </v:shapetype>
          <v:shape id="_x0000_s5" type="#_x0000_t6" filled="f" stroked="f" style="position:absolute;width:447.45pt;height:78.5pt;z-index:-995;margin-left:368.5pt;margin-top:701.5pt;mso-wrap-distance-left:0pt;mso-wrap-distance-right:0pt;mso-position-horizontal-relative:page;mso-position-vertical-relative:page">
            <w10:wrap type="square" side="both"/>
            <v:fill opacity="1" o:opacity2="1" recolor="f" rotate="f" type="solid"/>
            <v:textbox inset="0pt, 0pt, 0pt, 0pt">
              <w:txbxContent>
                <w:p>
                  <w:pPr>
                    <w:pageBreakBefore w:val="false"/>
                    <w:spacing w:before="250" w:after="0" w:line="240" w:lineRule="auto"/>
                    <w:ind w:right="8429" w:left="40"/>
                    <w:jc w:val="left"/>
                    <w:textAlignment w:val="baseline"/>
                  </w:pPr>
                  <w:r>
                    <w:drawing>
                      <wp:inline>
                        <wp:extent cx="304800" cy="838200"/>
                        <wp:docPr name="Picture" id="2"/>
                        <a:graphic>
                          <a:graphicData uri="http://schemas.openxmlformats.org/drawingml/2006/picture">
                            <pic:pic>
                              <pic:nvPicPr>
                                <pic:cNvPr id="2" name="Picture"/>
                                <pic:cNvPicPr preferRelativeResize="false"/>
                              </pic:nvPicPr>
                              <pic:blipFill>
                                <a:blip r:embed="prId2"/>
                                <a:stretch>
                                  <a:fillRect/>
                                </a:stretch>
                              </pic:blipFill>
                              <pic:spPr>
                                <a:xfrm>
                                  <a:off x="0" y="0"/>
                                  <a:ext cx="304800" cy="838200"/>
                                </a:xfrm>
                                <a:prstGeom prst="rect"/>
                              </pic:spPr>
                            </pic:pic>
                          </a:graphicData>
                        </a:graphic>
                      </wp:inline>
                    </w:drawing>
                  </w:r>
                </w:p>
              </w:txbxContent>
            </v:textbox>
          </v:shape>
        </w:pict>
      </w:r>
      <w:r>
        <w:rPr>
          <w:rFonts w:ascii="Times New Roman" w:hAnsi="Times New Roman" w:eastAsia="Times New Roman"/>
          <w:color w:val="000000"/>
          <w:spacing w:val="0"/>
          <w:w w:val="100"/>
          <w:sz w:val="31"/>
          <w:vertAlign w:val="baseline"/>
          <w:lang w:val="de-DE"/>
        </w:rPr>
        <w:t xml:space="preserve">Die Mitglieder des Aufsichtsrates haben über die ihnen bei ihrer Tätigkeit als Aufsichtsratsmitglied bekannt gewordenen Tatsachen, deren Offenbarung die Interessen der Gesellschaft beeinträchtigen könnte, Dritten gegenüber Stillschweigen zu bewahren. Diese Verpflichtung besteht auch nach Beendigung Ihres Amtes.</w:t>
      </w:r>
    </w:p>
    <w:sectPr>
      <w:type w:val="nextPage"/>
      <w:pgSz w:w="17280" w:h="23120" w:orient="portrait"/>
      <w:pgMar w:bottom="11314" w:top="0" w:right="961" w:left="917" w:header="720" w:footer="720"/>
      <w:titlePg w:val="false"/>
      <w:textDirection w:val="lrTb"/>
    </w:sectPr>
  </w:body>
</w:document>
</file>

<file path=word/fontTable.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Arial">
    <w:charset w:val="00"/>
    <w:pitch w:val="variable"/>
    <w:family w:val="swiss"/>
    <w:panose1 w:val="02020603050405020304"/>
  </w:font>
  <w:font w:name="Courier New">
    <w:charset w:val="00"/>
    <w:pitch w:val="fixed"/>
    <w:family w:val="auto"/>
    <w:panose1 w:val="02020603050405020304"/>
  </w:font>
  <w:font w:name="Times New Roman">
    <w:charset w:val="00"/>
    <w:pitch w:val="variable"/>
    <w:family w:val="roman"/>
    <w:panose1 w:val="02020603050405020304"/>
  </w:font>
</w:fonts>
</file>

<file path=word/numbering.xml><?xml version="1.0" encoding="utf-8"?>
<w:numbering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abstractNum w:abstractNumId="1">
    <w:lvl w:ilvl="0">
      <w:start w:val="1"/>
      <w:numFmt w:val="lowerLetter"/>
      <w:lvlText w:val="%1)"/>
      <w:pPr>
        <w:tabs>
          <w:tab w:val="left" w:pos="360"/>
        </w:tabs>
      </w:pPr>
      <w:rPr>
        <w:rFonts w:ascii="Times New Roman" w:hAnsi="Times New Roman" w:eastAsia="Times New Roman"/>
        <w:color w:val="000000"/>
        <w:spacing w:val="0"/>
        <w:w w:val="100"/>
        <w:sz w:val="30"/>
        <w:vertAlign w:val="baseline"/>
        <w:lang w:val="de-DE"/>
      </w:rPr>
    </w:lvl>
  </w:abstractNum>
  <w:abstractNum w:abstractNumId="2">
    <w:lvl w:ilvl="0">
      <w:start w:val="1"/>
      <w:numFmt w:val="decimal"/>
      <w:lvlText w:val="%1."/>
      <w:pPr>
        <w:tabs>
          <w:tab w:val="left" w:pos="360"/>
        </w:tabs>
      </w:pPr>
      <w:rPr>
        <w:rFonts w:ascii="Times New Roman" w:hAnsi="Times New Roman" w:eastAsia="Times New Roman"/>
        <w:color w:val="000000"/>
        <w:spacing w:val="0"/>
        <w:w w:val="100"/>
        <w:sz w:val="31"/>
        <w:vertAlign w:val="baseline"/>
        <w:lang w:val="de-DE"/>
      </w:rPr>
    </w:lvl>
  </w:abstractNum>
  <w:num w:numId="1">
    <w:abstractNumId w:val="1"/>
  </w:num>
  <w:num w:numId="2">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compat>
    <w:shapeLayoutLikeWW8/>
    <w:doNotUseHTMLParagraphAutoSpacing/>
    <w:applyBreakingRules/>
    <w:useFELayout/>
    <w:doNotUseIndentAsNumberingTabStop/>
    <w:compatSetting w:val="14" w:uri="http://schemas.microsoft.com/office/word" w:name="compatibilityMode"/>
  </w:compat>
</w:settings>
</file>

<file path=word/styles.xml><?xml version="1.0" encoding="utf-8"?>
<w:styl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docDefaults>
    <w:rPrDefault>
      <w:rPr>
        <w:rFonts w:ascii="Times New Roman" w:hAnsi="Times New Roman" w:eastAsia="PMingLiU" w:cs="Times New Roman"/>
        <w:sz w:val="22"/>
        <w:szCs w:val="22"/>
        <w:lang w:val="en-US" w:eastAsia="en-US" w:bidi="ar-SA"/>
      </w:rPr>
    </w:rPrDefault>
    <w:pPrDefault/>
  </w:docDefaults>
  <w:style w:styleId="Normal" w:default="1" w:type="paragraph">
    <w:name w:val="Normal"/>
  </w:style>
</w:styles>
</file>

<file path=word/_rels/document.xml.rels><Relationships xmlns="http://schemas.openxmlformats.org/package/2006/relationships"><Relationship Id="nId" Type="http://schemas.openxmlformats.org/officeDocument/2006/relationships/numbering" Target="numbering.xml"/><Relationship Id="fId" Type="http://schemas.openxmlformats.org/wordprocessingml/2006/fontTable" Target="fontTable.xml"/><Relationship Id="prId1" Type="http://schemas.openxmlformats.org/officeDocument/2006/relationships/image" Target="media/image1.jpg"/><Relationship Id="prId2" Type="http://schemas.openxmlformats.org/officeDocument/2006/relationships/image" Target="media/image2.jpg"/><Relationship Id="styleId" Type="http://schemas.openxmlformats.org/officeDocument/2006/relationships/styles" Target="styles.xml"/><Relationship Id="settingId" Type="http://schemas.openxmlformats.org/officeDocument/2006/relationships/settings" Target="settings.xml"/></Relationships>
</file>

<file path=docProps/core.xml><?xml version="1.0" encoding="utf-8"?>
<cp:corePropertie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file>