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60" w:lineRule="auto"/>
                    <w:jc w:val="center"/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  <w:rtl w:val="0"/>
                    </w:rPr>
                    <w:t xml:space="preserve">Release Notes for STM8S/A Standard Peripherals Library Template (StdPeriph_Template)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Copyright � 2011 STMicroelectronics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ContentsS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hyperlink w:anchor="_gjdgxs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STM8S/A Standard Peripherals Library Template update history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hyperlink w:anchor="_30j0zll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License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STM8S/A Standard Peripherals Library Template update history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E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V2.0.0 / 25-February-2011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stm8af52ax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stma8f62ax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 stm8af626x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projects in all the workspaces with the different toolchains for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product family devices support.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new template project folder for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IAR Embedded Workbench for STM8 (EWSTM8)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toolchain.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Update the different project preprocessors with new "Utilities" folders names.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Update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stm8s_conf.h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file to support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product family devices.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Update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stm8s_it.c/.h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files to support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product family devices and to support 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EWSTM8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toolchain.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Update "stm8_interrupt_vector.c" file to support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product family devices interrupt vector declaration.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    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    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Known limitations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The used version of 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RIDE7 IDE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doesn't support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STM8AFxx2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 devices salestypes,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STM8AFxx1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salestypes are used instead as processor target in the STM8A projects templates.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License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The enclosed firmware and all the related documentation are not covered by a License Agreement, if you need such License you can contact your local STMicroelectronics office.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THE PRESENT FIRMWARE WHICH IS FOR GUIDANCE ONLY AIMS AT PROVIDING CUSTOMERS WITH CODING INFORMATION REGARDING THEIR PRODUCTS IN ORDER FOR THEM TO SAVE TIME. AS A RESULT, STMICROELECTRONICS SHALL NOT BE HELD LIABLE FOR ANY DIRECT, INDIRECT OR CONSEQUENTIAL DAMAGES WITH RESPECT TO ANY CLAIMS ARISING FROM THE CONTENT OF SUCH FIRMWARE AND/OR THE USE MADE BY CUSTOMERS OF THE CODING INFORMATION CONTAINED HEREIN IN CONNECTION WITH THEIR PRODUCTS.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For complete documentation on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STMicroelectronics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Microcontrollers visit </w:t>
                  </w: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t.com/internet/mcu/family/141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