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jc w:val="center"/>
      </w:pPr>
      <w:r>
        <w:rPr>
          <w:i w:val="0"/>
        </w:rPr>
        <w:t>Three Faces of Evaluation Uncertainty in Healthy-Data-Only Bearing Anomaly Detection</w:t>
      </w:r>
    </w:p>
    <w:p>
      <w:pPr>
        <w:jc w:val="center"/>
      </w:pPr>
      <w:r>
        <w:rPr>
          <w:i w:val="0"/>
        </w:rPr>
        <w:t>Author One*, Author Two</w:t>
      </w:r>
    </w:p>
    <w:p>
      <w:pPr>
        <w:jc w:val="center"/>
      </w:pPr>
      <w:r>
        <w:rPr>
          <w:i w:val="0"/>
        </w:rPr>
        <w:t>Affiliation, City, Postal Code, Country</w:t>
      </w:r>
    </w:p>
    <w:p>
      <w:pPr>
        <w:jc w:val="center"/>
      </w:pPr>
      <w:r>
        <w:rPr>
          <w:i/>
        </w:rPr>
        <w:t>*Corresponding author: name@example.com</w:t>
      </w:r>
    </w:p>
    <w:p>
      <w:pPr>
        <w:pStyle w:val="Heading2"/>
      </w:pPr>
      <w:r>
        <w:rPr>
          <w:i w:val="0"/>
        </w:rPr>
        <w:t>Abstract</w:t>
      </w:r>
    </w:p>
    <w:p>
      <w:r>
        <w:rPr>
          <w:i w:val="0"/>
        </w:rPr>
        <w:t>Condition monitoring is frequently deployed where only healthy-machine data are available: a detector is fitted on healthy recordings, the alarm threshold is placed at a quantile of the training score distribution, and the reported false-alarm rate is the number that decides whether the monitor is usable. We ask how far that number can be trusted and what determines it. Using five public bearing sources under a pre-registered protocol, we find that three analyst choices each move the reported false-alarm rate substantially. We measure each on its own estimand, on overlapping but different data, and we make no ordering claim between them or against detector choice. Holding out whole bearings, rather than only held-out recordings, moved the same detector's reported rate from a single deterministic evaluation with zero alarms in 24 recordings to a 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 Moving the healthy/degraded boundary, a choice that run-to-failure data leave to the analyst, shifted the reported uncertainty by 2.40 percentage points on PRONOSTIA, where the set of admissible bearings is identical under all five rules. On XJTU-SY the same sweep gave 5.19 percentage points, but there the rule also changes which bearings qualify and k_max varies from 11 to 14, so that figure mixes the boundary effect with a unit-count effect; we therefore restrict the boundary claim to the PRONOSTIA measurement. We give a five-point reporting checklist and state where each claim stops.</w:t>
      </w:r>
    </w:p>
    <w:p>
      <w:r>
        <w:rPr>
          <w:i w:val="0"/>
        </w:rPr>
        <w:t># PAPER v1.0 — 投稿稿（完整合并）</w:t>
      </w:r>
    </w:p>
    <w:p>
      <w:pPr>
        <w:pStyle w:val="Heading1"/>
      </w:pPr>
      <w:r>
        <w:rPr>
          <w:i w:val="0"/>
        </w:rPr>
        <w:t>Abstract</w:t>
      </w:r>
    </w:p>
    <w:p>
      <w:r>
        <w:rPr>
          <w:i w:val="0"/>
        </w:rPr>
        <w:t>Condition monitoring is frequently deployed where only healthy-machine data are available: a</w:t>
      </w:r>
    </w:p>
    <w:p>
      <w:r>
        <w:rPr>
          <w:i w:val="0"/>
        </w:rPr>
        <w:t>detector is fitted on healthy recordings, the alarm threshold is placed at a quantile of the</w:t>
      </w:r>
    </w:p>
    <w:p>
      <w:r>
        <w:rPr>
          <w:i w:val="0"/>
        </w:rPr>
        <w:t>training score distribution, and the reported false-alarm rate is the number that decides</w:t>
      </w:r>
    </w:p>
    <w:p>
      <w:r>
        <w:rPr>
          <w:i w:val="0"/>
        </w:rPr>
        <w:t>whether the monitor is usable. We ask how far that number can be trusted and what determines</w:t>
      </w:r>
    </w:p>
    <w:p>
      <w:r>
        <w:rPr>
          <w:i w:val="0"/>
        </w:rPr>
        <w:t>it. Using five public bearing sources under a pre-registered protocol, we find that three</w:t>
      </w:r>
    </w:p>
    <w:p>
      <w:r>
        <w:rPr>
          <w:i w:val="0"/>
        </w:rPr>
        <w:t>analyst choices each move the reported false-alarm rate substantially. We measure each on its</w:t>
      </w:r>
    </w:p>
    <w:p>
      <w:r>
        <w:rPr>
          <w:i w:val="0"/>
        </w:rPr>
        <w:t>own estimand, on overlapping but different data, and we make no ordering claim between them or</w:t>
      </w:r>
    </w:p>
    <w:p>
      <w:r>
        <w:rPr>
          <w:i w:val="0"/>
        </w:rPr>
        <w:t>against detector choice.</w:t>
      </w:r>
    </w:p>
    <w:p>
      <w:r>
        <w:rPr>
          <w:i w:val="0"/>
        </w:rPr>
        <w:t>Holding out whole bearings, rather than only held-out recordings, moved the same detector's</w:t>
      </w:r>
    </w:p>
    <w:p>
      <w:r>
        <w:rPr>
          <w:i w:val="0"/>
        </w:rPr>
        <w:t>reported rate from a single deterministic evaluation with zero alarms in 24 recordings to a</w:t>
      </w:r>
    </w:p>
    <w:p>
      <w:r>
        <w:rPr>
          <w:i w:val="0"/>
        </w:rPr>
        <w:t>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w:t>
      </w:r>
    </w:p>
    <w:p>
      <w:r>
        <w:rPr>
          <w:i w:val="0"/>
        </w:rPr>
        <w:t>Moving the healthy/degraded boundary, a choice that run-to-failure data leave to the analyst,</w:t>
      </w:r>
    </w:p>
    <w:p>
      <w:r>
        <w:rPr>
          <w:i w:val="0"/>
        </w:rPr>
        <w:t>shifted the reported uncertainty by 2.40 percentage points on PRONOSTIA, where the set of</w:t>
      </w:r>
    </w:p>
    <w:p>
      <w:r>
        <w:rPr>
          <w:i w:val="0"/>
        </w:rPr>
        <w:t>admissible bearings is identical under all five rules. On XJTU-SY the same sweep gave 5.19</w:t>
      </w:r>
    </w:p>
    <w:p>
      <w:r>
        <w:rPr>
          <w:i w:val="0"/>
        </w:rPr>
        <w:t>percentage points, but there the rule also changes which bearings qualify and k_max varies from</w:t>
      </w:r>
    </w:p>
    <w:p>
      <w:r>
        <w:rPr>
          <w:i w:val="0"/>
        </w:rPr>
        <w:t>11 to 14, so that figure mixes the boundary effect with a unit-count effect; we therefore</w:t>
      </w:r>
    </w:p>
    <w:p>
      <w:r>
        <w:rPr>
          <w:i w:val="0"/>
        </w:rPr>
        <w:t>restrict the boundary claim to the PRONOSTIA measurement. We give a five-point reporting checklist and state</w:t>
      </w:r>
    </w:p>
    <w:p>
      <w:r>
        <w:rPr>
          <w:i w:val="0"/>
        </w:rPr>
        <w:t>where each claim stops.</w:t>
      </w:r>
    </w:p>
    <w:p>
      <w:r>
        <w:rPr>
          <w:i w:val="0"/>
        </w:rPr>
        <w:t>Low-cost machine condition monitoring is typically deployed where only healthy-machine data are</w:t>
      </w:r>
    </w:p>
    <w:p>
      <w:r>
        <w:rPr>
          <w:i w:val="0"/>
        </w:rPr>
        <w:t>available: run-to-failure records are expensive and faults are rare. A common design is to fit</w:t>
      </w:r>
    </w:p>
    <w:p>
      <w:r>
        <w:rPr>
          <w:i w:val="0"/>
        </w:rPr>
        <w:t>a one-class model or a simple statistic on healthy data, set the alarm threshold at a high</w:t>
      </w:r>
    </w:p>
    <w:p>
      <w:r>
        <w:rPr>
          <w:i w:val="0"/>
        </w:rPr>
        <w:t>quantile of the training score distribution, and report the resulting false-alarm rate on</w:t>
      </w:r>
    </w:p>
    <w:p>
      <w:r>
        <w:rPr>
          <w:i w:val="0"/>
        </w:rPr>
        <w:t>held-out healthy recordings. That number is what an operator uses to decide whether the monitor</w:t>
      </w:r>
    </w:p>
    <w:p>
      <w:r>
        <w:rPr>
          <w:i w:val="0"/>
        </w:rPr>
        <w:t>is deployable.</w:t>
      </w:r>
    </w:p>
    <w:p>
      <w:r>
        <w:rPr>
          <w:i w:val="0"/>
        </w:rPr>
        <w:t>The question we address is not which detector is most accurate, but how far the reported number</w:t>
      </w:r>
    </w:p>
    <w:p>
      <w:r>
        <w:rPr>
          <w:i w:val="0"/>
        </w:rPr>
        <w:t>can be trusted and what determines it. We structure the study around three analyst choices: the</w:t>
      </w:r>
    </w:p>
    <w:p>
      <w:r>
        <w:rPr>
          <w:i w:val="0"/>
        </w:rPr>
        <w:t>scope of the evaluation (whether whole physical units are held apart), the number of</w:t>
      </w:r>
    </w:p>
    <w:p>
      <w:r>
        <w:rPr>
          <w:i w:val="0"/>
        </w:rPr>
        <w:t>independent units used for training, and the definition of where healthy data end.</w:t>
      </w:r>
    </w:p>
    <w:p>
      <w:pPr>
        <w:pStyle w:val="Heading1"/>
      </w:pPr>
      <w:r>
        <w:rPr>
          <w:i w:val="0"/>
        </w:rPr>
        <w:t>2. Protocol</w:t>
      </w:r>
    </w:p>
    <w:p>
      <w:r>
        <w:rPr>
          <w:i w:val="0"/>
        </w:rPr>
        <w:t>Datasets. IMS 1st_test (12 healthy recordings — the files carrying the 2003.10.22* name prefix, out of the 15 in the archive — 20 kHz, 1.024 s), IMS 2nd_test and</w:t>
      </w:r>
    </w:p>
    <w:p>
      <w:r>
        <w:rPr>
          <w:i w:val="0"/>
        </w:rPr>
        <w:t>4th_test (6 recordings each), Paderborn K001–K006 (6 healthy bearings, four operating</w:t>
      </w:r>
    </w:p>
    <w:p>
      <w:r>
        <w:rPr>
          <w:i w:val="0"/>
        </w:rPr>
        <w:t>conditions, 20 recordings each, 64 kHz, 4 s), MFPT (3 healthy recordings plus labelled faults),</w:t>
      </w:r>
    </w:p>
    <w:p>
      <w:r>
        <w:rPr>
          <w:i w:val="0"/>
        </w:rPr>
        <w:t>XJTU-SY (15 bearings, 3 conditions, 25.6 kHz, 1.28 s per record, one record per minute), and</w:t>
      </w:r>
    </w:p>
    <w:p>
      <w:r>
        <w:rPr>
          <w:i w:val="0"/>
        </w:rPr>
        <w:t>PRONOSTIA (17 bearings, 3 loads, 25.6 kHz, 0.1 s per record, one record per 10 s).</w:t>
      </w:r>
    </w:p>
    <w:p>
      <w:r>
        <w:rPr>
          <w:i w:val="0"/>
        </w:rPr>
        <w:t>Independent units are test rigs and physical bearings; **windows and recordings are never</w:t>
      </w:r>
    </w:p>
    <w:p>
      <w:r>
        <w:rPr>
          <w:i w:val="0"/>
        </w:rPr>
        <w:t>treated as independent units**.</w:t>
      </w:r>
    </w:p>
    <w:p>
      <w:r>
        <w:rPr>
          <w:i w:val="0"/>
        </w:rPr>
        <w:t>Features and detectors. Four frozen features (rms, crest_factor, kurtosis,</w:t>
      </w:r>
    </w:p>
    <w:p>
      <w:r>
        <w:rPr>
          <w:i w:val="0"/>
        </w:rPr>
        <w:t>centroid_hz). Detectors: a 3σ RMS threshold, the Mahalanobis distance, an RBF one-class SVM,</w:t>
      </w:r>
    </w:p>
    <w:p>
      <w:r>
        <w:rPr>
          <w:i w:val="0"/>
        </w:rPr>
        <w:t>and Isolation Forest. The alarm threshold is always the 0.99 quantile of the training score</w:t>
      </w:r>
    </w:p>
    <w:p>
      <w:r>
        <w:rPr>
          <w:i w:val="0"/>
        </w:rPr>
        <w:t>distribution; the test set never participates in any selection.</w:t>
      </w:r>
    </w:p>
    <w:p>
      <w:r>
        <w:rPr>
          <w:i w:val="0"/>
        </w:rPr>
        <w:t>Discipline. Every experiment was pre-registered before it was run; when a criterion had to</w:t>
      </w:r>
    </w:p>
    <w:p>
      <w:r>
        <w:rPr>
          <w:i w:val="0"/>
        </w:rPr>
        <w:t>change, a separate amendment was filed rather than the original being edited. Two variability definitions appear below and are kept apart throughout: the pooled SD over all fold × repeat evaluations stored in the summary CSVs, and the between-fold SD of per-fold mean rates. Section 3.1 uses the between-fold definition; Section 3.2 reports both and says which verdict depends on which. The project's protocol grades evidence A–D; no claim in this paper reaches Level A, since every measurement comes from a single rig or a single split, and exploratory checks are labelled as such. Four of the experiments carrying the main claims</w:t>
      </w:r>
    </w:p>
    <w:p>
      <w:r>
        <w:rPr>
          <w:i w:val="0"/>
        </w:rPr>
        <w:t>were re-run and compared hash-for-hash with their archived outputs (§3.5).</w:t>
      </w:r>
    </w:p>
    <w:p>
      <w:pPr>
        <w:pStyle w:val="Heading1"/>
      </w:pPr>
      <w:r>
        <w:rPr>
          <w:i w:val="0"/>
        </w:rPr>
        <w:t>3. Results: three faces of evaluation uncertainty</w:t>
      </w:r>
    </w:p>
    <w:p>
      <w:pPr>
        <w:pStyle w:val="Heading2"/>
      </w:pPr>
      <w:r>
        <w:rPr>
          <w:i w:val="0"/>
        </w:rPr>
        <w:t>3.1 Scope: does the split keep physical units apart?</w:t>
      </w:r>
    </w:p>
    <w:p>
      <w:r>
        <w:rPr>
          <w:i w:val="0"/>
        </w:rPr>
        <w:t>Using the same detector (Isolation Forest, 200 trees, max_samples 0.5), the same threshold</w:t>
      </w:r>
    </w:p>
    <w:p>
      <w:r>
        <w:rPr>
          <w:i w:val="0"/>
        </w:rPr>
        <w:t>rule (0.99 quantile of the training scores) and the same dataset (Paderborn condition</w:t>
      </w:r>
    </w:p>
    <w:p>
      <w:r>
        <w:rPr>
          <w:i w:val="0"/>
        </w:rPr>
        <w:t>N15_M07_F10), we compared two evaluation scopes over the six healthy bearings</w:t>
      </w:r>
    </w:p>
    <w:p>
      <w:r>
        <w:rPr>
          <w:i w:val="0"/>
        </w:rPr>
        <w:t>(EXP-V2-03; experiments/EXP-V2-03-summary.csv, regime R2_bearing_holdout, arm S2_new_records):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Scope</w:t>
            </w:r>
          </w:p>
        </w:tc>
        <w:tc>
          <w:tcPr>
            <w:tcW w:type="dxa" w:w="2256"/>
          </w:tcPr>
          <w:p>
            <w:r>
              <w:t>Training used</w:t>
            </w:r>
          </w:p>
        </w:tc>
        <w:tc>
          <w:tcPr>
            <w:tcW w:type="dxa" w:w="2256"/>
          </w:tcPr>
          <w:p>
            <w:r>
              <w:t>Test used</w:t>
            </w:r>
          </w:p>
        </w:tc>
        <w:tc>
          <w:tcPr>
            <w:tcW w:type="dxa" w:w="2256"/>
          </w:tcPr>
          <w:p>
            <w:r>
              <w:t>Reported false-alarm rate</w:t>
            </w:r>
          </w:p>
        </w:tc>
      </w:tr>
      <w:tr>
        <w:tc>
          <w:tcPr>
            <w:tcW w:type="dxa" w:w="2256"/>
          </w:tcPr>
          <w:p>
            <w:r>
              <w:t>within-bearing</w:t>
            </w:r>
          </w:p>
        </w:tc>
        <w:tc>
          <w:tcPr>
            <w:tcW w:type="dxa" w:w="2256"/>
          </w:tcPr>
          <w:p>
            <w:r>
              <w:t>recordings 1–16 of each bearing</w:t>
            </w:r>
          </w:p>
        </w:tc>
        <w:tc>
          <w:tcPr>
            <w:tcW w:type="dxa" w:w="2256"/>
          </w:tcPr>
          <w:p>
            <w:r>
              <w:t>recordings 17–20 of the same bearings</w:t>
            </w:r>
          </w:p>
        </w:tc>
        <w:tc>
          <w:tcPr>
            <w:tcW w:type="dxa" w:w="2256"/>
          </w:tcPr>
          <w:p>
            <w:r>
              <w:t>0.00%</w:t>
            </w:r>
          </w:p>
        </w:tc>
      </w:tr>
      <w:tr>
        <w:tc>
          <w:tcPr>
            <w:tcW w:type="dxa" w:w="2256"/>
          </w:tcPr>
          <w:p>
            <w:r>
              <w:t>bearing-level holdout</w:t>
            </w:r>
          </w:p>
        </w:tc>
        <w:tc>
          <w:tcPr>
            <w:tcW w:type="dxa" w:w="2256"/>
          </w:tcPr>
          <w:p>
            <w:r>
              <w:t>all recordings of five bearings</w:t>
            </w:r>
          </w:p>
        </w:tc>
        <w:tc>
          <w:tcPr>
            <w:tcW w:type="dxa" w:w="2256"/>
          </w:tcPr>
          <w:p>
            <w:r>
              <w:t>all recordings of the held-out bearing</w:t>
            </w:r>
          </w:p>
        </w:tc>
        <w:tc>
          <w:tcPr>
            <w:tcW w:type="dxa" w:w="2256"/>
          </w:tcPr>
          <w:p>
            <w:r>
              <w:t>bimodal: three folds at or below 1.55% (0.00, 0.40, 1.55) and three at or above 69.40% (69.40, 75.35, 97.10); mean 40.63%, median 35.5%, between-fold SD 44.8 pp</w:t>
            </w:r>
          </w:p>
        </w:tc>
      </w:tr>
    </w:tbl>
    <w:p>
      <w:r>
        <w:rPr>
          <w:i w:val="0"/>
        </w:rPr>
        <w:t>Table 1. Summary of results.</w:t>
      </w:r>
    </w:p>
    <w:p>
      <w:r>
        <w:rPr>
          <w:i w:val="0"/>
        </w:rPr>
        <w:t>The two scopes are not equally replicated and we state this plainly. In the new-records arm of the within-bearing scope the training budget of 96 recordings equals the entire training pool, so the draw is the identity and the 0.00% figure is a single deterministic evaluation rather than a distribution; the resampling arm at the same nominal size does not coincide in that way, and its within-bearing replicates vary (mean 4.96%, SD 12.1 pp). That figure is 0 alarms in 24 test recordings, which gives a resolution of 4.17</w:t>
      </w:r>
    </w:p>
    <w:p>
      <w:r>
        <w:rPr>
          <w:i w:val="0"/>
        </w:rPr>
        <w:t>percentage points and an exact one-sided 95% upper bound of 11.7%; the increase is therefore at least about</w:t>
      </w:r>
    </w:p>
    <w:p>
      <w:r>
        <w:rPr>
          <w:i w:val="0"/>
        </w:rPr>
        <w:t>3.5-fold. This is a lower bound only: zero alarms in 24 recordings is also consistent with true</w:t>
      </w:r>
    </w:p>
    <w:p>
      <w:r>
        <w:rPr>
          <w:i w:val="0"/>
        </w:rPr>
        <w:t>rates well below the 11.7% bound, so ratios larger than ten cannot be excluded. The holdout arm is replicated over six</w:t>
      </w:r>
    </w:p>
    <w:p>
      <w:r>
        <w:rPr>
          <w:i w:val="0"/>
        </w:rPr>
        <w:t>physical units, and its between-fold spread is large (SD 44.8 pp).</w:t>
      </w:r>
    </w:p>
    <w:p>
      <w:r>
        <w:rPr>
          <w:i w:val="0"/>
        </w:rPr>
        <w:t>We also report a preregistered criterion that failed. The experiment registered a primary</w:t>
      </w:r>
    </w:p>
    <w:p>
      <w:r>
        <w:rPr>
          <w:i w:val="0"/>
        </w:rPr>
        <w:t>comparison in which the new-records arm would show a smaller spread than a resampling arm at the</w:t>
      </w:r>
    </w:p>
    <w:p>
      <w:r>
        <w:rPr>
          <w:i w:val="0"/>
        </w:rPr>
        <w:t>same nominal size. That criterion held in 2 of 6 folds, because the resampling arm saturates:</w:t>
      </w:r>
    </w:p>
    <w:p>
      <w:r>
        <w:rPr>
          <w:i w:val="0"/>
        </w:rPr>
        <w:t>in three folds it alarms on every held-out recording and its spread is exactly zero, which is</w:t>
      </w:r>
    </w:p>
    <w:p>
      <w:r>
        <w:rPr>
          <w:i w:val="0"/>
        </w:rPr>
        <w:t>degenerate stability rather than a good result. The comparison reported here is therefore the</w:t>
      </w:r>
    </w:p>
    <w:p>
      <w:r>
        <w:rPr>
          <w:i w:val="0"/>
        </w:rPr>
        <w:t>new-records arm, and the saturation of the resampling arm is recorded as a separate failure mode</w:t>
      </w:r>
    </w:p>
    <w:p>
      <w:r>
        <w:rPr>
          <w:i w:val="0"/>
        </w:rPr>
        <w:t>rather than as evidence for the scope effect.</w:t>
      </w:r>
    </w:p>
    <w:p>
      <w:r>
        <w:rPr>
          <w:i w:val="0"/>
        </w:rPr>
        <w:t>Boundary: one rig, six physical units, one operating condition, one detector. The direction is</w:t>
      </w:r>
    </w:p>
    <w:p>
      <w:r>
        <w:rPr>
          <w:i w:val="0"/>
        </w:rPr>
        <w:t>unambiguous; the magnitude depends on the depth of the split and should not be transferred</w:t>
      </w:r>
    </w:p>
    <w:p>
      <w:r>
        <w:rPr>
          <w:i w:val="0"/>
        </w:rPr>
        <w:t>without repeating the comparison.</w:t>
      </w:r>
    </w:p>
    <w:p>
      <w:pPr>
        <w:pStyle w:val="Heading2"/>
      </w:pPr>
      <w:r>
        <w:rPr>
          <w:i w:val="0"/>
        </w:rPr>
        <w:t>3.2 Units: how many independent bearings were used for training?</w:t>
      </w:r>
    </w:p>
    <w:p>
      <w:r>
        <w:rPr>
          <w:i w:val="0"/>
        </w:rPr>
        <w:t>Holding the sample size fixed at 20 recordings and restricting training bearings to the same operating condition as the held-out bearing (EXP-V2-05 for the Isolation Forest row, EXP-V2-06 for the 3σ RMS and Mahalanobis rows;</w:t>
      </w:r>
    </w:p>
    <w:p>
      <w:r>
        <w:rPr>
          <w:i w:val="0"/>
        </w:rPr>
        <w:t>experiments/EXP-V2-05-summary.csv, EXP-V2-06-summary.csv):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Detector</w:t>
            </w:r>
          </w:p>
        </w:tc>
        <w:tc>
          <w:tcPr>
            <w:tcW w:type="dxa" w:w="2256"/>
          </w:tcPr>
          <w:p>
            <w:r>
              <w:t>Negative rank correlation between k and SD</w:t>
            </w:r>
          </w:p>
        </w:tc>
        <w:tc>
          <w:tcPr>
            <w:tcW w:type="dxa" w:w="2256"/>
          </w:tcPr>
          <w:p>
            <w:r>
              <w:t>SD(k_max) &lt; SD(k=1), pooled SD</w:t>
            </w:r>
          </w:p>
        </w:tc>
        <w:tc>
          <w:tcPr>
            <w:tcW w:type="dxa" w:w="2256"/>
          </w:tcPr>
          <w:p>
            <w:r>
              <w:t>k=1 mean FP</w:t>
            </w:r>
          </w:p>
        </w:tc>
      </w:tr>
      <w:tr>
        <w:tc>
          <w:tcPr>
            <w:tcW w:type="dxa" w:w="2256"/>
          </w:tcPr>
          <w:p>
            <w:r>
              <w:t>3σ RMS threshold</w:t>
            </w:r>
          </w:p>
        </w:tc>
        <w:tc>
          <w:tcPr>
            <w:tcW w:type="dxa" w:w="2256"/>
          </w:tcPr>
          <w:p>
            <w:r>
              <w:t>6/6</w:t>
            </w:r>
          </w:p>
        </w:tc>
        <w:tc>
          <w:tcPr>
            <w:tcW w:type="dxa" w:w="2256"/>
          </w:tcPr>
          <w:p>
            <w:r>
              <w:t>6/6</w:t>
            </w:r>
          </w:p>
        </w:tc>
        <w:tc>
          <w:tcPr>
            <w:tcW w:type="dxa" w:w="2256"/>
          </w:tcPr>
          <w:p>
            <w:r>
              <w:t>23.7–49.5% (SD 33.0–48.2 pp)</w:t>
            </w:r>
          </w:p>
        </w:tc>
      </w:tr>
      <w:tr>
        <w:tc>
          <w:tcPr>
            <w:tcW w:type="dxa" w:w="2256"/>
          </w:tcPr>
          <w:p>
            <w:r>
              <w:t>Isolation Forest (200, 0.5)</w:t>
            </w:r>
          </w:p>
        </w:tc>
        <w:tc>
          <w:tcPr>
            <w:tcW w:type="dxa" w:w="2256"/>
          </w:tcPr>
          <w:p>
            <w:r>
              <w:t>6/6</w:t>
            </w:r>
          </w:p>
        </w:tc>
        <w:tc>
          <w:tcPr>
            <w:tcW w:type="dxa" w:w="2256"/>
          </w:tcPr>
          <w:p>
            <w:r>
              <w:t>6/6</w:t>
            </w:r>
          </w:p>
        </w:tc>
        <w:tc>
          <w:tcPr>
            <w:tcW w:type="dxa" w:w="2256"/>
          </w:tcPr>
          <w:p>
            <w:r>
              <w:t>16.9–57.6% (PRONOSTIA 16.9–21.5%, XJTU-SY 54.5–57.6%; SD 23.9–44.4 pp)</w:t>
            </w:r>
          </w:p>
        </w:tc>
      </w:tr>
      <w:tr>
        <w:tc>
          <w:tcPr>
            <w:tcW w:type="dxa" w:w="2256"/>
          </w:tcPr>
          <w:p>
            <w:r>
              <w:t>Mahalanobis distance</w:t>
            </w:r>
          </w:p>
        </w:tc>
        <w:tc>
          <w:tcPr>
            <w:tcW w:type="dxa" w:w="2256"/>
          </w:tcPr>
          <w:p>
            <w:r>
              <w:t>2/6</w:t>
            </w:r>
          </w:p>
        </w:tc>
        <w:tc>
          <w:tcPr>
            <w:tcW w:type="dxa" w:w="2256"/>
          </w:tcPr>
          <w:p>
            <w:r>
              <w:t>2/6</w:t>
            </w:r>
          </w:p>
        </w:tc>
        <w:tc>
          <w:tcPr>
            <w:tcW w:type="dxa" w:w="2256"/>
          </w:tcPr>
          <w:p>
            <w:r>
              <w:t>66.8–100% (one cell exactly 100%; SD 0.0–35.4 pp)</w:t>
            </w:r>
          </w:p>
        </w:tc>
      </w:tr>
    </w:tbl>
    <w:p>
      <w:r>
        <w:rPr>
          <w:i w:val="0"/>
        </w:rPr>
        <w:t>Table 2. Summary of results.</w:t>
      </w:r>
    </w:p>
    <w:p>
      <w:r>
        <w:rPr>
          <w:i w:val="0"/>
        </w:rPr>
        <w:t>SD in this table is the pooled standard deviation over the fold × repeat evaluations stored in the summary CSVs, not the between-fold SD of Section 3.1. The verdicts depend on that choice: recomputing the same cells as the SD of per-fold mean rates gives 2 of 6 for Isolation Forest, 4 of 6 for 3σ RMS and 0 of 6 for Mahalanobis (REVIEW_round4_sd_definition_check2.txt), so under the between-fold definition both non-saturated detectors fall short of the 80% share their preregistration required, and the saturated detector is excluded either way. We report both readings, and the claim we make here is the weaker one: with this little healthy data, the stability of detector performance depends on how cross-fold variation is defined and estimated, and evaluated by between-fold variation the preregistered 80% stability criterion is not met. The pooled reading is reported as a sensitivity, not as the result. One conclusion survives both definitions: training on a single bearing is unreliable. At k = 1 the mean false-alarm rate on a different bearing is 16.9–57.6% for Isolation Forest and 23.7–49.5% for the 3σ RMS threshold, and those cells carry the largest per-cell spread of the sweep. (Table 2)</w:t>
      </w:r>
    </w:p>
    <w:p>
      <w:r>
        <w:rPr>
          <w:i w:val="0"/>
        </w:rPr>
        <w:t>For the two non-saturated detectors, and under the pooled definition, going from one training bearing to k_max reduces the standard deviation of the reported rate at a fixed number of recordings. The measured</w:t>
      </w:r>
    </w:p>
    <w:p>
      <w:r>
        <w:rPr>
          <w:i w:val="0"/>
        </w:rPr>
        <w:t>per-cell ratios SD(k_max)/SD(k=1) are 0.76, 0.75, 0.67, 0.68, 0.91 and 0.55 for 3σ RMS and 0.32,</w:t>
      </w:r>
    </w:p>
    <w:p>
      <w:r>
        <w:rPr>
          <w:i w:val="0"/>
        </w:rPr>
        <w:t>0.57, 0.34, 0.58, 0.86 and 0.52 for Isolation Forest, that is a reduction of roughly 10 to 45</w:t>
      </w:r>
    </w:p>
    <w:p>
      <w:r>
        <w:rPr>
          <w:i w:val="0"/>
        </w:rPr>
        <w:t>percent for the first detector and 14 to 68 percent for the second, not a uniform halving.</w:t>
      </w:r>
    </w:p>
    <w:p>
      <w:r>
        <w:rPr>
          <w:i w:val="0"/>
        </w:rPr>
        <w:t>The rate in this table is computed over the windows of the held-out bearing, and the number of scored windows differs between folds, so per-evaluation resolution is not constant across cells — the stored values imply denominators of 60, 30, 20 and 15 windows in the PRONOSTIA cells and 20, 10 and 5 in the XJTU-SY cells. Cells are therefore compared on the SD scale rather than on absolute rates.</w:t>
      </w:r>
    </w:p>
    <w:p>
      <w:r>
        <w:rPr>
          <w:i w:val="0"/>
        </w:rPr>
        <w:t>Boundary: the bearings left in a condition after the healthy-phase rule number 7, 7 and 3 for the three PRONOSTIA conditions and 4, 4 and 5 for the three XJTU-SY conditions. One is held out for</w:t>
      </w:r>
    </w:p>
    <w:p>
      <w:r>
        <w:rPr>
          <w:i w:val="0"/>
        </w:rPr>
        <w:t>testing and the record budget is fixed at 20 (five recordings per bearing), so the sweep stops at the smaller of the bearings available in the condition and four training bearings: k_max = 4, 4, 2 for the three PRONOSTIA conditions and 3, 3, 4 for the three XJTU-SY conditions, and the ratios above are taken at those points. The record budget is the binding constraint in three cells (PRONOSTIA C1 and C2, XJTU-SY 40Hz10kN); in the other three (PRONOSTIA C3, XJTU-SY 35Hz12kN and 37.5Hz11kN) the number of bearings left in the condition binds instead, after one is held out for testing. The criterion</w:t>
      </w:r>
    </w:p>
    <w:p>
      <w:r>
        <w:rPr>
          <w:i w:val="0"/>
        </w:rPr>
        <w:t>for "decreases" is the rank correlation between k and the SD, not strict monotonicity; one cell</w:t>
      </w:r>
    </w:p>
    <w:p>
      <w:r>
        <w:rPr>
          <w:i w:val="0"/>
        </w:rPr>
        <w:t>is non-monotone (XJTU-SY 40Hz10kN rises from 20.02 pp at k=3 to 20.69 pp at k=4), so under</w:t>
      </w:r>
    </w:p>
    <w:p>
      <w:r>
        <w:rPr>
          <w:i w:val="0"/>
        </w:rPr>
        <w:t>strict monotonicity Isolation Forest would be 5 of 6 rather than 6 of 6. The Mahalanobis</w:t>
      </w:r>
    </w:p>
    <w:p>
      <w:r>
        <w:rPr>
          <w:i w:val="0"/>
        </w:rPr>
        <w:t>exclusion is not a pre-defined saturation rule but a reclassification of a preregistered</w:t>
      </w:r>
    </w:p>
    <w:p>
      <w:r>
        <w:rPr>
          <w:i w:val="0"/>
        </w:rPr>
        <w:t>criterion that failed (Z1 and Z2 both 2 of 6 against a required 80 percent). The detector</w:t>
      </w:r>
    </w:p>
    <w:p>
      <w:r>
        <w:rPr>
          <w:i w:val="0"/>
        </w:rPr>
        <w:t>saturates at k = 1 (one cell is exactly 100%), so its</w:t>
      </w:r>
    </w:p>
    <w:p>
      <w:r>
        <w:rPr>
          <w:i w:val="0"/>
        </w:rPr>
        <w:t>spread is degenerate and the unit effect is not testable in this form; we report it as such</w:t>
      </w:r>
    </w:p>
    <w:p>
      <w:r>
        <w:rPr>
          <w:i w:val="0"/>
        </w:rPr>
        <w:t>rather than as a failure. The wider cross-condition comparison is confounded with</w:t>
      </w:r>
    </w:p>
    <w:p>
      <w:r>
        <w:rPr>
          <w:i w:val="0"/>
        </w:rPr>
        <w:t>operating-condition diversity and is therefore not used for the claim above.</w:t>
      </w:r>
    </w:p>
    <w:p>
      <w:pPr>
        <w:pStyle w:val="Heading2"/>
      </w:pPr>
      <w:r>
        <w:rPr>
          <w:i w:val="0"/>
        </w:rPr>
        <w:t>3.3 Definition: where does "normal" end?</w:t>
      </w:r>
    </w:p>
    <w:p>
      <w:r>
        <w:rPr>
          <w:i w:val="0"/>
        </w:rPr>
        <w:t>Run-to-failure datasets carry no onset label. We froze one rule (H = clip(max(20, 0.10·N), 20, 60), requiring H/N ≤ 0.25) and swept five variants (fraction 5/10/20%, floor 10/20/30) on two independently collected run-to-failure datasets (EXP-V2-04; the per-rule result is recorded with its rule labels in experiments/EXP-V2-04-xjtu-pronostia.md §3, while the archived CSVs carry the main and sensitivity arms without a rule column):</w:t>
      </w:r>
    </w:p>
    <w:p>
      <m:oMathPara>
        <m:oMath>
          <m:r>
            <m:t>H = clip(max(20, 0.10·N), 20, 60)</m:t>
          </m:r>
        </m:oMath>
      </m:oMathPara>
      <w:r>
        <w:rPr>
          <w:sz w:val="21"/>
        </w:rPr>
        <w:tab/>
        <w:tab/>
        <w:t>(1)</w:t>
      </w:r>
    </w:p>
    <w:p>
      <w:r>
        <w:rPr>
          <w:i w:val="0"/>
        </w:rPr>
        <w:t>with H/N ≤ 0.25. We swept five variants of it — fraction 5/10/20% and floor 10/20/30 — on two independently collected run-to-failure datasets.</w:t>
      </w:r>
    </w:p>
    <w:tbl>
      <w:tblPr>
        <w:tblStyle w:val="TableGrid"/>
        <w:tblW w:type="auto" w:w="0"/>
        <w:tblLook w:firstColumn="1" w:firstRow="1" w:lastColumn="0" w:lastRow="0" w:noHBand="0" w:noVBand="1" w:val="04A0"/>
      </w:tblPr>
      <w:tblGrid>
        <w:gridCol w:w="3009"/>
        <w:gridCol w:w="3009"/>
        <w:gridCol w:w="3009"/>
      </w:tblGrid>
      <w:tr>
        <w:tc>
          <w:tcPr>
            <w:tcW w:type="dxa" w:w="3009"/>
          </w:tcPr>
          <w:p>
            <w:r>
              <w:t>Dataset</w:t>
            </w:r>
          </w:p>
        </w:tc>
        <w:tc>
          <w:tcPr>
            <w:tcW w:type="dxa" w:w="3009"/>
          </w:tcPr>
          <w:p>
            <w:r>
              <w:t>SD(k_max) across five rules</w:t>
            </w:r>
          </w:p>
        </w:tc>
        <w:tc>
          <w:tcPr>
            <w:tcW w:type="dxa" w:w="3009"/>
          </w:tcPr>
          <w:p>
            <w:r>
              <w:t>Range</w:t>
            </w:r>
          </w:p>
        </w:tc>
      </w:tr>
      <w:tr>
        <w:tc>
          <w:tcPr>
            <w:tcW w:type="dxa" w:w="3009"/>
          </w:tcPr>
          <w:p>
            <w:r>
              <w:t>PRONOSTIA (17 bearings, inclusion set unchanged)</w:t>
            </w:r>
          </w:p>
        </w:tc>
        <w:tc>
          <w:tcPr>
            <w:tcW w:type="dxa" w:w="3009"/>
          </w:tcPr>
          <w:p>
            <w:r>
              <w:t>7.56 – 9.96 pp</w:t>
            </w:r>
          </w:p>
        </w:tc>
        <w:tc>
          <w:tcPr>
            <w:tcW w:type="dxa" w:w="3009"/>
          </w:tcPr>
          <w:p>
            <w:r>
              <w:t>2.40 pp</w:t>
            </w:r>
          </w:p>
        </w:tc>
      </w:tr>
      <w:tr>
        <w:tc>
          <w:tcPr>
            <w:tcW w:type="dxa" w:w="3009"/>
          </w:tcPr>
          <w:p>
            <w:r>
              <w:t>XJTU-SY (inclusion set changes with the rule)</w:t>
            </w:r>
          </w:p>
        </w:tc>
        <w:tc>
          <w:tcPr>
            <w:tcW w:type="dxa" w:w="3009"/>
          </w:tcPr>
          <w:p>
            <w:r>
              <w:t>14.51 – 19.70 pp</w:t>
            </w:r>
          </w:p>
        </w:tc>
        <w:tc>
          <w:tcPr>
            <w:tcW w:type="dxa" w:w="3009"/>
          </w:tcPr>
          <w:p>
            <w:r>
              <w:t>5.19 pp</w:t>
            </w:r>
          </w:p>
        </w:tc>
      </w:tr>
    </w:tbl>
    <w:p>
      <w:r>
        <w:rPr>
          <w:i w:val="0"/>
        </w:rPr>
        <w:t>Table 3. Summary of results.</w:t>
      </w:r>
    </w:p>
    <w:p>
      <w:r>
        <w:rPr>
          <w:i w:val="0"/>
        </w:rPr>
        <w:t>Boundary: on PRONOSTIA the admissible bearing set is identical under all five rules, so 2.40</w:t>
      </w:r>
    </w:p>
    <w:p>
      <w:r>
        <w:rPr>
          <w:i w:val="0"/>
        </w:rPr>
        <w:t>pp is a clean measurement. On XJTU-SY the rule also changes which bearings qualify, so 5.19 pp</w:t>
      </w:r>
    </w:p>
    <w:p>
      <w:r>
        <w:rPr>
          <w:i w:val="0"/>
        </w:rPr>
        <w:t>mixes the boundary effect with the inclusion effect and must not be attributed to the former</w:t>
      </w:r>
    </w:p>
    <w:p>
      <w:r>
        <w:rPr>
          <w:i w:val="0"/>
        </w:rPr>
        <w:t>alone; the cross-dataset claim is therefore partially supported.</w:t>
      </w:r>
    </w:p>
    <w:p>
      <w:pPr>
        <w:pStyle w:val="Heading2"/>
      </w:pPr>
      <w:r>
        <w:rPr>
          <w:i w:val="0"/>
        </w:rPr>
        <w:t>3.4 What does not reproduce</w:t>
      </w:r>
    </w:p>
    <w:p>
      <w:r>
        <w:rPr>
          <w:i w:val="0"/>
        </w:rPr>
        <w:t>A covariance-geometry failure observed on a single fold (distance-inflation ratio 1.576 when</w:t>
      </w:r>
    </w:p>
    <w:p>
      <w:r>
        <w:rPr>
          <w:i w:val="0"/>
        </w:rPr>
        <w:t>holding out one MFPT healthy recording) did not reproduce in any independent fold: 0 of 26 (EXP-V1-06 and EXP-V1-07; experiments/EXP-V1-07-folds.csv). The single</w:t>
      </w:r>
    </w:p>
    <w:p>
      <w:r>
        <w:rPr>
          <w:i w:val="0"/>
        </w:rPr>
        <w:t>occurrence (MFPT, holding out baseline_3.mat, ratio 1.576) is the same fold in which the</w:t>
      </w:r>
    </w:p>
    <w:p>
      <w:r>
        <w:rPr>
          <w:i w:val="0"/>
        </w:rPr>
        <w:t>effect was originally observed, with the same scheme and the same 22 training windows, so it is</w:t>
      </w:r>
    </w:p>
    <w:p>
      <w:r>
        <w:rPr>
          <w:i w:val="0"/>
        </w:rPr>
        <w:t>the original case re-evaluated rather than an independent reproduction. IMS contributes 0 of 24</w:t>
      </w:r>
    </w:p>
    <w:p>
      <w:r>
        <w:rPr>
          <w:i w:val="0"/>
        </w:rPr>
        <w:t>folds and MFPT 0 of 2 further folds. The count is defined on the empirical-covariance scheme and</w:t>
      </w:r>
    </w:p>
    <w:p>
      <w:r>
        <w:rPr>
          <w:i w:val="0"/>
        </w:rPr>
        <w:t>the RMS plus spectral-centroid feature group; other schemes give a different fold count. A power analysis gave the original comparison a power of</w:t>
      </w:r>
    </w:p>
    <w:p>
      <w:r>
        <w:rPr>
          <w:i w:val="0"/>
        </w:rPr>
        <w:t>0.087, so the appropriate reading is underpowered and undetermined, not refuted.</w:t>
      </w:r>
    </w:p>
    <w:p>
      <w:pPr>
        <w:pStyle w:val="Heading2"/>
      </w:pPr>
      <w:r>
        <w:rPr>
          <w:i w:val="0"/>
        </w:rPr>
        <w:t>3.5 Reproducibility of these results</w:t>
      </w:r>
    </w:p>
    <w:p>
      <w:r>
        <w:rPr>
          <w:i w:val="0"/>
        </w:rPr>
        <w:t>Verification depth differs by experiment and we state it per experiment. EXP-V2-04, EXP-V2-05 and</w:t>
      </w:r>
    </w:p>
    <w:p>
      <w:r>
        <w:rPr>
          <w:i w:val="0"/>
        </w:rPr>
        <w:t>EXP-V2-06 were re-run and reproduced byte-for-byte. EXP-V1-10 reproduced exactly on all scientific</w:t>
      </w:r>
    </w:p>
    <w:p>
      <w:r>
        <w:rPr>
          <w:i w:val="0"/>
        </w:rPr>
        <w:t>columns (only its wall-clock timing column differed). EXP-V1-05 to V1-09 passed invariant and</w:t>
      </w:r>
    </w:p>
    <w:p>
      <w:r>
        <w:rPr>
          <w:i w:val="0"/>
        </w:rPr>
        <w:t>independent-recomputation checks with a stored hash baseline. For EXP-V1-11, EXP-V2-01 and EXP-V2-02 no archived verification record could be located while preparing this draft: the project's verification script covers EXP-V1-05 to EXP-V1-10 only, and the hash baselines on file belong to EXP-V1-05 to V1-10, EXP-V2-04 and EXP-V2-05. We therefore make no verification claim for those three experiments. The experiment carrying §3.1 (EXP-V2-03) is in the same position and we flag this as a remaining limitation. Analysis errors were found and corrected during the study; the project keeps a standing register of the classes involved (docs/EXPERIMENT_AFTERCARE.md, an internal working-tree document). They lie in summary, verdict and verification logic and in data handling such as seed derivation and file counting; none lies in the model fitting itself.</w:t>
      </w:r>
    </w:p>
    <w:p>
      <w:pPr>
        <w:pStyle w:val="Heading2"/>
      </w:pPr>
      <w:r>
        <w:rPr>
          <w:i w:val="0"/>
        </w:rPr>
        <w:t>3.6 The evaluation protocol itself</w:t>
      </w:r>
    </w:p>
    <w:p>
      <w:r>
        <w:rPr>
          <w:i w:val="0"/>
        </w:rPr>
        <w:t>The checklist below is not a recommendation drawn from first principles; it follows from four</w:t>
      </w:r>
    </w:p>
    <w:p>
      <w:r>
        <w:rPr>
          <w:i w:val="0"/>
        </w:rPr>
        <w:t>measurements on the small-sample regime that healthy-data-only monitoring actually occupies.</w:t>
      </w:r>
    </w:p>
    <w:p>
      <w:r>
        <w:rPr>
          <w:i w:val="0"/>
        </w:rPr>
        <w:t>The selection criterion is often non-discriminative. On IMS 1st_test (12 healthy</w:t>
      </w:r>
    </w:p>
    <w:p>
      <w:r>
        <w:rPr>
          <w:i w:val="0"/>
        </w:rPr>
        <w:t>recordings, 84 windows of 0.25 s, 20 kHz), with a fixed test set of two recordings (14 windows)</w:t>
      </w:r>
    </w:p>
    <w:p>
      <w:r>
        <w:rPr>
          <w:i w:val="0"/>
        </w:rPr>
        <w:t>and 50 resamples of a 7-file fit and 3-file validation split, the minimum validation false-alarm rate was exactly zero in 84% of the archived design-A Isolation Forest replicates, and at least two candidate configurations tied at that minimum in 92% (experiments/EXP-V1-10-arm-extras.csv; the per-replicate file carries no arm label, so the R = 50 and R = 200 arms are pooled). Twenty-one validation windows cannot resolve differences below about 4.8</w:t>
      </w:r>
    </w:p>
    <w:p>
      <w:r>
        <w:rPr>
          <w:i w:val="0"/>
        </w:rPr>
        <w:t>percentage points, which is the same order as the 1% false-alarm level the detector is trying to</w:t>
      </w:r>
    </w:p>
    <w:p>
      <w:r>
        <w:rPr>
          <w:i w:val="0"/>
        </w:rPr>
        <w:t>control. A nested leave-one-file-out protocol on the same data had already given a modal</w:t>
      </w:r>
    </w:p>
    <w:p>
      <w:r>
        <w:rPr>
          <w:i w:val="0"/>
        </w:rPr>
        <w:t>configuration share of 33%.</w:t>
      </w:r>
    </w:p>
    <w:p>
      <w:r>
        <w:rPr>
          <w:i w:val="0"/>
        </w:rPr>
        <w:t>The reported rate has a noise floor. With the test set held fixed, so that test-set sampling</w:t>
      </w:r>
    </w:p>
    <w:p>
      <w:r>
        <w:rPr>
          <w:i w:val="0"/>
        </w:rPr>
        <w:t>contributes no variance, the reported rate took the values 0.00%, 7.14% and 14.29% across the 50</w:t>
      </w:r>
    </w:p>
    <w:p>
      <w:r>
        <w:rPr>
          <w:i w:val="0"/>
        </w:rPr>
        <w:t>resamples (mean 3.86%, SD 4.13 pp). Decomposing that variation at the modal configuration gave</w:t>
      </w:r>
    </w:p>
    <w:p>
      <w:r>
        <w:rPr>
          <w:i w:val="0"/>
        </w:rPr>
        <w:t>SD 5.20 pp when the training composition changed and 4.39 pp when only the random seed changed,</w:t>
      </w:r>
    </w:p>
    <w:p>
      <w:r>
        <w:rPr>
          <w:i w:val="0"/>
        </w:rPr>
        <w:t>The decomposition contains no hyperparameter component because it is computed at the modal</w:t>
      </w:r>
    </w:p>
    <w:p>
      <w:r>
        <w:rPr>
          <w:i w:val="0"/>
        </w:rPr>
        <w:t>configuration, which holds the configuration fixed by construction; we therefore make no claim</w:t>
      </w:r>
    </w:p>
    <w:p>
      <w:r>
        <w:rPr>
          <w:i w:val="0"/>
        </w:rPr>
        <w:t>about the size of the hyperparameter contribution. The third measured component, in which</w:t>
      </w:r>
    </w:p>
    <w:p>
      <w:r>
        <w:rPr>
          <w:i w:val="0"/>
        </w:rPr>
        <w:t>training composition and seed vary together, has SD 5.18 pp.</w:t>
      </w:r>
    </w:p>
    <w:p>
      <w:r>
        <w:rPr>
          <w:i w:val="0"/>
        </w:rPr>
        <w:t>Resampling is not a substitute for data. On the Paderborn bearings, and under the</w:t>
      </w:r>
    </w:p>
    <w:p>
      <w:r>
        <w:rPr>
          <w:i w:val="0"/>
        </w:rPr>
        <w:t>within-bearing scope identified in §3.1 as the optimistic one, increasing the nominal training</w:t>
      </w:r>
    </w:p>
    <w:p>
      <w:r>
        <w:rPr>
          <w:i w:val="0"/>
        </w:rPr>
        <w:t>size from 20 to 96 recordings by resampling the same 20 left the SD at 18.0 pp, whereas using 96</w:t>
      </w:r>
    </w:p>
    <w:p>
      <w:r>
        <w:rPr>
          <w:i w:val="0"/>
        </w:rPr>
        <w:t>distinct recordings reduced it to 0.00 pp. The second figure is a quantisation floor, since every</w:t>
      </w:r>
    </w:p>
    <w:p>
      <w:r>
        <w:rPr>
          <w:i w:val="0"/>
        </w:rPr>
        <w:t>draw produced 0 alarms in 24 test recordings, and it must be read together with §3.1, where the</w:t>
      </w:r>
    </w:p>
    <w:p>
      <w:r>
        <w:rPr>
          <w:i w:val="0"/>
        </w:rPr>
        <w:t>same nominal size under a bearing-level holdout leaves fold rates between 0.00% and 97.10%. The effect is visible in the accuracy of the</w:t>
      </w:r>
    </w:p>
    <w:p>
      <w:r>
        <w:rPr>
          <w:i w:val="0"/>
        </w:rPr>
        <w:t>estimator as well: expressed as an effective sample size q(1-q)/SD^2 against the ideal independent-window</w:t>
      </w:r>
    </w:p>
    <w:p>
      <w:r>
        <w:rPr>
          <w:i w:val="0"/>
        </w:rPr>
        <w:t>reference, the resampling arm stayed between 0.18 and 0.38 while the distinct-recording arm</w:t>
      </w:r>
    </w:p>
    <w:p>
      <w:r>
        <w:rPr>
          <w:i w:val="0"/>
        </w:rPr>
        <w:t>passed 430; cells in which the SD was exactly zero are excluded from that range.</w:t>
      </w:r>
    </w:p>
    <w:p>
      <w:r>
        <w:rPr>
          <w:i w:val="0"/>
        </w:rPr>
        <w:t>Search cost and stability trade off. With hyperparameters selected inside the training data,</w:t>
      </w:r>
    </w:p>
    <w:p>
      <w:r>
        <w:rPr>
          <w:i w:val="0"/>
        </w:rPr>
        <w:t>Isolation Forest met a pre-set 5% false-alarm target in 3 of 3 IMS batches but needed roughly</w:t>
      </w:r>
    </w:p>
    <w:p>
      <w:r>
        <w:rPr>
          <w:i w:val="0"/>
        </w:rPr>
        <w:t>10^5 times the search cost of a 3σ RMS threshold and selected the same configuration in 33, 100 and 50 percent of folds across the three batches; a</w:t>
      </w:r>
    </w:p>
    <w:p>
      <w:r>
        <w:rPr>
          <w:i w:val="0"/>
        </w:rPr>
        <w:t>one-class SVM met the target in 0 of 3. The batch means were 1.19, 4.76 and 2.38 percent, one of</w:t>
      </w:r>
    </w:p>
    <w:p>
      <w:r>
        <w:rPr>
          <w:i w:val="0"/>
        </w:rPr>
        <w:t>which clears the cut by 0.24 percentage points, and single-fold resolution is about 14.3</w:t>
      </w:r>
    </w:p>
    <w:p>
      <w:r>
        <w:rPr>
          <w:i w:val="0"/>
        </w:rPr>
        <w:t>percentage points, so the 5 percent value is an operational cut for the comparison rather than a</w:t>
      </w:r>
    </w:p>
    <w:p>
      <w:r>
        <w:rPr>
          <w:i w:val="0"/>
        </w:rPr>
        <w:t>performance expectation.</w:t>
      </w:r>
    </w:p>
    <w:p>
      <w:r>
        <w:rPr>
          <w:i w:val="0"/>
        </w:rPr>
        <w:t>Reporting checklist</w:t>
      </w:r>
    </w:p>
    <w:p>
      <w:r>
        <w:rPr>
          <w:i w:val="0"/>
        </w:rPr>
        <w:t>interest.</w:t>
      </w:r>
    </w:p>
    <w:p>
      <w:r>
        <w:rPr>
          <w:i w:val="0"/>
        </w:rPr>
        <w:t>the former.</w:t>
      </w:r>
    </w:p>
    <w:p>
      <w:pPr>
        <w:pStyle w:val="Heading1"/>
      </w:pPr>
      <w:r>
        <w:rPr>
          <w:i w:val="0"/>
        </w:rPr>
        <w:t>4. Related Work</w:t>
      </w:r>
    </w:p>
    <w:p>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fig1_three_faces.png"/>
                    <pic:cNvPicPr/>
                  </pic:nvPicPr>
                  <pic:blipFill>
                    <a:blip r:embed="rId11"/>
                    <a:stretch>
                      <a:fillRect/>
                    </a:stretch>
                  </pic:blipFill>
                  <pic:spPr>
                    <a:xfrm>
                      <a:off x="0" y="0"/>
                      <a:ext cx="5486400" cy="3962400"/>
                    </a:xfrm>
                    <a:prstGeom prst="rect"/>
                  </pic:spPr>
                </pic:pic>
              </a:graphicData>
            </a:graphic>
          </wp:inline>
        </w:drawing>
      </w:r>
    </w:p>
    <w:p>
      <w:r>
        <w:rPr>
          <w:i w:val="0"/>
        </w:rPr>
        <w:t>Figure 1. Three faces of evaluation uncertainty in healthy-data-only bearing anomaly detection: evaluation scope (a), independent units (b), the healthy/degraded boundary (c), and the reporting checklist (d).</w:t>
      </w:r>
    </w:p>
    <w:p>
      <w:r>
        <w:rPr>
          <w:i w:val="0"/>
        </w:rPr>
        <w:t>Several lines of work have established that anomaly-detection evaluation is unreliable in</w:t>
      </w:r>
    </w:p>
    <w:p>
      <w:r>
        <w:rPr>
          <w:i w:val="0"/>
        </w:rPr>
        <w:t>general, and our contribution is not that observation. Wu and Keogh [1] showed that the majority</w:t>
      </w:r>
    </w:p>
    <w:p>
      <w:r>
        <w:rPr>
          <w:i w:val="0"/>
        </w:rPr>
        <w:t>of exemplars in widely used benchmarks suffer from identifiable flaws and that much of the</w:t>
      </w:r>
    </w:p>
    <w:p>
      <w:r>
        <w:rPr>
          <w:i w:val="0"/>
        </w:rPr>
        <w:t>apparent progress may be illusory. Kim et al. [2] showed that the point-adjustment protocol can</w:t>
      </w:r>
    </w:p>
    <w:p>
      <w:r>
        <w:rPr>
          <w:i w:val="0"/>
        </w:rPr>
        <w:t>inflate results to the point where even a random score appears state-of-the-art, and Sehili and</w:t>
      </w:r>
    </w:p>
    <w:p>
      <w:r>
        <w:rPr>
          <w:i w:val="0"/>
        </w:rPr>
        <w:t>Zhang [3] report that most proposed multivariate solutions are evaluated with inappropriate or</w:t>
      </w:r>
    </w:p>
    <w:p>
      <w:r>
        <w:rPr>
          <w:i w:val="0"/>
        </w:rPr>
        <w:t>highly flawed protocols.</w:t>
      </w:r>
    </w:p>
    <w:p>
      <w:r>
        <w:rPr>
          <w:i w:val="0"/>
        </w:rPr>
        <w:t>A second line quantifies how much of a reported result is an artefact of choices unrelated to the</w:t>
      </w:r>
    </w:p>
    <w:p>
      <w:r>
        <w:rPr>
          <w:i w:val="0"/>
        </w:rPr>
        <w:t>method. Bouthillier et al. [4] modelled the benchmarking process and showed that variance from</w:t>
      </w:r>
    </w:p>
    <w:p>
      <w:r>
        <w:rPr>
          <w:i w:val="0"/>
        </w:rPr>
        <w:t>data sampling, parameter initialisation and hyperparameter choice markedly affects the</w:t>
      </w:r>
    </w:p>
    <w:p>
      <w:r>
        <w:rPr>
          <w:i w:val="0"/>
        </w:rPr>
        <w:t>results. In chemoinformatics, Krstajic et al. [12] documented the pitfalls of using</w:t>
      </w:r>
    </w:p>
    <w:p>
      <w:r>
        <w:rPr>
          <w:i w:val="0"/>
        </w:rPr>
        <w:t>cross-validation both to select and to assess models and argued for repeated, nested procedures.</w:t>
      </w:r>
    </w:p>
    <w:p>
      <w:r>
        <w:rPr>
          <w:i w:val="0"/>
        </w:rPr>
        <w:t>For time-series anomaly detection specifically, MSAD [6] studies model selection *carried out by</w:t>
      </w:r>
    </w:p>
    <w:p>
      <w:r>
        <w:rPr>
          <w:i w:val="0"/>
        </w:rPr>
        <w:t>time-series classifiers* over a large configuration space and reports that the resulting choices</w:t>
      </w:r>
    </w:p>
    <w:p>
      <w:r>
        <w:rPr>
          <w:i w:val="0"/>
        </w:rPr>
        <w:t>are far from optimal, while mTSBench [7] benchmarks model selection across 344 series and finds</w:t>
      </w:r>
    </w:p>
    <w:p>
      <w:r>
        <w:rPr>
          <w:i w:val="0"/>
        </w:rPr>
        <w:t>that even the strongest selection methods remain far from optimal. Most recently, the</w:t>
      </w:r>
    </w:p>
    <w:p>
      <w:r>
        <w:rPr>
          <w:i w:val="0"/>
        </w:rPr>
        <w:t>rank-instability study of [5] varied dataset selection, metrics, hyperparameters and seeds across</w:t>
      </w:r>
    </w:p>
    <w:p>
      <w:r>
        <w:rPr>
          <w:i w:val="0"/>
        </w:rPr>
        <w:t>690 datasets and found that algorithm rankings in anomaly detection are highly unstable.</w:t>
      </w:r>
    </w:p>
    <w:p>
      <w:r>
        <w:rPr>
          <w:i w:val="0"/>
        </w:rPr>
        <w:t>Improvements to the instruments themselves have also been proposed: proximity-aware scoring [9],</w:t>
      </w:r>
    </w:p>
    <w:p>
      <w:r>
        <w:rPr>
          <w:i w:val="0"/>
        </w:rPr>
        <w:t>a problem-oriented taxonomy of metrics [10], robust evaluation frameworks for unsupervised</w:t>
      </w:r>
    </w:p>
    <w:p>
      <w:r>
        <w:rPr>
          <w:i w:val="0"/>
        </w:rPr>
        <w:t>detection [11], and unified benchmarking pipelines [8].</w:t>
      </w:r>
    </w:p>
    <w:p>
      <w:r>
        <w:rPr>
          <w:i w:val="0"/>
        </w:rPr>
        <w:t>Within bearing and machine fault diagnosis, two threads are directly relevant. Power-analysis-</w:t>
      </w:r>
    </w:p>
    <w:p>
      <w:r>
        <w:rPr>
          <w:i w:val="0"/>
        </w:rPr>
        <w:t>based procedures have been proposed to determine the minimum number of vibration samples needed</w:t>
      </w:r>
    </w:p>
    <w:p>
      <w:r>
        <w:rPr>
          <w:i w:val="0"/>
        </w:rPr>
        <w:t>for a classifier in vibration-based fault diagnosis [13], and applied, for example, to</w:t>
      </w:r>
    </w:p>
    <w:p>
      <w:r>
        <w:rPr>
          <w:i w:val="0"/>
        </w:rPr>
        <w:t>automotive hydraulic brake diagnosis [14]; both target supervised classification with accuracy</w:t>
      </w:r>
    </w:p>
    <w:p>
      <w:r>
        <w:rPr>
          <w:i w:val="0"/>
        </w:rPr>
        <w:t>as the endpoint. On the evaluation side, Vieira et al. [15] demonstrated that segment-wise and</w:t>
      </w:r>
    </w:p>
    <w:p>
      <w:r>
        <w:rPr>
          <w:i w:val="0"/>
        </w:rPr>
        <w:t>condition-wise splitting inflate reported performance, proposed bearing-wise splitting, and</w:t>
      </w:r>
    </w:p>
    <w:p>
      <w:r>
        <w:rPr>
          <w:i w:val="0"/>
        </w:rPr>
        <w:t>identified the number of training bearings as key to generalisation; Knap et al. [16] proposed a</w:t>
      </w:r>
    </w:p>
    <w:p>
      <w:r>
        <w:rPr>
          <w:i w:val="0"/>
        </w:rPr>
        <w:t>leakage-safe, recording-level cross-domain benchmark and reported that deep models require</w:t>
      </w:r>
    </w:p>
    <w:p>
      <w:r>
        <w:rPr>
          <w:i w:val="0"/>
        </w:rPr>
        <w:t>repeated seeds. We claim no novelty for these observations; we do not re-derive them.</w:t>
      </w:r>
    </w:p>
    <w:p>
      <w:r>
        <w:rPr>
          <w:i w:val="0"/>
        </w:rPr>
        <w:t>What the prior work does not provide is a quantified account, for the healthy-data-only setting,</w:t>
      </w:r>
    </w:p>
    <w:p>
      <w:r>
        <w:rPr>
          <w:i w:val="0"/>
        </w:rPr>
        <w:t>of how far a reported false-alarm rate can be trusted and what would improve it. Three</w:t>
      </w:r>
    </w:p>
    <w:p>
      <w:r>
        <w:rPr>
          <w:i w:val="0"/>
        </w:rPr>
        <w:t>increments over [15] and [16] are defensible and we restrict ourselves to them. First, the</w:t>
      </w:r>
    </w:p>
    <w:p>
      <w:r>
        <w:rPr>
          <w:i w:val="0"/>
        </w:rPr>
        <w:t>endpoint is the false-alarm rate under healthy-only training, not classification performance on</w:t>
      </w:r>
    </w:p>
    <w:p>
      <w:r>
        <w:rPr>
          <w:i w:val="0"/>
        </w:rPr>
        <w:t>labelled faults, so the quantity under study is the one that decides deployment. Second, the</w:t>
      </w:r>
    </w:p>
    <w:p>
      <w:r>
        <w:rPr>
          <w:i w:val="0"/>
        </w:rPr>
        <w:t>unit effect is measured inside a single operating condition with the record budget held fixed,</w:t>
      </w:r>
    </w:p>
    <w:p>
      <w:r>
        <w:rPr>
          <w:i w:val="0"/>
        </w:rPr>
        <w:t>which separates the number of independent units from operating-condition diversity; [15]</w:t>
      </w:r>
    </w:p>
    <w:p>
      <w:r>
        <w:rPr>
          <w:i w:val="0"/>
        </w:rPr>
        <w:t>identifies the number of training bearings as important for generalisation but does not isolate</w:t>
      </w:r>
    </w:p>
    <w:p>
      <w:r>
        <w:rPr>
          <w:i w:val="0"/>
        </w:rPr>
        <w:t>it that way. Third, saturation is reported as an evaluation failure mode in its own right, since</w:t>
      </w:r>
    </w:p>
    <w:p>
      <w:r>
        <w:rPr>
          <w:i w:val="0"/>
        </w:rPr>
        <w:t>a detector that alarms on 67 to 100% of healthy recordings has no measurable spread and cannot be</w:t>
      </w:r>
    </w:p>
    <w:p>
      <w:r>
        <w:rPr>
          <w:i w:val="0"/>
        </w:rPr>
        <w:t>assessed by this metric at all. The remaining content of §3.1 and §3.2 should be read as</w:t>
      </w:r>
    </w:p>
    <w:p>
      <w:r>
        <w:rPr>
          <w:i w:val="0"/>
        </w:rPr>
        <w:t>quantification of phenomena that [15] and [16] already established, not as their discovery.</w:t>
      </w:r>
    </w:p>
    <w:p>
      <w:pPr>
        <w:pStyle w:val="Heading1"/>
      </w:pPr>
      <w:r>
        <w:rPr>
          <w:i w:val="0"/>
        </w:rPr>
        <w:t>5. Discussion</w:t>
      </w:r>
    </w:p>
    <w:p>
      <w:pPr>
        <w:pStyle w:val="Heading2"/>
      </w:pPr>
      <w:r>
        <w:rPr>
          <w:i w:val="0"/>
        </w:rPr>
        <w:t>5.1 Why holding out a physical unit changes the number so much</w:t>
      </w:r>
    </w:p>
    <w:p>
      <w:r>
        <w:rPr>
          <w:i w:val="0"/>
        </w:rPr>
        <w:t>When test recordings come from bearings the detector was fitted on, the detector has</w:t>
      </w:r>
    </w:p>
    <w:p>
      <w:r>
        <w:rPr>
          <w:i w:val="0"/>
        </w:rPr>
        <w:t>effectively seen that bearing's baseline level. When the whole bearing is held out, the</w:t>
      </w:r>
    </w:p>
    <w:p>
      <w:r>
        <w:rPr>
          <w:i w:val="0"/>
        </w:rPr>
        <w:t>threshold must generalise across bearings, and the healthy recordings of the new bearing sit at</w:t>
      </w:r>
    </w:p>
    <w:p>
      <w:r>
        <w:rPr>
          <w:i w:val="0"/>
        </w:rPr>
        <w:t>a different operating point. In our data the between-bearing spread is substantial: per-bearing</w:t>
      </w:r>
    </w:p>
    <w:p>
      <w:r>
        <w:rPr>
          <w:i w:val="0"/>
        </w:rPr>
        <w:t>mean RMS ranges from 0.171 to 0.403 on the Paderborn healthy set (experiments/EXP-V2-03-per-bearing-rms.csv). The reported false-alarm rate is</w:t>
      </w:r>
    </w:p>
    <w:p>
      <w:r>
        <w:rPr>
          <w:i w:val="0"/>
        </w:rPr>
        <w:t>therefore dominated by which physical units the split keeps apart, well before any question of</w:t>
      </w:r>
    </w:p>
    <w:p>
      <w:r>
        <w:rPr>
          <w:i w:val="0"/>
        </w:rPr>
        <w:t>model choice arises.</w:t>
      </w:r>
    </w:p>
    <w:p>
      <w:r>
        <w:rPr>
          <w:i w:val="0"/>
        </w:rPr>
        <w:t>This is consistent with prior work that identified leakage from segment- and condition-wise</w:t>
      </w:r>
    </w:p>
    <w:p>
      <w:r>
        <w:rPr>
          <w:i w:val="0"/>
        </w:rPr>
        <w:t>splitting and proposed bearing-wise splitting [15], and with recording-level separation in</w:t>
      </w:r>
    </w:p>
    <w:p>
      <w:r>
        <w:rPr>
          <w:i w:val="0"/>
        </w:rPr>
        <w:t>cross-domain benchmarking [16]. We claim no novelty for the observation that leakage inflates</w:t>
      </w:r>
    </w:p>
    <w:p>
      <w:r>
        <w:rPr>
          <w:i w:val="0"/>
        </w:rPr>
        <w:t>apparent performance. Our contribution is that the same effect, measured on the *false-alarm</w:t>
      </w:r>
    </w:p>
    <w:p>
      <w:r>
        <w:rPr>
          <w:i w:val="0"/>
        </w:rPr>
        <w:t>rate* under healthy-data-only training, moves the number from no alarms to about 40%, and that it</w:t>
      </w:r>
    </w:p>
    <w:p>
      <w:r>
        <w:rPr>
          <w:i w:val="0"/>
        </w:rPr>
        <w:t>can be quantified in a single controlled comparison. Because the within-bearing figure is a single deterministic evaluation with a resolution of 4.17 percentage points, the increase is at least about 3.5-fold; zero alarms in 24 recordings does not bound it from above (§3.1).</w:t>
      </w:r>
    </w:p>
    <w:p>
      <w:pPr>
        <w:pStyle w:val="Heading2"/>
      </w:pPr>
      <w:r>
        <w:rPr>
          <w:i w:val="0"/>
        </w:rPr>
        <w:t>5.2 Why the unit effect disappears for some detectors</w:t>
      </w:r>
    </w:p>
    <w:p>
      <w:r>
        <w:rPr>
          <w:i w:val="0"/>
        </w:rPr>
        <w:t>The unit effect is clear for two detectors and absent for the third, and the reason is</w:t>
      </w:r>
    </w:p>
    <w:p>
      <w:r>
        <w:rPr>
          <w:i w:val="0"/>
        </w:rPr>
        <w:t>saturation rather than disagreement. With a single training bearing the Mahalanobis detector</w:t>
      </w:r>
    </w:p>
    <w:p>
      <w:r>
        <w:rPr>
          <w:i w:val="0"/>
        </w:rPr>
        <w:t>alarms on 67–100% of the healthy recordings of a different bearing, and in one cell on 100%</w:t>
      </w:r>
    </w:p>
    <w:p>
      <w:r>
        <w:rPr>
          <w:i w:val="0"/>
        </w:rPr>
        <w:t>exactly — the metric has no room left to vary, so its spread collapses to zero and the question</w:t>
      </w:r>
    </w:p>
    <w:p>
      <w:r>
        <w:rPr>
          <w:i w:val="0"/>
        </w:rPr>
        <w:t>"does the spread decrease?" becomes undefined.</w:t>
      </w:r>
    </w:p>
    <w:p>
      <w:r>
        <w:rPr>
          <w:i w:val="0"/>
        </w:rPr>
        <w:t>This matters beyond bookkeeping. A detector that is saturated cannot be evaluated by its</w:t>
      </w:r>
    </w:p>
    <w:p>
      <w:r>
        <w:rPr>
          <w:i w:val="0"/>
        </w:rPr>
        <w:t>false-alarm rate at all, because the rate has reached its ceiling; reporting such a number is not</w:t>
      </w:r>
    </w:p>
    <w:p>
      <w:r>
        <w:rPr>
          <w:i w:val="0"/>
        </w:rPr>
        <w:t>wrong so much as uninformative. We therefore state the unit effect as holding *for non-saturated</w:t>
      </w:r>
    </w:p>
    <w:p>
      <w:r>
        <w:rPr>
          <w:i w:val="0"/>
        </w:rPr>
        <w:t>detectors*, and treat saturation as a scope condition rather than a failure to report.</w:t>
      </w:r>
    </w:p>
    <w:p>
      <w:r>
        <w:rPr>
          <w:i w:val="0"/>
        </w:rPr>
        <w:t>An alternative reading of the Mahalanobis result is also plausible: with four features and a</w:t>
      </w:r>
    </w:p>
    <w:p>
      <w:r>
        <w:rPr>
          <w:i w:val="0"/>
        </w:rPr>
        <w:t>training budget of twenty recordings, each contributing a single feature vector, the empirical</w:t>
      </w:r>
    </w:p>
    <w:p>
      <w:r>
        <w:rPr>
          <w:i w:val="0"/>
        </w:rPr>
        <w:t>covariance is itself poorly estimated, so the saturation may</w:t>
      </w:r>
    </w:p>
    <w:p>
      <w:r>
        <w:rPr>
          <w:i w:val="0"/>
        </w:rPr>
        <w:t>reflect estimator instability rather than a property of the detector family. Both readings lead</w:t>
      </w:r>
    </w:p>
    <w:p>
      <w:r>
        <w:rPr>
          <w:i w:val="0"/>
        </w:rPr>
        <w:t>to the same practical conclusion for this configuration, and we do not claim to separate them.</w:t>
      </w:r>
    </w:p>
    <w:p>
      <w:pPr>
        <w:pStyle w:val="Heading2"/>
      </w:pPr>
      <w:r>
        <w:rPr>
          <w:i w:val="0"/>
        </w:rPr>
        <w:t>5.3 The healthy/degraded boundary is a free parameter</w:t>
      </w:r>
    </w:p>
    <w:p>
      <w:r>
        <w:rPr>
          <w:i w:val="0"/>
        </w:rPr>
        <w:t>For run-to-failure data there is no onset label: the split between healthy and degraded data is</w:t>
      </w:r>
    </w:p>
    <w:p>
      <w:r>
        <w:rPr>
          <w:i w:val="0"/>
        </w:rPr>
        <w:t>chosen by the analyst, and whatever is chosen becomes the ground truth against which false</w:t>
      </w:r>
    </w:p>
    <w:p>
      <w:r>
        <w:rPr>
          <w:i w:val="0"/>
        </w:rPr>
        <w:t>alarms are counted. On PRONOSTIA, where all five rules admit the same 17 bearings, the boundary</w:t>
      </w:r>
    </w:p>
    <w:p>
      <w:r>
        <w:rPr>
          <w:i w:val="0"/>
        </w:rPr>
        <w:t>alone moves the reported uncertainty by 2.40 percentage points; the XJTU-SY sweep gives 5.19</w:t>
      </w:r>
    </w:p>
    <w:p>
      <w:r>
        <w:rPr>
          <w:i w:val="0"/>
        </w:rPr>
        <w:t>percentage points, but there the rule also changes which bearings qualify, so that figure is not a</w:t>
      </w:r>
    </w:p>
    <w:p>
      <w:r>
        <w:rPr>
          <w:i w:val="0"/>
        </w:rPr>
        <w:t>clean boundary effect. The same rule can bind on opposite sides in different datasets — a floor of</w:t>
      </w:r>
    </w:p>
    <w:p>
      <w:r>
        <w:rPr>
          <w:i w:val="0"/>
        </w:rPr>
        <w:t>20 windows in one, a cap of 60 in the other.</w:t>
      </w:r>
    </w:p>
    <w:p>
      <w:r>
        <w:rPr>
          <w:i w:val="0"/>
        </w:rPr>
        <w:t>We emphasise what this is not. It is not a claim that any particular boundary is wrong, and it</w:t>
      </w:r>
    </w:p>
    <w:p>
      <w:r>
        <w:rPr>
          <w:i w:val="0"/>
        </w:rPr>
        <w:t>is not a new method for finding degradation onset; detecting the first prediction time is an</w:t>
      </w:r>
    </w:p>
    <w:p>
      <w:r>
        <w:rPr>
          <w:i w:val="0"/>
        </w:rPr>
        <w:t>established problem with a substantial literature, and our rule is drawn from that convention.</w:t>
      </w:r>
    </w:p>
    <w:p>
      <w:r>
        <w:rPr>
          <w:i w:val="0"/>
        </w:rPr>
        <w:t>Our claim is narrower and more immediately useful: the boundary is a reporting parameter, and its</w:t>
      </w:r>
    </w:p>
    <w:p>
      <w:r>
        <w:rPr>
          <w:i w:val="0"/>
        </w:rPr>
        <w:t>influence on the reported number should be measured and disclosed, exactly as one would disclose</w:t>
      </w:r>
    </w:p>
    <w:p>
      <w:r>
        <w:rPr>
          <w:i w:val="0"/>
        </w:rPr>
        <w:t>a threshold or a split.</w:t>
      </w:r>
    </w:p>
    <w:p>
      <w:pPr>
        <w:pStyle w:val="Heading2"/>
      </w:pPr>
      <w:r>
        <w:rPr>
          <w:i w:val="0"/>
        </w:rPr>
        <w:t>5.4 A checklist rather than a method</w:t>
      </w:r>
    </w:p>
    <w:p>
      <w:r>
        <w:rPr>
          <w:i w:val="0"/>
        </w:rPr>
        <w:t>The practical output of this study is the five-point checklist in §3.6. It requires no new model</w:t>
      </w:r>
    </w:p>
    <w:p>
      <w:r>
        <w:rPr>
          <w:i w:val="0"/>
        </w:rPr>
        <w:t>and no additional data collection beyond what a careful practitioner would already have; it</w:t>
      </w:r>
    </w:p>
    <w:p>
      <w:r>
        <w:rPr>
          <w:i w:val="0"/>
        </w:rPr>
        <w:t>changes only what is reported. Read against the observed effect sizes, the consequences are</w:t>
      </w:r>
    </w:p>
    <w:p>
      <w:r>
        <w:rPr>
          <w:i w:val="0"/>
        </w:rPr>
        <w:t>concrete: a study that reports a single within-bearing number may present a detector with a 40%</w:t>
      </w:r>
    </w:p>
    <w:p>
      <w:r>
        <w:rPr>
          <w:i w:val="0"/>
        </w:rPr>
        <w:t>false-alarm rate as having none; a study that reports a single training size may present a number</w:t>
      </w:r>
    </w:p>
    <w:p>
      <w:r>
        <w:rPr>
          <w:i w:val="0"/>
        </w:rPr>
        <w:t>that is an artefact of its split; and a study that does not disclose its healthy/degraded</w:t>
      </w:r>
    </w:p>
    <w:p>
      <w:r>
        <w:rPr>
          <w:i w:val="0"/>
        </w:rPr>
        <w:t>boundary may present a number that moves by several percentage points under a defensible</w:t>
      </w:r>
    </w:p>
    <w:p>
      <w:r>
        <w:rPr>
          <w:i w:val="0"/>
        </w:rPr>
        <w:t>alternative.</w:t>
      </w:r>
    </w:p>
    <w:p>
      <w:pPr>
        <w:pStyle w:val="Heading2"/>
      </w:pPr>
      <w:r>
        <w:rPr>
          <w:i w:val="0"/>
        </w:rPr>
        <w:t>5.5 What would change our conclusions</w:t>
      </w:r>
    </w:p>
    <w:p>
      <w:r>
        <w:rPr>
          <w:i w:val="0"/>
        </w:rPr>
        <w:t>diversity, the recommendation would shift from "more bearings" toward better-regularised</w:t>
      </w:r>
    </w:p>
    <w:p>
      <w:r>
        <w:rPr>
          <w:i w:val="0"/>
        </w:rPr>
        <w:t>estimators.</w:t>
      </w:r>
    </w:p>
    <w:p>
      <w:r>
        <w:rPr>
          <w:i w:val="0"/>
        </w:rPr>
        <w:t>remain a reporting detail rather than a first-order parameter.</w:t>
      </w:r>
    </w:p>
    <w:p>
      <w:r>
        <w:rPr>
          <w:i w:val="0"/>
        </w:rPr>
        <w:t>precedence — none of our evidence is from our own hardware.</w:t>
      </w:r>
    </w:p>
    <w:p>
      <w:pPr>
        <w:pStyle w:val="Heading1"/>
      </w:pPr>
      <w:r>
        <w:rPr>
          <w:i w:val="0"/>
        </w:rPr>
        <w:t>6. Limitations</w:t>
      </w:r>
    </w:p>
    <w:p>
      <w:r>
        <w:rPr>
          <w:i w:val="0"/>
        </w:rPr>
        <w:t>self-collected data.</w:t>
      </w:r>
    </w:p>
    <w:p>
      <w:r>
        <w:rPr>
          <w:i w:val="0"/>
        </w:rPr>
        <w:t>Mahalanobis result is reported as not testable.</w:t>
      </w:r>
    </w:p>
    <w:p>
      <w:r>
        <w:rPr>
          <w:i w:val="0"/>
        </w:rPr>
        <w:t>external label.</w:t>
      </w:r>
    </w:p>
    <w:p>
      <w:r>
        <w:rPr>
          <w:i w:val="0"/>
        </w:rPr>
        <w:t>changes which bearings qualify; the cross-condition unit comparison is confounded with</w:t>
      </w:r>
    </w:p>
    <w:p>
      <w:r>
        <w:rPr>
          <w:i w:val="0"/>
        </w:rPr>
        <w:t>operating-condition diversity.</w:t>
      </w:r>
    </w:p>
    <w:p>
      <w:r>
        <w:rPr>
          <w:i w:val="0"/>
        </w:rPr>
        <w:t>experiments have invariant and recomputation checks plus a stored hash baseline only.</w:t>
      </w:r>
    </w:p>
    <w:p>
      <w:r>
        <w:rPr>
          <w:i w:val="0"/>
        </w:rPr>
        <w:t>its evidence rests on invariant and recomputation checks only.</w:t>
      </w:r>
    </w:p>
    <w:p>
      <w:pPr>
        <w:pStyle w:val="Heading1"/>
      </w:pPr>
      <w:r>
        <w:rPr>
          <w:i w:val="0"/>
        </w:rPr>
        <w:t>Data and code availability</w:t>
      </w:r>
    </w:p>
    <w:p>
      <w:r>
        <w:rPr>
          <w:i w:val="0"/>
        </w:rPr>
        <w:t>The experiment registry, preregistrations, scripts, run logs, per-fold CSVs, hash files and figures</w:t>
      </w:r>
    </w:p>
    <w:p>
      <w:r>
        <w:rPr>
          <w:i w:val="0"/>
        </w:rPr>
        <w:t>behind this paper are archived under experiments/ and docs/ of</w:t>
      </w:r>
    </w:p>
    <w:p>
      <w:r>
        <w:rPr>
          <w:i w:val="0"/>
        </w:rPr>
        <w:t>github.com/Jay-zhou114514/motor-health-monitor, using the naming convention EXP-V1-0X /</w:t>
      </w:r>
    </w:p>
    <w:p>
      <w:r>
        <w:rPr>
          <w:i w:val="0"/>
        </w:rPr>
        <w:t>EXP-V2-0X; the manuscript sources, claim-to-evidence map and review records are in</w:t>
      </w:r>
    </w:p>
    <w:p>
      <w:r>
        <w:rPr>
          <w:i w:val="0"/>
        </w:rPr>
        <w:t>github.com/Jay-zhou114514/motor-health-monitor-papers under conference-track/. Paths of the form</w:t>
      </w:r>
    </w:p>
    <w:p>
      <w:r>
        <w:rPr>
          <w:i w:val="0"/>
        </w:rPr>
        <w:t>docs/… and experiments/… cited in the text are paths inside the first repository, and</w:t>
      </w:r>
    </w:p>
    <w:p>
      <w:r>
        <w:rPr>
          <w:i w:val="0"/>
        </w:rPr>
        <w:t>docs/EXPERIMENT_AFTERCARE.md is an internal working-tree document rather than a published</w:t>
      </w:r>
    </w:p>
    <w:p>
      <w:r>
        <w:rPr>
          <w:i w:val="0"/>
        </w:rPr>
        <w:t>artefact. All five datasets are third-party public datasets used under their own terms: IMS (NASA</w:t>
      </w:r>
    </w:p>
    <w:p>
      <w:r>
        <w:rPr>
          <w:i w:val="0"/>
        </w:rPr>
        <w:t>Prognostics Data Repository), MFPT (distributed by MathWorks), Paderborn (doi above), XJTU-SY (Wang</w:t>
      </w:r>
    </w:p>
    <w:p>
      <w:r>
        <w:rPr>
          <w:i w:val="0"/>
        </w:rPr>
        <w:t>et al., 2020) and PRONOSTIA (IEEE PHM 2012 Data Challenge, FEMTO-ST). No new data were generated.</w:t>
      </w:r>
    </w:p>
    <w:p>
      <w:r>
        <w:rPr>
          <w:i w:val="0"/>
        </w:rPr>
        <w:t>The AI-use disclosure required by the target venue is maintained in docs/AI_USE_DISCLOSURE.md.</w:t>
      </w:r>
    </w:p>
    <w:p>
      <w:pPr>
        <w:pStyle w:val="Heading1"/>
      </w:pPr>
      <w:r>
        <w:rPr>
          <w:i w:val="0"/>
        </w:rPr>
        <w:t>7. Conclusion</w:t>
      </w:r>
    </w:p>
    <w:p>
      <w:r>
        <w:rPr>
          <w:i w:val="0"/>
        </w:rPr>
        <w:t>The practical reliability of a false-alarm rate in healthy-data-only bearing anomaly detection is</w:t>
      </w:r>
    </w:p>
    <w:p>
      <w:r>
        <w:rPr>
          <w:i w:val="0"/>
        </w:rPr>
        <w:t>affected by three choices the analyst makes, each of which we quantify here: whether evaluation</w:t>
      </w:r>
    </w:p>
    <w:p>
      <w:r>
        <w:rPr>
          <w:i w:val="0"/>
        </w:rPr>
        <w:t>keeps physical units apart, how many independent units enter training, and where healthy data</w:t>
      </w:r>
    </w:p>
    <w:p>
      <w:r>
        <w:rPr>
          <w:i w:val="0"/>
        </w:rPr>
        <w:t>end.</w:t>
      </w:r>
    </w:p>
    <w:p>
      <w:r>
        <w:rPr>
          <w:i w:val="0"/>
        </w:rPr>
        <w:t>The decisive evidence is comparative. Holding out whole bearings moved the reported rate from no</w:t>
      </w:r>
    </w:p>
    <w:p>
      <w:r>
        <w:rPr>
          <w:i w:val="0"/>
        </w:rPr>
        <w:t>alarms to 40.63% on the same detector and the same data; because the within-bearing figure is a single deterministic evaluation with 4.17-percentage-point resolution, the increase is at least about 3.5-fold. At a fixed sample size, whether the detectors look stable depends on how cross-fold variation is defined and estimated. Under the pooled SD the spread of the reported rate fell in every condition for two detectors, by 10–45% and 14–68%; under between-fold variation the preregistered 80% criterion is met in neither, at 2 of 6 and 4 of 6, and the third detector saturated at 67–100% false alarms. We therefore report detector stability in this setting as definition-dependent rather than as an established improvement. Sweeping the</w:t>
      </w:r>
    </w:p>
    <w:p>
      <w:r>
        <w:rPr>
          <w:i w:val="0"/>
        </w:rPr>
        <w:t>healthy/degraded boundary moved the reported uncertainty by 2.40 percentage points on PRONOSTIA,</w:t>
      </w:r>
    </w:p>
    <w:p>
      <w:r>
        <w:rPr>
          <w:i w:val="0"/>
        </w:rPr>
        <w:t>where the admissible bearing set is unchanged; the larger XJTU-SY figure mixes the boundary effect</w:t>
      </w:r>
    </w:p>
    <w:p>
      <w:r>
        <w:rPr>
          <w:i w:val="0"/>
        </w:rPr>
        <w:t>with an inclusion effect.</w:t>
      </w:r>
    </w:p>
    <w:p>
      <w:r>
        <w:rPr>
          <w:i w:val="0"/>
        </w:rPr>
        <w:t>We do not claim a new detector, a new method for locating degradation onset, or generality beyond</w:t>
      </w:r>
    </w:p>
    <w:p>
      <w:r>
        <w:rPr>
          <w:i w:val="0"/>
        </w:rPr>
        <w:t>the rigs studied. All evidence is from public datasets; none comes from our own hardware, and a</w:t>
      </w:r>
    </w:p>
    <w:p>
      <w:r>
        <w:rPr>
          <w:i w:val="0"/>
        </w:rPr>
        <w:t>prospective self-collected study is the natural next test.</w:t>
      </w:r>
    </w:p>
    <w:p>
      <w:pPr>
        <w:pStyle w:val="Heading1"/>
      </w:pPr>
      <w:r>
        <w:rPr>
          <w:i w:val="0"/>
        </w:rPr>
        <w:t>Figure 1 caption</w:t>
      </w:r>
    </w:p>
    <w:p>
      <w:r>
        <w:rPr>
          <w:i w:val="0"/>
        </w:rPr>
        <w:t>Fig. 1 | Three faces of evaluation uncertainty in healthy-data-only bearing anomaly detection.</w:t>
      </w:r>
    </w:p>
    <w:p>
      <w:r>
        <w:rPr>
          <w:i w:val="0"/>
        </w:rPr>
        <w:t>(a) Evaluation scope. With detector, threshold and data fixed, holding out whole bearings</w:t>
      </w:r>
    </w:p>
    <w:p>
      <w:r>
        <w:rPr>
          <w:i w:val="0"/>
        </w:rPr>
        <w:t>raises the reported false-alarm rate from 0.00% (within-bearing) to 40.63% (bearing-level</w:t>
      </w:r>
    </w:p>
    <w:p>
      <w:r>
        <w:rPr>
          <w:i w:val="0"/>
        </w:rPr>
        <w:t>holdout; fold means 0.00 to 97.10 percent). (b) Independent units. At a fixed budget of 20 recordings, drawing</w:t>
      </w:r>
    </w:p>
    <w:p>
      <w:r>
        <w:rPr>
          <w:i w:val="0"/>
        </w:rPr>
        <w:t>training bearings from a single bearing yields mean false-alarm rates of 16.9–57.6% for</w:t>
      </w:r>
    </w:p>
    <w:p>
      <w:r>
        <w:rPr>
          <w:i w:val="0"/>
        </w:rPr>
        <w:t>Isolation Forest and 23.7–49.5% for 3σ RMS (SD 23.9–44.4 pp and 33.0–48.2 pp respectively),</w:t>
      </w:r>
    </w:p>
    <w:p>
      <w:r>
        <w:rPr>
          <w:i w:val="0"/>
        </w:rPr>
        <w:t>whereas using every training bearing available in the cell (k_max between 2 and 4, depending on</w:t>
      </w:r>
    </w:p>
    <w:p>
      <w:r>
        <w:rPr>
          <w:i w:val="0"/>
        </w:rPr>
        <w:t>the condition) reduces the spread; the effect holds for 3σ RMS and Isolation Forest under the pooled SD definition (6 of 6 conditions) but not under between-fold variation (4 of 6 and 2 of 6), so the preregistered 80% stability criterion holds only under the pooled reading; the Mahalanobis detector saturates at 67–</w:t>
      </w:r>
    </w:p>
    <w:p>
      <w:r>
        <w:rPr>
          <w:i w:val="0"/>
        </w:rPr>
        <w:t>100% false alarms and is therefore not testable this way. (c) Definition. Run-to-failure data</w:t>
      </w:r>
    </w:p>
    <w:p>
      <w:r>
        <w:rPr>
          <w:i w:val="0"/>
        </w:rPr>
        <w:t>carry no onset label, so the healthy/degraded boundary is an analyst choice; across five</w:t>
      </w:r>
    </w:p>
    <w:p>
      <w:r>
        <w:rPr>
          <w:i w:val="0"/>
        </w:rPr>
        <w:t>boundary rules the SD of the reported rate ranges over 2.40 pp on PRONOSTIA (inclusion set</w:t>
      </w:r>
    </w:p>
    <w:p>
      <w:r>
        <w:rPr>
          <w:i w:val="0"/>
        </w:rPr>
        <w:t>unchanged) and 5.19 pp on XJTU-SY (inclusion set changes with the rule). (d) Reporting</w:t>
      </w:r>
    </w:p>
    <w:p>
      <w:r>
        <w:rPr>
          <w:i w:val="0"/>
        </w:rPr>
        <w:t>checklist. Rendered with matplotlib; collision and typography audits passed (§3.5).</w:t>
      </w:r>
    </w:p>
    <w:p>
      <w:pPr>
        <w:pStyle w:val="Heading1"/>
      </w:pPr>
      <w:r>
        <w:rPr>
          <w:i w:val="0"/>
        </w:rPr>
        <w:t>Data-set citations (footnote material)</w:t>
      </w:r>
    </w:p>
    <w:p>
      <w:r>
        <w:rPr>
          <w:i w:val="0"/>
        </w:rPr>
        <w:t>Cincinnati. "Bearing Data Set", NASA Prognostics Data Repository, NASA Ames Research Center,</w:t>
      </w:r>
    </w:p>
    <w:p>
      <w:r>
        <w:rPr>
          <w:i w:val="0"/>
        </w:rPr>
        <w:t>Moffett Field, CA.</w:t>
      </w:r>
    </w:p>
    <w:p>
      <w:r>
        <w:rPr>
          <w:i w:val="0"/>
        </w:rPr>
        <w:t>MathWorks. The official citation format for this data set could not be confirmed; the</w:t>
      </w:r>
    </w:p>
    <w:p>
      <w:r>
        <w:rPr>
          <w:i w:val="0"/>
        </w:rPr>
        <w:t>source is therefore attributed to the distributing organisation rather than to an original</w:t>
      </w:r>
    </w:p>
    <w:p>
      <w:r>
        <w:rPr>
          <w:i w:val="0"/>
        </w:rPr>
        <w:t>publication.</w:t>
      </w:r>
    </w:p>
    <w:p>
      <w:r>
        <w:rPr>
          <w:i w:val="0"/>
        </w:rPr>
        <w:t>estimating remaining useful life of rolling element bearings. *IEEE Transactions on</w:t>
      </w:r>
    </w:p>
    <w:p>
      <w:r>
        <w:rPr>
          <w:i w:val="0"/>
        </w:rPr>
        <w:t>Reliability, 69*(1), 401–412.</w:t>
      </w:r>
    </w:p>
    <w:p>
      <w:pPr>
        <w:pStyle w:val="Heading1"/>
      </w:pPr>
      <w:r>
        <w:rPr>
          <w:i w:val="0"/>
        </w:rPr>
        <w:t>References</w:t>
      </w:r>
    </w:p>
    <w:p>
      <w:pPr>
        <w:pStyle w:val="IOP-CS-ReferenceText"/>
      </w:pPr>
      <w:r>
        <w:t>[1] Wu, R., &amp; Keogh, E. J. (2021). Current time series anomaly detection benchmarks are flawed and are creating the illusion of progress. IEEE Transactions on Knowledge and Data Engineering. https://doi.org/10.1109/TKDE.2021.3112126</w:t>
      </w:r>
    </w:p>
    <w:p>
      <w:pPr>
        <w:pStyle w:val="IOP-CS-ReferenceText"/>
      </w:pPr>
      <w:r>
        <w:t>[2] Kim, S., Choi, K., Choi, H.-S., Lee, B., &amp; Yoon, S. (2021). Towards a rigorous evaluation of time-series anomaly detection. arXiv:2109.05257.</w:t>
      </w:r>
    </w:p>
    <w:p>
      <w:pPr>
        <w:pStyle w:val="IOP-CS-ReferenceText"/>
      </w:pPr>
      <w:r>
        <w:t>[3] Sehili, M. E. A., &amp; Zhang, Z. (2023). Multivariate time series anomaly detection: Fancy algorithms and flawed evaluation methodology. arXiv:2308.13068.</w:t>
      </w:r>
    </w:p>
    <w:p>
      <w:pPr>
        <w:pStyle w:val="IOP-CS-ReferenceText"/>
      </w:pPr>
      <w:r>
        <w:t>[4] Bouthillier, X., Delaunay, P., Bronzi, M., et al. (2021). Accounting for variance in machine learning benchmarks. arXiv:2103.03098.</w:t>
      </w:r>
    </w:p>
    <w:p>
      <w:pPr>
        <w:pStyle w:val="IOP-CS-ReferenceText"/>
      </w:pPr>
      <w:r>
        <w:t>[5] Klüttermann, S., Rutinowski, J., Polachowski, F., &amp; Kirchheim, A. (2026). Why ranking anomaly detection algorithms isn't as reliable as you may think. arXiv:2608.04613.</w:t>
      </w:r>
    </w:p>
    <w:p>
      <w:pPr>
        <w:pStyle w:val="IOP-CS-ReferenceText"/>
      </w:pPr>
      <w:r>
        <w:t>[6] Sylligardos, E., Paparrizos, J., Palpanas, T., Senellart, P., &amp; Boniol, P. (2025). MSAD: A deep dive into model selection for time series anomaly detection. arXiv:2510.26643.</w:t>
      </w:r>
    </w:p>
    <w:p>
      <w:pPr>
        <w:pStyle w:val="IOP-CS-ReferenceText"/>
      </w:pPr>
      <w:r>
        <w:t>[7] Zhou, X., Brif, C., &amp; Lourentzou, I. (2025). mTSBench: Benchmarking multivariate time series anomaly detection and model selection at scale. arXiv:2506.21550.</w:t>
      </w:r>
    </w:p>
    <w:p>
      <w:pPr>
        <w:pStyle w:val="IOP-CS-ReferenceText"/>
      </w:pPr>
      <w:r>
        <w:t>[8] Qiu, X., Li, Z., Qiu, W., Hu, S., Zhou, L., Wu, X., Li, Z., Guo, C., Zhou, A., Sheng, Z., Hu, J., Jensen, C. S., &amp; Yang, B. (2025). TAB: Unified benchmarking of time series anomaly detection methods. arXiv:2506.18046.</w:t>
      </w:r>
    </w:p>
    <w:p>
      <w:pPr>
        <w:pStyle w:val="IOP-CS-ReferenceText"/>
      </w:pPr>
      <w:r>
        <w:t>[9] PATE: Proximity-aware time series anomaly evaluation (2024). Proceedings of the ACM SIGKDD Conference. https://doi.org/10.1145/3637528.3671971</w:t>
      </w:r>
    </w:p>
    <w:p>
      <w:pPr>
        <w:pStyle w:val="IOP-CS-ReferenceText"/>
      </w:pPr>
      <w:r>
        <w:t>[10] Yang, K., Liu, J., Song, Y., Yang, S., &amp; Zhou, Y. (2026). A problem-oriented taxonomy of evaluation metrics for time series anomaly detection. Neurocomputing. https://doi.org/10.1016/j.neucom.2026.134547</w:t>
      </w:r>
    </w:p>
    <w:p>
      <w:pPr>
        <w:pStyle w:val="IOP-CS-ReferenceText"/>
      </w:pPr>
      <w:r>
        <w:t>[11] Gungor, O., Rios, A., Mudgal, P., Ahuja, N., &amp; Rosing, T. (2024). A robust framework for evaluation of unsupervised time-series anomaly detection. LNCS. https://doi.org/10.1007/978-3-031-78395-1_4</w:t>
      </w:r>
    </w:p>
    <w:p>
      <w:pPr>
        <w:pStyle w:val="IOP-CS-ReferenceText"/>
      </w:pPr>
      <w:r>
        <w:t>[12] （2026-09-19 更正：作者原记错误） Krstajic, D., Buturovic, L. J., Leahy, D. E., &amp; Thomas, S. (2014). Cross-validation pitfalls when selecting and assessing regression and classification models. Journal of Cheminformatics. https://doi.org/10.1186/1758-2946-6-10</w:t>
      </w:r>
    </w:p>
    <w:p>
      <w:pPr>
        <w:pStyle w:val="IOP-CS-ReferenceText"/>
      </w:pPr>
      <w:r>
        <w:t>[13] Indira, V., Vasanthakumari, R., &amp; Sugumaran, V. (2010). Minimum sample size determination of vibration signals in machine learning approach to fault diagnosis using power analysis. Expert Systems with Applications. https://doi.org/10.1016/j.eswa.2010.06.068</w:t>
      </w:r>
    </w:p>
    <w:p>
      <w:pPr>
        <w:pStyle w:val="IOP-CS-ReferenceText"/>
      </w:pPr>
      <w:r>
        <w:t>[14] Indira, V., Vasanthakumari, R., Jegadeeshwaran, R., &amp; Sugumaran, V. (2015). Determination of minimum sample size for fault diagnosis of automobile hydraulic brake system using power analysis. Engineering Science and Technology, an International Journal. https://doi.org/10.1016/j.jestch.2014.09.007</w:t>
      </w:r>
    </w:p>
    <w:p>
      <w:pPr>
        <w:pStyle w:val="IOP-CS-ReferenceText"/>
      </w:pPr>
      <w:r>
        <w:t>[15] Vieira, J. P., Bauler, V. A., Rosa, R. K., &amp; Silva, D. (2026). Towards a more realistic evaluation of machine learning models for bearing fault diagnosis. Mechanical Systems and Signal Processing, 258, 114640. https://doi.org/10.1016/j.ymssp.2026.114640</w:t>
      </w:r>
    </w:p>
    <w:p>
      <w:pPr>
        <w:pStyle w:val="IOP-CS-ReferenceText"/>
      </w:pPr>
      <w:r>
        <w:t>[16] Knap, P., Jachymczyk, U., &amp; Lalik, K. (2026). Leakage-safe, reproducible benchmarking for vibration-based fault diagnosis. PHM Society European Conference, 9(1), 1–8. https://doi.org/10.36001/phme.2026.v9i1.4924</w:t>
      </w:r>
    </w:p>
    <w:p>
      <w:pPr>
        <w:pStyle w:val="IOP-CS-ReferenceText"/>
      </w:pPr>
      <w:r>
        <w:t>[17] Paderborn（已核实 DOI）</w:t>
      </w:r>
    </w:p>
    <w:p>
      <w:pPr>
        <w:pStyle w:val="IOP-CS-ReferenceText"/>
      </w:pPr>
      <w:r>
        <w:t>[18] IMS —— 已按 NASA PCoE 官方页面逐字著录（2026-09-20 核实）</w:t>
      </w:r>
    </w:p>
    <w:p>
      <w:pPr>
        <w:pStyle w:val="IOP-CS-ReferenceText"/>
      </w:pPr>
      <w:r>
        <w:t>[19] MFPT —— 官方著录格式未确认（如实标注）</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after="120" w:line="240" w:lineRule="auto"/>
    </w:pPr>
    <w:rPr>
      <w:rFonts w:ascii="Times New Roman" w:hAnsi="Times New Roman"/>
      <w:sz w:val="21"/>
    </w:rPr>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Chris Ingle</cp:lastModifiedBy>
  <cp:revision>164</cp:revision>
  <dcterms:created xsi:type="dcterms:W3CDTF">2024-01-17T10:12:00Z</dcterms:created>
  <dcterms:modified xsi:type="dcterms:W3CDTF">2024-07-12T15:33:00Z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