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2025 SALES &amp; PROFITABILITY INVESTIGATION</w:t>
      </w:r>
    </w:p>
    <w:p>
      <w:pPr>
        <w:jc w:val="center"/>
      </w:pPr>
      <w:r>
        <w:rPr>
          <w:i/>
          <w:sz w:val="22"/>
        </w:rPr>
        <w:t>CEO Management Report | What happened, why it happened, so what, and what now</w:t>
      </w:r>
    </w:p>
    <w:p/>
    <w:tbl>
      <w:tblPr>
        <w:tblW w:type="auto" w:w="0"/>
        <w:jc w:val="center"/>
        <w:tblLook w:firstColumn="1" w:firstRow="1" w:lastColumn="0" w:lastRow="0" w:noHBand="0" w:noVBand="1" w:val="04A0"/>
      </w:tblPr>
      <w:tblGrid>
        <w:gridCol w:w="10224"/>
      </w:tblGrid>
      <w:tr>
        <w:tc>
          <w:tcPr>
            <w:tcW w:type="dxa" w:w="10224"/>
            <w:shd w:fill="EEF5FA"/>
          </w:tcPr>
          <w:p>
            <w:r>
              <w:rPr>
                <w:b/>
                <w:sz w:val="21"/>
              </w:rPr>
              <w:t>EXECUTIVE CONCLUSION</w:t>
              <w:br/>
            </w:r>
            <w:r>
              <w:rPr>
                <w:sz w:val="18"/>
              </w:rPr>
              <w:t>2025 generated €404.1K of net sales and €85.61K of contribution margin, a 21.19% contribution margin. The analysis shows that the primary structural constraint is product economics: product cost of approximately €241.85K represents about 73.5% of the €328.92K variable-cost base. The largest concentration of weak economics is in Electronics, which generated €138.61K of sales but only €4.76K of contribution (3.43%). Additional value leakage is concentrated in returns, aggressive discount campaigns, stockouts and selected fulfilment arrangements. The evidence points to a need for margin-led commercial and inventory decisions rather than a simple sales-growth strategy.</w:t>
            </w:r>
          </w:p>
        </w:tc>
      </w:tr>
    </w:tbl>
    <w:p>
      <w:pPr>
        <w:spacing w:after="20"/>
      </w:pPr>
    </w:p>
    <w:p>
      <w:pPr>
        <w:pStyle w:val="Heading1"/>
      </w:pPr>
      <w:r>
        <w:t>1. Executive Summary</w:t>
      </w:r>
    </w:p>
    <w:p>
      <w:r>
        <w:t>The purpose of this investigation was to explain why €404.1K of 2025 net sales generated only €85.61K of contribution margin, identify where economic value is being lost, and distinguish demonstrated evidence from issues requiring further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2025 measure</w:t>
            </w:r>
          </w:p>
        </w:tc>
        <w:tc>
          <w:tcPr>
            <w:tcW w:type="dxa" w:w="3408"/>
            <w:vAlign w:val="center"/>
            <w:shd w:fill="D9EAF7"/>
          </w:tcPr>
          <w:p>
            <w:r/>
            <w:r>
              <w:rPr>
                <w:rFonts w:ascii="Aptos" w:hAnsi="Aptos"/>
                <w:b/>
                <w:sz w:val="17"/>
              </w:rPr>
              <w:t>Result</w:t>
            </w:r>
          </w:p>
        </w:tc>
        <w:tc>
          <w:tcPr>
            <w:tcW w:type="dxa" w:w="3408"/>
            <w:vAlign w:val="center"/>
            <w:shd w:fill="D9EAF7"/>
          </w:tcPr>
          <w:p>
            <w:r/>
            <w:r>
              <w:rPr>
                <w:rFonts w:ascii="Aptos" w:hAnsi="Aptos"/>
                <w:b/>
                <w:sz w:val="17"/>
              </w:rPr>
              <w:t>Management interpretation</w:t>
            </w:r>
          </w:p>
        </w:tc>
      </w:tr>
      <w:tr>
        <w:tc>
          <w:tcPr>
            <w:tcW w:type="dxa" w:w="3408"/>
            <w:vAlign w:val="center"/>
          </w:tcPr>
          <w:p>
            <w:r/>
            <w:r>
              <w:rPr>
                <w:rFonts w:ascii="Aptos" w:hAnsi="Aptos"/>
                <w:b w:val="0"/>
                <w:sz w:val="16"/>
              </w:rPr>
              <w:t>Net sales</w:t>
            </w:r>
          </w:p>
        </w:tc>
        <w:tc>
          <w:tcPr>
            <w:tcW w:type="dxa" w:w="3408"/>
            <w:vAlign w:val="center"/>
          </w:tcPr>
          <w:p>
            <w:r/>
            <w:r>
              <w:rPr>
                <w:rFonts w:ascii="Aptos" w:hAnsi="Aptos"/>
                <w:b w:val="0"/>
                <w:sz w:val="16"/>
              </w:rPr>
              <w:t>€404.1K</w:t>
            </w:r>
          </w:p>
        </w:tc>
        <w:tc>
          <w:tcPr>
            <w:tcW w:type="dxa" w:w="3408"/>
            <w:vAlign w:val="center"/>
          </w:tcPr>
          <w:p>
            <w:r/>
            <w:r>
              <w:rPr>
                <w:rFonts w:ascii="Aptos" w:hAnsi="Aptos"/>
                <w:b w:val="0"/>
                <w:sz w:val="16"/>
              </w:rPr>
              <w:t>Strong revenue base, up 71.0% vs prior year</w:t>
            </w:r>
          </w:p>
        </w:tc>
      </w:tr>
      <w:tr>
        <w:tc>
          <w:tcPr>
            <w:tcW w:type="dxa" w:w="3408"/>
            <w:vAlign w:val="center"/>
          </w:tcPr>
          <w:p>
            <w:r/>
            <w:r>
              <w:rPr>
                <w:rFonts w:ascii="Aptos" w:hAnsi="Aptos"/>
                <w:b w:val="0"/>
                <w:sz w:val="16"/>
              </w:rPr>
              <w:t>Contribution margin</w:t>
            </w:r>
          </w:p>
        </w:tc>
        <w:tc>
          <w:tcPr>
            <w:tcW w:type="dxa" w:w="3408"/>
            <w:vAlign w:val="center"/>
          </w:tcPr>
          <w:p>
            <w:r/>
            <w:r>
              <w:rPr>
                <w:rFonts w:ascii="Aptos" w:hAnsi="Aptos"/>
                <w:b w:val="0"/>
                <w:sz w:val="16"/>
              </w:rPr>
              <w:t>€85.61K</w:t>
            </w:r>
          </w:p>
        </w:tc>
        <w:tc>
          <w:tcPr>
            <w:tcW w:type="dxa" w:w="3408"/>
            <w:vAlign w:val="center"/>
          </w:tcPr>
          <w:p>
            <w:r/>
            <w:r>
              <w:rPr>
                <w:rFonts w:ascii="Aptos" w:hAnsi="Aptos"/>
                <w:b w:val="0"/>
                <w:sz w:val="16"/>
              </w:rPr>
              <w:t>Economic value remaining after product and variable costs</w:t>
            </w:r>
          </w:p>
        </w:tc>
      </w:tr>
      <w:tr>
        <w:tc>
          <w:tcPr>
            <w:tcW w:type="dxa" w:w="3408"/>
            <w:vAlign w:val="center"/>
          </w:tcPr>
          <w:p>
            <w:r/>
            <w:r>
              <w:rPr>
                <w:rFonts w:ascii="Aptos" w:hAnsi="Aptos"/>
                <w:b w:val="0"/>
                <w:sz w:val="16"/>
              </w:rPr>
              <w:t>Contribution margin %</w:t>
            </w:r>
          </w:p>
        </w:tc>
        <w:tc>
          <w:tcPr>
            <w:tcW w:type="dxa" w:w="3408"/>
            <w:vAlign w:val="center"/>
          </w:tcPr>
          <w:p>
            <w:r/>
            <w:r>
              <w:rPr>
                <w:rFonts w:ascii="Aptos" w:hAnsi="Aptos"/>
                <w:b w:val="0"/>
                <w:sz w:val="16"/>
              </w:rPr>
              <w:t>21.19%</w:t>
            </w:r>
          </w:p>
        </w:tc>
        <w:tc>
          <w:tcPr>
            <w:tcW w:type="dxa" w:w="3408"/>
            <w:vAlign w:val="center"/>
          </w:tcPr>
          <w:p>
            <w:r/>
            <w:r>
              <w:rPr>
                <w:rFonts w:ascii="Aptos" w:hAnsi="Aptos"/>
                <w:b w:val="0"/>
                <w:sz w:val="16"/>
              </w:rPr>
              <w:t>Overall profitability is constrained despite sales growth</w:t>
            </w:r>
          </w:p>
        </w:tc>
      </w:tr>
      <w:tr>
        <w:tc>
          <w:tcPr>
            <w:tcW w:type="dxa" w:w="3408"/>
            <w:vAlign w:val="center"/>
          </w:tcPr>
          <w:p>
            <w:r/>
            <w:r>
              <w:rPr>
                <w:rFonts w:ascii="Aptos" w:hAnsi="Aptos"/>
                <w:b w:val="0"/>
                <w:sz w:val="16"/>
              </w:rPr>
              <w:t>Contribution revenue</w:t>
            </w:r>
          </w:p>
        </w:tc>
        <w:tc>
          <w:tcPr>
            <w:tcW w:type="dxa" w:w="3408"/>
            <w:vAlign w:val="center"/>
          </w:tcPr>
          <w:p>
            <w:r/>
            <w:r>
              <w:rPr>
                <w:rFonts w:ascii="Aptos" w:hAnsi="Aptos"/>
                <w:b w:val="0"/>
                <w:sz w:val="16"/>
              </w:rPr>
              <w:t>≈€414.54K</w:t>
            </w:r>
          </w:p>
        </w:tc>
        <w:tc>
          <w:tcPr>
            <w:tcW w:type="dxa" w:w="3408"/>
            <w:vAlign w:val="center"/>
          </w:tcPr>
          <w:p>
            <w:r/>
            <w:r>
              <w:rPr>
                <w:rFonts w:ascii="Aptos" w:hAnsi="Aptos"/>
                <w:b w:val="0"/>
                <w:sz w:val="16"/>
              </w:rPr>
              <w:t>Net sales plus customer-paid shipping revenue</w:t>
            </w:r>
          </w:p>
        </w:tc>
      </w:tr>
      <w:tr>
        <w:tc>
          <w:tcPr>
            <w:tcW w:type="dxa" w:w="3408"/>
            <w:vAlign w:val="center"/>
          </w:tcPr>
          <w:p>
            <w:r/>
            <w:r>
              <w:rPr>
                <w:rFonts w:ascii="Aptos" w:hAnsi="Aptos"/>
                <w:b w:val="0"/>
                <w:sz w:val="16"/>
              </w:rPr>
              <w:t>Variable costs</w:t>
            </w:r>
          </w:p>
        </w:tc>
        <w:tc>
          <w:tcPr>
            <w:tcW w:type="dxa" w:w="3408"/>
            <w:vAlign w:val="center"/>
          </w:tcPr>
          <w:p>
            <w:r/>
            <w:r>
              <w:rPr>
                <w:rFonts w:ascii="Aptos" w:hAnsi="Aptos"/>
                <w:b w:val="0"/>
                <w:sz w:val="16"/>
              </w:rPr>
              <w:t>≈€328.92K</w:t>
            </w:r>
          </w:p>
        </w:tc>
        <w:tc>
          <w:tcPr>
            <w:tcW w:type="dxa" w:w="3408"/>
            <w:vAlign w:val="center"/>
          </w:tcPr>
          <w:p>
            <w:r/>
            <w:r>
              <w:rPr>
                <w:rFonts w:ascii="Aptos" w:hAnsi="Aptos"/>
                <w:b w:val="0"/>
                <w:sz w:val="16"/>
              </w:rPr>
              <w:t>≈79.3% of contribution revenue</w:t>
            </w:r>
          </w:p>
        </w:tc>
      </w:tr>
      <w:tr>
        <w:tc>
          <w:tcPr>
            <w:tcW w:type="dxa" w:w="3408"/>
            <w:vAlign w:val="center"/>
          </w:tcPr>
          <w:p>
            <w:r/>
            <w:r>
              <w:rPr>
                <w:rFonts w:ascii="Aptos" w:hAnsi="Aptos"/>
                <w:b w:val="0"/>
                <w:sz w:val="16"/>
              </w:rPr>
              <w:t>Product cost</w:t>
            </w:r>
          </w:p>
        </w:tc>
        <w:tc>
          <w:tcPr>
            <w:tcW w:type="dxa" w:w="3408"/>
            <w:vAlign w:val="center"/>
          </w:tcPr>
          <w:p>
            <w:r/>
            <w:r>
              <w:rPr>
                <w:rFonts w:ascii="Aptos" w:hAnsi="Aptos"/>
                <w:b w:val="0"/>
                <w:sz w:val="16"/>
              </w:rPr>
              <w:t>≈€241.85K</w:t>
            </w:r>
          </w:p>
        </w:tc>
        <w:tc>
          <w:tcPr>
            <w:tcW w:type="dxa" w:w="3408"/>
            <w:vAlign w:val="center"/>
          </w:tcPr>
          <w:p>
            <w:r/>
            <w:r>
              <w:rPr>
                <w:rFonts w:ascii="Aptos" w:hAnsi="Aptos"/>
                <w:b w:val="0"/>
                <w:sz w:val="16"/>
              </w:rPr>
              <w:t>≈73.5% of variable costs; dominant cost driver</w:t>
            </w:r>
          </w:p>
        </w:tc>
      </w:tr>
      <w:tr>
        <w:tc>
          <w:tcPr>
            <w:tcW w:type="dxa" w:w="3408"/>
            <w:vAlign w:val="center"/>
          </w:tcPr>
          <w:p>
            <w:r/>
            <w:r>
              <w:rPr>
                <w:rFonts w:ascii="Aptos" w:hAnsi="Aptos"/>
                <w:b w:val="0"/>
                <w:sz w:val="16"/>
              </w:rPr>
              <w:t>Orders</w:t>
            </w:r>
          </w:p>
        </w:tc>
        <w:tc>
          <w:tcPr>
            <w:tcW w:type="dxa" w:w="3408"/>
            <w:vAlign w:val="center"/>
          </w:tcPr>
          <w:p>
            <w:r/>
            <w:r>
              <w:rPr>
                <w:rFonts w:ascii="Aptos" w:hAnsi="Aptos"/>
                <w:b w:val="0"/>
                <w:sz w:val="16"/>
              </w:rPr>
              <w:t>≈4K</w:t>
            </w:r>
          </w:p>
        </w:tc>
        <w:tc>
          <w:tcPr>
            <w:tcW w:type="dxa" w:w="3408"/>
            <w:vAlign w:val="center"/>
          </w:tcPr>
          <w:p>
            <w:r/>
            <w:r>
              <w:rPr>
                <w:rFonts w:ascii="Aptos" w:hAnsi="Aptos"/>
                <w:b w:val="0"/>
                <w:sz w:val="16"/>
              </w:rPr>
              <w:t>Order volume up 67.4% vs prior year</w:t>
            </w:r>
          </w:p>
        </w:tc>
      </w:tr>
      <w:tr>
        <w:tc>
          <w:tcPr>
            <w:tcW w:type="dxa" w:w="3408"/>
            <w:vAlign w:val="center"/>
          </w:tcPr>
          <w:p>
            <w:r/>
            <w:r>
              <w:rPr>
                <w:rFonts w:ascii="Aptos" w:hAnsi="Aptos"/>
                <w:b w:val="0"/>
                <w:sz w:val="16"/>
              </w:rPr>
              <w:t>AOV</w:t>
            </w:r>
          </w:p>
        </w:tc>
        <w:tc>
          <w:tcPr>
            <w:tcW w:type="dxa" w:w="3408"/>
            <w:vAlign w:val="center"/>
          </w:tcPr>
          <w:p>
            <w:r/>
            <w:r>
              <w:rPr>
                <w:rFonts w:ascii="Aptos" w:hAnsi="Aptos"/>
                <w:b w:val="0"/>
                <w:sz w:val="16"/>
              </w:rPr>
              <w:t>€109.90</w:t>
            </w:r>
          </w:p>
        </w:tc>
        <w:tc>
          <w:tcPr>
            <w:tcW w:type="dxa" w:w="3408"/>
            <w:vAlign w:val="center"/>
          </w:tcPr>
          <w:p>
            <w:r/>
            <w:r>
              <w:rPr>
                <w:rFonts w:ascii="Aptos" w:hAnsi="Aptos"/>
                <w:b w:val="0"/>
                <w:sz w:val="16"/>
              </w:rPr>
              <w:t>Up 2.1% vs prior year</w:t>
            </w:r>
          </w:p>
        </w:tc>
      </w:tr>
    </w:tbl>
    <w:p>
      <w:pPr>
        <w:pStyle w:val="Heading1"/>
      </w:pPr>
      <w:r>
        <w:t>2. What the Data Demonstrates</w:t>
      </w:r>
    </w:p>
    <w:p>
      <w:pPr>
        <w:pStyle w:val="Heading2"/>
      </w:pPr>
      <w:r>
        <w:t>2.1 The business is growing sales faster than it is creating contribution</w:t>
      </w:r>
    </w:p>
    <w:p>
      <w:pPr>
        <w:pStyle w:val="ListBullet"/>
        <w:spacing w:after="40"/>
      </w:pPr>
      <w:r>
        <w:t>Net sales increased 71.0% versus the prior year, while contribution margin increased 103.7%.</w:t>
      </w:r>
    </w:p>
    <w:p>
      <w:pPr>
        <w:pStyle w:val="ListBullet"/>
        <w:spacing w:after="40"/>
      </w:pPr>
      <w:r>
        <w:t>Contribution margin percentage reached 21.19%, an improvement of 19.1% versus the prior year.</w:t>
      </w:r>
    </w:p>
    <w:p>
      <w:pPr>
        <w:pStyle w:val="ListBullet"/>
        <w:spacing w:after="40"/>
      </w:pPr>
      <w:r>
        <w:t>The issue is therefore not a lack of demand. The investigation is about the quality and economics of that demand.</w:t>
      </w:r>
    </w:p>
    <w:p>
      <w:pPr>
        <w:pStyle w:val="ListBullet"/>
        <w:spacing w:after="40"/>
      </w:pPr>
      <w:r>
        <w:t>The business has generated a larger revenue base, but a substantial share of that revenue is consumed by product and variable costs.</w:t>
      </w:r>
    </w:p>
    <w:p>
      <w:pPr>
        <w:pStyle w:val="Heading2"/>
      </w:pPr>
      <w:r>
        <w:t>2.2 Product economics are the largest structural constraint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Variable-cost driver</w:t>
            </w:r>
          </w:p>
        </w:tc>
        <w:tc>
          <w:tcPr>
            <w:tcW w:type="dxa" w:w="3408"/>
            <w:vAlign w:val="center"/>
            <w:shd w:fill="D9EAF7"/>
          </w:tcPr>
          <w:p>
            <w:r/>
            <w:r>
              <w:rPr>
                <w:rFonts w:ascii="Aptos" w:hAnsi="Aptos"/>
                <w:b/>
                <w:sz w:val="17"/>
              </w:rPr>
              <w:t>2025 cost</w:t>
            </w:r>
          </w:p>
        </w:tc>
        <w:tc>
          <w:tcPr>
            <w:tcW w:type="dxa" w:w="3408"/>
            <w:vAlign w:val="center"/>
            <w:shd w:fill="D9EAF7"/>
          </w:tcPr>
          <w:p>
            <w:r/>
            <w:r>
              <w:rPr>
                <w:rFonts w:ascii="Aptos" w:hAnsi="Aptos"/>
                <w:b/>
                <w:sz w:val="17"/>
              </w:rPr>
              <w:t>Approx. share of variable cost</w:t>
            </w:r>
          </w:p>
        </w:tc>
      </w:tr>
      <w:tr>
        <w:tc>
          <w:tcPr>
            <w:tcW w:type="dxa" w:w="3408"/>
            <w:vAlign w:val="center"/>
          </w:tcPr>
          <w:p>
            <w:r/>
            <w:r>
              <w:rPr>
                <w:rFonts w:ascii="Aptos" w:hAnsi="Aptos"/>
                <w:b w:val="0"/>
                <w:sz w:val="16"/>
              </w:rPr>
              <w:t>Product cost</w:t>
            </w:r>
          </w:p>
        </w:tc>
        <w:tc>
          <w:tcPr>
            <w:tcW w:type="dxa" w:w="3408"/>
            <w:vAlign w:val="center"/>
          </w:tcPr>
          <w:p>
            <w:r/>
            <w:r>
              <w:rPr>
                <w:rFonts w:ascii="Aptos" w:hAnsi="Aptos"/>
                <w:b w:val="0"/>
                <w:sz w:val="16"/>
              </w:rPr>
              <w:t>€241.85K</w:t>
            </w:r>
          </w:p>
        </w:tc>
        <w:tc>
          <w:tcPr>
            <w:tcW w:type="dxa" w:w="3408"/>
            <w:vAlign w:val="center"/>
          </w:tcPr>
          <w:p>
            <w:r/>
            <w:r>
              <w:rPr>
                <w:rFonts w:ascii="Aptos" w:hAnsi="Aptos"/>
                <w:b w:val="0"/>
                <w:sz w:val="16"/>
              </w:rPr>
              <w:t>73.5%</w:t>
            </w:r>
          </w:p>
        </w:tc>
      </w:tr>
      <w:tr>
        <w:tc>
          <w:tcPr>
            <w:tcW w:type="dxa" w:w="3408"/>
            <w:vAlign w:val="center"/>
          </w:tcPr>
          <w:p>
            <w:r/>
            <w:r>
              <w:rPr>
                <w:rFonts w:ascii="Aptos" w:hAnsi="Aptos"/>
                <w:b w:val="0"/>
                <w:sz w:val="16"/>
              </w:rPr>
              <w:t>Outbound shipping</w:t>
            </w:r>
          </w:p>
        </w:tc>
        <w:tc>
          <w:tcPr>
            <w:tcW w:type="dxa" w:w="3408"/>
            <w:vAlign w:val="center"/>
          </w:tcPr>
          <w:p>
            <w:r/>
            <w:r>
              <w:rPr>
                <w:rFonts w:ascii="Aptos" w:hAnsi="Aptos"/>
                <w:b w:val="0"/>
                <w:sz w:val="16"/>
              </w:rPr>
              <w:t>€36.43K</w:t>
            </w:r>
          </w:p>
        </w:tc>
        <w:tc>
          <w:tcPr>
            <w:tcW w:type="dxa" w:w="3408"/>
            <w:vAlign w:val="center"/>
          </w:tcPr>
          <w:p>
            <w:r/>
            <w:r>
              <w:rPr>
                <w:rFonts w:ascii="Aptos" w:hAnsi="Aptos"/>
                <w:b w:val="0"/>
                <w:sz w:val="16"/>
              </w:rPr>
              <w:t>11.1%</w:t>
            </w:r>
          </w:p>
        </w:tc>
      </w:tr>
      <w:tr>
        <w:tc>
          <w:tcPr>
            <w:tcW w:type="dxa" w:w="3408"/>
            <w:vAlign w:val="center"/>
          </w:tcPr>
          <w:p>
            <w:r/>
            <w:r>
              <w:rPr>
                <w:rFonts w:ascii="Aptos" w:hAnsi="Aptos"/>
                <w:b w:val="0"/>
                <w:sz w:val="16"/>
              </w:rPr>
              <w:t>Payment fees</w:t>
            </w:r>
          </w:p>
        </w:tc>
        <w:tc>
          <w:tcPr>
            <w:tcW w:type="dxa" w:w="3408"/>
            <w:vAlign w:val="center"/>
          </w:tcPr>
          <w:p>
            <w:r/>
            <w:r>
              <w:rPr>
                <w:rFonts w:ascii="Aptos" w:hAnsi="Aptos"/>
                <w:b w:val="0"/>
                <w:sz w:val="16"/>
              </w:rPr>
              <w:t>€16.92K</w:t>
            </w:r>
          </w:p>
        </w:tc>
        <w:tc>
          <w:tcPr>
            <w:tcW w:type="dxa" w:w="3408"/>
            <w:vAlign w:val="center"/>
          </w:tcPr>
          <w:p>
            <w:r/>
            <w:r>
              <w:rPr>
                <w:rFonts w:ascii="Aptos" w:hAnsi="Aptos"/>
                <w:b w:val="0"/>
                <w:sz w:val="16"/>
              </w:rPr>
              <w:t>5.1%</w:t>
            </w:r>
          </w:p>
        </w:tc>
      </w:tr>
      <w:tr>
        <w:tc>
          <w:tcPr>
            <w:tcW w:type="dxa" w:w="3408"/>
            <w:vAlign w:val="center"/>
          </w:tcPr>
          <w:p>
            <w:r/>
            <w:r>
              <w:rPr>
                <w:rFonts w:ascii="Aptos" w:hAnsi="Aptos"/>
                <w:b w:val="0"/>
                <w:sz w:val="16"/>
              </w:rPr>
              <w:t>Allocated marketing cost</w:t>
            </w:r>
          </w:p>
        </w:tc>
        <w:tc>
          <w:tcPr>
            <w:tcW w:type="dxa" w:w="3408"/>
            <w:vAlign w:val="center"/>
          </w:tcPr>
          <w:p>
            <w:r/>
            <w:r>
              <w:rPr>
                <w:rFonts w:ascii="Aptos" w:hAnsi="Aptos"/>
                <w:b w:val="0"/>
                <w:sz w:val="16"/>
              </w:rPr>
              <w:t>€15.96K</w:t>
            </w:r>
          </w:p>
        </w:tc>
        <w:tc>
          <w:tcPr>
            <w:tcW w:type="dxa" w:w="3408"/>
            <w:vAlign w:val="center"/>
          </w:tcPr>
          <w:p>
            <w:r/>
            <w:r>
              <w:rPr>
                <w:rFonts w:ascii="Aptos" w:hAnsi="Aptos"/>
                <w:b w:val="0"/>
                <w:sz w:val="16"/>
              </w:rPr>
              <w:t>4.9%</w:t>
            </w:r>
          </w:p>
        </w:tc>
      </w:tr>
      <w:tr>
        <w:tc>
          <w:tcPr>
            <w:tcW w:type="dxa" w:w="3408"/>
            <w:vAlign w:val="center"/>
          </w:tcPr>
          <w:p>
            <w:r/>
            <w:r>
              <w:rPr>
                <w:rFonts w:ascii="Aptos" w:hAnsi="Aptos"/>
                <w:b w:val="0"/>
                <w:sz w:val="16"/>
              </w:rPr>
              <w:t>Fulfilment cost</w:t>
            </w:r>
          </w:p>
        </w:tc>
        <w:tc>
          <w:tcPr>
            <w:tcW w:type="dxa" w:w="3408"/>
            <w:vAlign w:val="center"/>
          </w:tcPr>
          <w:p>
            <w:r/>
            <w:r>
              <w:rPr>
                <w:rFonts w:ascii="Aptos" w:hAnsi="Aptos"/>
                <w:b w:val="0"/>
                <w:sz w:val="16"/>
              </w:rPr>
              <w:t>€10.78K</w:t>
            </w:r>
          </w:p>
        </w:tc>
        <w:tc>
          <w:tcPr>
            <w:tcW w:type="dxa" w:w="3408"/>
            <w:vAlign w:val="center"/>
          </w:tcPr>
          <w:p>
            <w:r/>
            <w:r>
              <w:rPr>
                <w:rFonts w:ascii="Aptos" w:hAnsi="Aptos"/>
                <w:b w:val="0"/>
                <w:sz w:val="16"/>
              </w:rPr>
              <w:t>3.3%</w:t>
            </w:r>
          </w:p>
        </w:tc>
      </w:tr>
      <w:tr>
        <w:tc>
          <w:tcPr>
            <w:tcW w:type="dxa" w:w="3408"/>
            <w:vAlign w:val="center"/>
          </w:tcPr>
          <w:p>
            <w:r/>
            <w:r>
              <w:rPr>
                <w:rFonts w:ascii="Aptos" w:hAnsi="Aptos"/>
                <w:b w:val="0"/>
                <w:sz w:val="16"/>
              </w:rPr>
              <w:t>Return shipping</w:t>
            </w:r>
          </w:p>
        </w:tc>
        <w:tc>
          <w:tcPr>
            <w:tcW w:type="dxa" w:w="3408"/>
            <w:vAlign w:val="center"/>
          </w:tcPr>
          <w:p>
            <w:r/>
            <w:r>
              <w:rPr>
                <w:rFonts w:ascii="Aptos" w:hAnsi="Aptos"/>
                <w:b w:val="0"/>
                <w:sz w:val="16"/>
              </w:rPr>
              <w:t>€4.72K</w:t>
            </w:r>
          </w:p>
        </w:tc>
        <w:tc>
          <w:tcPr>
            <w:tcW w:type="dxa" w:w="3408"/>
            <w:vAlign w:val="center"/>
          </w:tcPr>
          <w:p>
            <w:r/>
            <w:r>
              <w:rPr>
                <w:rFonts w:ascii="Aptos" w:hAnsi="Aptos"/>
                <w:b w:val="0"/>
                <w:sz w:val="16"/>
              </w:rPr>
              <w:t>1.4%</w:t>
            </w:r>
          </w:p>
        </w:tc>
      </w:tr>
      <w:tr>
        <w:tc>
          <w:tcPr>
            <w:tcW w:type="dxa" w:w="3408"/>
            <w:vAlign w:val="center"/>
          </w:tcPr>
          <w:p>
            <w:r/>
            <w:r>
              <w:rPr>
                <w:rFonts w:ascii="Aptos" w:hAnsi="Aptos"/>
                <w:b w:val="0"/>
                <w:sz w:val="16"/>
              </w:rPr>
              <w:t>Return processing</w:t>
            </w:r>
          </w:p>
        </w:tc>
        <w:tc>
          <w:tcPr>
            <w:tcW w:type="dxa" w:w="3408"/>
            <w:vAlign w:val="center"/>
          </w:tcPr>
          <w:p>
            <w:r/>
            <w:r>
              <w:rPr>
                <w:rFonts w:ascii="Aptos" w:hAnsi="Aptos"/>
                <w:b w:val="0"/>
                <w:sz w:val="16"/>
              </w:rPr>
              <w:t>€2.25K</w:t>
            </w:r>
          </w:p>
        </w:tc>
        <w:tc>
          <w:tcPr>
            <w:tcW w:type="dxa" w:w="3408"/>
            <w:vAlign w:val="center"/>
          </w:tcPr>
          <w:p>
            <w:r/>
            <w:r>
              <w:rPr>
                <w:rFonts w:ascii="Aptos" w:hAnsi="Aptos"/>
                <w:b w:val="0"/>
                <w:sz w:val="16"/>
              </w:rPr>
              <w:t>0.7%</w:t>
            </w:r>
          </w:p>
        </w:tc>
      </w:tr>
      <w:tr>
        <w:tc>
          <w:tcPr>
            <w:tcW w:type="dxa" w:w="3408"/>
            <w:vAlign w:val="center"/>
          </w:tcPr>
          <w:p>
            <w:r/>
            <w:r>
              <w:rPr>
                <w:rFonts w:ascii="Aptos" w:hAnsi="Aptos"/>
                <w:b w:val="0"/>
                <w:sz w:val="16"/>
              </w:rPr>
              <w:t>Total variable cost</w:t>
            </w:r>
          </w:p>
        </w:tc>
        <w:tc>
          <w:tcPr>
            <w:tcW w:type="dxa" w:w="3408"/>
            <w:vAlign w:val="center"/>
          </w:tcPr>
          <w:p>
            <w:r/>
            <w:r>
              <w:rPr>
                <w:rFonts w:ascii="Aptos" w:hAnsi="Aptos"/>
                <w:b w:val="0"/>
                <w:sz w:val="16"/>
              </w:rPr>
              <w:t>€328.92K</w:t>
            </w:r>
          </w:p>
        </w:tc>
        <w:tc>
          <w:tcPr>
            <w:tcW w:type="dxa" w:w="3408"/>
            <w:vAlign w:val="center"/>
          </w:tcPr>
          <w:p>
            <w:r/>
            <w:r>
              <w:rPr>
                <w:rFonts w:ascii="Aptos" w:hAnsi="Aptos"/>
                <w:b w:val="0"/>
                <w:sz w:val="16"/>
              </w:rPr>
              <w:t>100%</w:t>
            </w:r>
          </w:p>
        </w:tc>
      </w:tr>
    </w:tbl>
    <w:p>
      <w:r>
        <w:t>The data dictionary defines Contribution Revenue as Net Sales plus Shipping Revenue and Contribution Margin as Contribution Revenue less product and variable costs. Therefore the cost components above are already embedded in the €85.61K contribution result and should not be added again as separate losses.</w:t>
      </w:r>
    </w:p>
    <w:p>
      <w:pPr>
        <w:pStyle w:val="Heading2"/>
      </w:pPr>
      <w:r>
        <w:t>2.3 Category profitability is highly uneven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7"/>
              </w:rPr>
              <w:t>Category</w:t>
            </w:r>
          </w:p>
        </w:tc>
        <w:tc>
          <w:tcPr>
            <w:tcW w:type="dxa" w:w="2045"/>
            <w:vAlign w:val="center"/>
            <w:shd w:fill="D9EAF7"/>
          </w:tcPr>
          <w:p>
            <w:r/>
            <w:r>
              <w:rPr>
                <w:rFonts w:ascii="Aptos" w:hAnsi="Aptos"/>
                <w:b/>
                <w:sz w:val="17"/>
              </w:rPr>
              <w:t>Net sales</w:t>
            </w:r>
          </w:p>
        </w:tc>
        <w:tc>
          <w:tcPr>
            <w:tcW w:type="dxa" w:w="2045"/>
            <w:vAlign w:val="center"/>
            <w:shd w:fill="D9EAF7"/>
          </w:tcPr>
          <w:p>
            <w:r/>
            <w:r>
              <w:rPr>
                <w:rFonts w:ascii="Aptos" w:hAnsi="Aptos"/>
                <w:b/>
                <w:sz w:val="17"/>
              </w:rPr>
              <w:t>Contribution</w:t>
            </w:r>
          </w:p>
        </w:tc>
        <w:tc>
          <w:tcPr>
            <w:tcW w:type="dxa" w:w="2045"/>
            <w:vAlign w:val="center"/>
            <w:shd w:fill="D9EAF7"/>
          </w:tcPr>
          <w:p>
            <w:r/>
            <w:r>
              <w:rPr>
                <w:rFonts w:ascii="Aptos" w:hAnsi="Aptos"/>
                <w:b/>
                <w:sz w:val="17"/>
              </w:rPr>
              <w:t>CM %</w:t>
            </w:r>
          </w:p>
        </w:tc>
        <w:tc>
          <w:tcPr>
            <w:tcW w:type="dxa" w:w="2045"/>
            <w:vAlign w:val="center"/>
            <w:shd w:fill="D9EAF7"/>
          </w:tcPr>
          <w:p>
            <w:r/>
            <w:r>
              <w:rPr>
                <w:rFonts w:ascii="Aptos" w:hAnsi="Aptos"/>
                <w:b/>
                <w:sz w:val="17"/>
              </w:rPr>
              <w:t>Key observation</w:t>
            </w:r>
          </w:p>
        </w:tc>
      </w:tr>
      <w:tr>
        <w:tc>
          <w:tcPr>
            <w:tcW w:type="dxa" w:w="2045"/>
            <w:vAlign w:val="center"/>
          </w:tcPr>
          <w:p>
            <w:r/>
            <w:r>
              <w:rPr>
                <w:rFonts w:ascii="Aptos" w:hAnsi="Aptos"/>
                <w:b w:val="0"/>
                <w:sz w:val="16"/>
              </w:rPr>
              <w:t>Electronics</w:t>
            </w:r>
          </w:p>
        </w:tc>
        <w:tc>
          <w:tcPr>
            <w:tcW w:type="dxa" w:w="2045"/>
            <w:vAlign w:val="center"/>
          </w:tcPr>
          <w:p>
            <w:r/>
            <w:r>
              <w:rPr>
                <w:rFonts w:ascii="Aptos" w:hAnsi="Aptos"/>
                <w:b w:val="0"/>
                <w:sz w:val="16"/>
              </w:rPr>
              <w:t>€138.61K</w:t>
            </w:r>
          </w:p>
        </w:tc>
        <w:tc>
          <w:tcPr>
            <w:tcW w:type="dxa" w:w="2045"/>
            <w:vAlign w:val="center"/>
          </w:tcPr>
          <w:p>
            <w:r/>
            <w:r>
              <w:rPr>
                <w:rFonts w:ascii="Aptos" w:hAnsi="Aptos"/>
                <w:b w:val="0"/>
                <w:sz w:val="16"/>
              </w:rPr>
              <w:t>€4.76K</w:t>
            </w:r>
          </w:p>
        </w:tc>
        <w:tc>
          <w:tcPr>
            <w:tcW w:type="dxa" w:w="2045"/>
            <w:vAlign w:val="center"/>
          </w:tcPr>
          <w:p>
            <w:r/>
            <w:r>
              <w:rPr>
                <w:rFonts w:ascii="Aptos" w:hAnsi="Aptos"/>
                <w:b w:val="0"/>
                <w:sz w:val="16"/>
              </w:rPr>
              <w:t>3.43%</w:t>
            </w:r>
          </w:p>
        </w:tc>
        <w:tc>
          <w:tcPr>
            <w:tcW w:type="dxa" w:w="2045"/>
            <w:vAlign w:val="center"/>
          </w:tcPr>
          <w:p>
            <w:r/>
            <w:r>
              <w:rPr>
                <w:rFonts w:ascii="Aptos" w:hAnsi="Aptos"/>
                <w:b w:val="0"/>
                <w:sz w:val="16"/>
              </w:rPr>
              <w:t>Highest sales, weakest margin</w:t>
            </w:r>
          </w:p>
        </w:tc>
      </w:tr>
      <w:tr>
        <w:tc>
          <w:tcPr>
            <w:tcW w:type="dxa" w:w="2045"/>
            <w:vAlign w:val="center"/>
          </w:tcPr>
          <w:p>
            <w:r/>
            <w:r>
              <w:rPr>
                <w:rFonts w:ascii="Aptos" w:hAnsi="Aptos"/>
                <w:b w:val="0"/>
                <w:sz w:val="16"/>
              </w:rPr>
              <w:t>Sports &amp; Outdoors</w:t>
            </w:r>
          </w:p>
        </w:tc>
        <w:tc>
          <w:tcPr>
            <w:tcW w:type="dxa" w:w="2045"/>
            <w:vAlign w:val="center"/>
          </w:tcPr>
          <w:p>
            <w:r/>
            <w:r>
              <w:rPr>
                <w:rFonts w:ascii="Aptos" w:hAnsi="Aptos"/>
                <w:b w:val="0"/>
                <w:sz w:val="16"/>
              </w:rPr>
              <w:t>€71.77K</w:t>
            </w:r>
          </w:p>
        </w:tc>
        <w:tc>
          <w:tcPr>
            <w:tcW w:type="dxa" w:w="2045"/>
            <w:vAlign w:val="center"/>
          </w:tcPr>
          <w:p>
            <w:r/>
            <w:r>
              <w:rPr>
                <w:rFonts w:ascii="Aptos" w:hAnsi="Aptos"/>
                <w:b w:val="0"/>
                <w:sz w:val="16"/>
              </w:rPr>
              <w:t>€17.23K</w:t>
            </w:r>
          </w:p>
        </w:tc>
        <w:tc>
          <w:tcPr>
            <w:tcW w:type="dxa" w:w="2045"/>
            <w:vAlign w:val="center"/>
          </w:tcPr>
          <w:p>
            <w:r/>
            <w:r>
              <w:rPr>
                <w:rFonts w:ascii="Aptos" w:hAnsi="Aptos"/>
                <w:b w:val="0"/>
                <w:sz w:val="16"/>
              </w:rPr>
              <w:t>24.01%</w:t>
            </w:r>
          </w:p>
        </w:tc>
        <w:tc>
          <w:tcPr>
            <w:tcW w:type="dxa" w:w="2045"/>
            <w:vAlign w:val="center"/>
          </w:tcPr>
          <w:p>
            <w:r/>
            <w:r>
              <w:rPr>
                <w:rFonts w:ascii="Aptos" w:hAnsi="Aptos"/>
                <w:b w:val="0"/>
                <w:sz w:val="16"/>
              </w:rPr>
              <w:t>Strong contribution</w:t>
            </w:r>
          </w:p>
        </w:tc>
      </w:tr>
      <w:tr>
        <w:tc>
          <w:tcPr>
            <w:tcW w:type="dxa" w:w="2045"/>
            <w:vAlign w:val="center"/>
          </w:tcPr>
          <w:p>
            <w:r/>
            <w:r>
              <w:rPr>
                <w:rFonts w:ascii="Aptos" w:hAnsi="Aptos"/>
                <w:b w:val="0"/>
                <w:sz w:val="16"/>
              </w:rPr>
              <w:t>Fashion</w:t>
            </w:r>
          </w:p>
        </w:tc>
        <w:tc>
          <w:tcPr>
            <w:tcW w:type="dxa" w:w="2045"/>
            <w:vAlign w:val="center"/>
          </w:tcPr>
          <w:p>
            <w:r/>
            <w:r>
              <w:rPr>
                <w:rFonts w:ascii="Aptos" w:hAnsi="Aptos"/>
                <w:b w:val="0"/>
                <w:sz w:val="16"/>
              </w:rPr>
              <w:t>€65.63K</w:t>
            </w:r>
          </w:p>
        </w:tc>
        <w:tc>
          <w:tcPr>
            <w:tcW w:type="dxa" w:w="2045"/>
            <w:vAlign w:val="center"/>
          </w:tcPr>
          <w:p>
            <w:r/>
            <w:r>
              <w:rPr>
                <w:rFonts w:ascii="Aptos" w:hAnsi="Aptos"/>
                <w:b w:val="0"/>
                <w:sz w:val="16"/>
              </w:rPr>
              <w:t>€18.61K</w:t>
            </w:r>
          </w:p>
        </w:tc>
        <w:tc>
          <w:tcPr>
            <w:tcW w:type="dxa" w:w="2045"/>
            <w:vAlign w:val="center"/>
          </w:tcPr>
          <w:p>
            <w:r/>
            <w:r>
              <w:rPr>
                <w:rFonts w:ascii="Aptos" w:hAnsi="Aptos"/>
                <w:b w:val="0"/>
                <w:sz w:val="16"/>
              </w:rPr>
              <w:t>28.36%</w:t>
            </w:r>
          </w:p>
        </w:tc>
        <w:tc>
          <w:tcPr>
            <w:tcW w:type="dxa" w:w="2045"/>
            <w:vAlign w:val="center"/>
          </w:tcPr>
          <w:p>
            <w:r/>
            <w:r>
              <w:rPr>
                <w:rFonts w:ascii="Aptos" w:hAnsi="Aptos"/>
                <w:b w:val="0"/>
                <w:sz w:val="16"/>
              </w:rPr>
              <w:t>Strong contribution but high returns</w:t>
            </w:r>
          </w:p>
        </w:tc>
      </w:tr>
      <w:tr>
        <w:tc>
          <w:tcPr>
            <w:tcW w:type="dxa" w:w="2045"/>
            <w:vAlign w:val="center"/>
          </w:tcPr>
          <w:p>
            <w:r/>
            <w:r>
              <w:rPr>
                <w:rFonts w:ascii="Aptos" w:hAnsi="Aptos"/>
                <w:b w:val="0"/>
                <w:sz w:val="16"/>
              </w:rPr>
              <w:t>Beauty</w:t>
            </w:r>
          </w:p>
        </w:tc>
        <w:tc>
          <w:tcPr>
            <w:tcW w:type="dxa" w:w="2045"/>
            <w:vAlign w:val="center"/>
          </w:tcPr>
          <w:p>
            <w:r/>
            <w:r>
              <w:rPr>
                <w:rFonts w:ascii="Aptos" w:hAnsi="Aptos"/>
                <w:b w:val="0"/>
                <w:sz w:val="16"/>
              </w:rPr>
              <w:t>€65.41K</w:t>
            </w:r>
          </w:p>
        </w:tc>
        <w:tc>
          <w:tcPr>
            <w:tcW w:type="dxa" w:w="2045"/>
            <w:vAlign w:val="center"/>
          </w:tcPr>
          <w:p>
            <w:r/>
            <w:r>
              <w:rPr>
                <w:rFonts w:ascii="Aptos" w:hAnsi="Aptos"/>
                <w:b w:val="0"/>
                <w:sz w:val="16"/>
              </w:rPr>
              <w:t>€31.79K</w:t>
            </w:r>
          </w:p>
        </w:tc>
        <w:tc>
          <w:tcPr>
            <w:tcW w:type="dxa" w:w="2045"/>
            <w:vAlign w:val="center"/>
          </w:tcPr>
          <w:p>
            <w:r/>
            <w:r>
              <w:rPr>
                <w:rFonts w:ascii="Aptos" w:hAnsi="Aptos"/>
                <w:b w:val="0"/>
                <w:sz w:val="16"/>
              </w:rPr>
              <w:t>48.61%</w:t>
            </w:r>
          </w:p>
        </w:tc>
        <w:tc>
          <w:tcPr>
            <w:tcW w:type="dxa" w:w="2045"/>
            <w:vAlign w:val="center"/>
          </w:tcPr>
          <w:p>
            <w:r/>
            <w:r>
              <w:rPr>
                <w:rFonts w:ascii="Aptos" w:hAnsi="Aptos"/>
                <w:b w:val="0"/>
                <w:sz w:val="16"/>
              </w:rPr>
              <w:t>Strongest margin and contribution</w:t>
            </w:r>
          </w:p>
        </w:tc>
      </w:tr>
      <w:tr>
        <w:tc>
          <w:tcPr>
            <w:tcW w:type="dxa" w:w="2045"/>
            <w:vAlign w:val="center"/>
          </w:tcPr>
          <w:p>
            <w:r/>
            <w:r>
              <w:rPr>
                <w:rFonts w:ascii="Aptos" w:hAnsi="Aptos"/>
                <w:b w:val="0"/>
                <w:sz w:val="16"/>
              </w:rPr>
              <w:t>Home &amp; Living</w:t>
            </w:r>
          </w:p>
        </w:tc>
        <w:tc>
          <w:tcPr>
            <w:tcW w:type="dxa" w:w="2045"/>
            <w:vAlign w:val="center"/>
          </w:tcPr>
          <w:p>
            <w:r/>
            <w:r>
              <w:rPr>
                <w:rFonts w:ascii="Aptos" w:hAnsi="Aptos"/>
                <w:b w:val="0"/>
                <w:sz w:val="16"/>
              </w:rPr>
              <w:t>€62.68K</w:t>
            </w:r>
          </w:p>
        </w:tc>
        <w:tc>
          <w:tcPr>
            <w:tcW w:type="dxa" w:w="2045"/>
            <w:vAlign w:val="center"/>
          </w:tcPr>
          <w:p>
            <w:r/>
            <w:r>
              <w:rPr>
                <w:rFonts w:ascii="Aptos" w:hAnsi="Aptos"/>
                <w:b w:val="0"/>
                <w:sz w:val="16"/>
              </w:rPr>
              <w:t>€13.22K</w:t>
            </w:r>
          </w:p>
        </w:tc>
        <w:tc>
          <w:tcPr>
            <w:tcW w:type="dxa" w:w="2045"/>
            <w:vAlign w:val="center"/>
          </w:tcPr>
          <w:p>
            <w:r/>
            <w:r>
              <w:rPr>
                <w:rFonts w:ascii="Aptos" w:hAnsi="Aptos"/>
                <w:b w:val="0"/>
                <w:sz w:val="16"/>
              </w:rPr>
              <w:t>21.09%</w:t>
            </w:r>
          </w:p>
        </w:tc>
        <w:tc>
          <w:tcPr>
            <w:tcW w:type="dxa" w:w="2045"/>
            <w:vAlign w:val="center"/>
          </w:tcPr>
          <w:p>
            <w:r/>
            <w:r>
              <w:rPr>
                <w:rFonts w:ascii="Aptos" w:hAnsi="Aptos"/>
                <w:b w:val="0"/>
                <w:sz w:val="16"/>
              </w:rPr>
              <w:t>Mid-range economics</w:t>
            </w:r>
          </w:p>
        </w:tc>
      </w:tr>
    </w:tbl>
    <w:p>
      <w:pPr>
        <w:pStyle w:val="ListBullet"/>
        <w:spacing w:after="40"/>
      </w:pPr>
      <w:r>
        <w:t>Beauty, Fashion and Sports &amp; Outdoors together generate approximately 79.0% of total contribution margin.</w:t>
      </w:r>
    </w:p>
    <w:p>
      <w:pPr>
        <w:pStyle w:val="ListBullet"/>
        <w:spacing w:after="40"/>
      </w:pPr>
      <w:r>
        <w:t>Electronics generates approximately 34% of total net sales but only about 5.6% of total contribution.</w:t>
      </w:r>
    </w:p>
    <w:p>
      <w:pPr>
        <w:pStyle w:val="ListBullet"/>
        <w:spacing w:after="40"/>
      </w:pPr>
      <w:r>
        <w:t>This sales-versus-contribution gap is one of the clearest explanations for the overall 21.19% margin.</w:t>
      </w:r>
    </w:p>
    <w:p>
      <w:pPr>
        <w:pStyle w:val="Heading2"/>
      </w:pPr>
      <w:r>
        <w:t>2.4 Electronics is the main product-economics exception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7"/>
              </w:rPr>
              <w:t>Product</w:t>
            </w:r>
          </w:p>
        </w:tc>
        <w:tc>
          <w:tcPr>
            <w:tcW w:type="dxa" w:w="2045"/>
            <w:vAlign w:val="center"/>
            <w:shd w:fill="D9EAF7"/>
          </w:tcPr>
          <w:p>
            <w:r/>
            <w:r>
              <w:rPr>
                <w:rFonts w:ascii="Aptos" w:hAnsi="Aptos"/>
                <w:b/>
                <w:sz w:val="17"/>
              </w:rPr>
              <w:t>Net sales</w:t>
            </w:r>
          </w:p>
        </w:tc>
        <w:tc>
          <w:tcPr>
            <w:tcW w:type="dxa" w:w="2045"/>
            <w:vAlign w:val="center"/>
            <w:shd w:fill="D9EAF7"/>
          </w:tcPr>
          <w:p>
            <w:r/>
            <w:r>
              <w:rPr>
                <w:rFonts w:ascii="Aptos" w:hAnsi="Aptos"/>
                <w:b/>
                <w:sz w:val="17"/>
              </w:rPr>
              <w:t>Contribution</w:t>
            </w:r>
          </w:p>
        </w:tc>
        <w:tc>
          <w:tcPr>
            <w:tcW w:type="dxa" w:w="2045"/>
            <w:vAlign w:val="center"/>
            <w:shd w:fill="D9EAF7"/>
          </w:tcPr>
          <w:p>
            <w:r/>
            <w:r>
              <w:rPr>
                <w:rFonts w:ascii="Aptos" w:hAnsi="Aptos"/>
                <w:b/>
                <w:sz w:val="17"/>
              </w:rPr>
              <w:t>CM %</w:t>
            </w:r>
          </w:p>
        </w:tc>
        <w:tc>
          <w:tcPr>
            <w:tcW w:type="dxa" w:w="2045"/>
            <w:vAlign w:val="center"/>
            <w:shd w:fill="D9EAF7"/>
          </w:tcPr>
          <w:p>
            <w:r/>
            <w:r>
              <w:rPr>
                <w:rFonts w:ascii="Aptos" w:hAnsi="Aptos"/>
                <w:b/>
                <w:sz w:val="17"/>
              </w:rPr>
              <w:t>Discount rate</w:t>
            </w:r>
          </w:p>
        </w:tc>
      </w:tr>
      <w:tr>
        <w:tc>
          <w:tcPr>
            <w:tcW w:type="dxa" w:w="2045"/>
            <w:vAlign w:val="center"/>
          </w:tcPr>
          <w:p>
            <w:r/>
            <w:r>
              <w:rPr>
                <w:rFonts w:ascii="Aptos" w:hAnsi="Aptos"/>
                <w:b w:val="0"/>
                <w:sz w:val="16"/>
              </w:rPr>
              <w:t>Tech Smart Home Plus</w:t>
            </w:r>
          </w:p>
        </w:tc>
        <w:tc>
          <w:tcPr>
            <w:tcW w:type="dxa" w:w="2045"/>
            <w:vAlign w:val="center"/>
          </w:tcPr>
          <w:p>
            <w:r/>
            <w:r>
              <w:rPr>
                <w:rFonts w:ascii="Aptos" w:hAnsi="Aptos"/>
                <w:b w:val="0"/>
                <w:sz w:val="16"/>
              </w:rPr>
              <w:t>€10.74K</w:t>
            </w:r>
          </w:p>
        </w:tc>
        <w:tc>
          <w:tcPr>
            <w:tcW w:type="dxa" w:w="2045"/>
            <w:vAlign w:val="center"/>
          </w:tcPr>
          <w:p>
            <w:r/>
            <w:r>
              <w:rPr>
                <w:rFonts w:ascii="Aptos" w:hAnsi="Aptos"/>
                <w:b w:val="0"/>
                <w:sz w:val="16"/>
              </w:rPr>
              <w:t>-€438</w:t>
            </w:r>
          </w:p>
        </w:tc>
        <w:tc>
          <w:tcPr>
            <w:tcW w:type="dxa" w:w="2045"/>
            <w:vAlign w:val="center"/>
          </w:tcPr>
          <w:p>
            <w:r/>
            <w:r>
              <w:rPr>
                <w:rFonts w:ascii="Aptos" w:hAnsi="Aptos"/>
                <w:b w:val="0"/>
                <w:sz w:val="16"/>
              </w:rPr>
              <w:t>-4.08%</w:t>
            </w:r>
          </w:p>
        </w:tc>
        <w:tc>
          <w:tcPr>
            <w:tcW w:type="dxa" w:w="2045"/>
            <w:vAlign w:val="center"/>
          </w:tcPr>
          <w:p>
            <w:r/>
            <w:r>
              <w:rPr>
                <w:rFonts w:ascii="Aptos" w:hAnsi="Aptos"/>
                <w:b w:val="0"/>
                <w:sz w:val="16"/>
              </w:rPr>
              <w:t>8.57%</w:t>
            </w:r>
          </w:p>
        </w:tc>
      </w:tr>
      <w:tr>
        <w:tc>
          <w:tcPr>
            <w:tcW w:type="dxa" w:w="2045"/>
            <w:vAlign w:val="center"/>
          </w:tcPr>
          <w:p>
            <w:r/>
            <w:r>
              <w:rPr>
                <w:rFonts w:ascii="Aptos" w:hAnsi="Aptos"/>
                <w:b w:val="0"/>
                <w:sz w:val="16"/>
              </w:rPr>
              <w:t>Tech Smart Home Essential</w:t>
            </w:r>
          </w:p>
        </w:tc>
        <w:tc>
          <w:tcPr>
            <w:tcW w:type="dxa" w:w="2045"/>
            <w:vAlign w:val="center"/>
          </w:tcPr>
          <w:p>
            <w:r/>
            <w:r>
              <w:rPr>
                <w:rFonts w:ascii="Aptos" w:hAnsi="Aptos"/>
                <w:b w:val="0"/>
                <w:sz w:val="16"/>
              </w:rPr>
              <w:t>€5.45K</w:t>
            </w:r>
          </w:p>
        </w:tc>
        <w:tc>
          <w:tcPr>
            <w:tcW w:type="dxa" w:w="2045"/>
            <w:vAlign w:val="center"/>
          </w:tcPr>
          <w:p>
            <w:r/>
            <w:r>
              <w:rPr>
                <w:rFonts w:ascii="Aptos" w:hAnsi="Aptos"/>
                <w:b w:val="0"/>
                <w:sz w:val="16"/>
              </w:rPr>
              <w:t>-€29</w:t>
            </w:r>
          </w:p>
        </w:tc>
        <w:tc>
          <w:tcPr>
            <w:tcW w:type="dxa" w:w="2045"/>
            <w:vAlign w:val="center"/>
          </w:tcPr>
          <w:p>
            <w:r/>
            <w:r>
              <w:rPr>
                <w:rFonts w:ascii="Aptos" w:hAnsi="Aptos"/>
                <w:b w:val="0"/>
                <w:sz w:val="16"/>
              </w:rPr>
              <w:t>-0.53%</w:t>
            </w:r>
          </w:p>
        </w:tc>
        <w:tc>
          <w:tcPr>
            <w:tcW w:type="dxa" w:w="2045"/>
            <w:vAlign w:val="center"/>
          </w:tcPr>
          <w:p>
            <w:r/>
            <w:r>
              <w:rPr>
                <w:rFonts w:ascii="Aptos" w:hAnsi="Aptos"/>
                <w:b w:val="0"/>
                <w:sz w:val="16"/>
              </w:rPr>
              <w:t>8.27%</w:t>
            </w:r>
          </w:p>
        </w:tc>
      </w:tr>
      <w:tr>
        <w:tc>
          <w:tcPr>
            <w:tcW w:type="dxa" w:w="2045"/>
            <w:vAlign w:val="center"/>
          </w:tcPr>
          <w:p>
            <w:r/>
            <w:r>
              <w:rPr>
                <w:rFonts w:ascii="Aptos" w:hAnsi="Aptos"/>
                <w:b w:val="0"/>
                <w:sz w:val="16"/>
              </w:rPr>
              <w:t>Tech Audio Essential</w:t>
            </w:r>
          </w:p>
        </w:tc>
        <w:tc>
          <w:tcPr>
            <w:tcW w:type="dxa" w:w="2045"/>
            <w:vAlign w:val="center"/>
          </w:tcPr>
          <w:p>
            <w:r/>
            <w:r>
              <w:rPr>
                <w:rFonts w:ascii="Aptos" w:hAnsi="Aptos"/>
                <w:b w:val="0"/>
                <w:sz w:val="16"/>
              </w:rPr>
              <w:t>€5.57K</w:t>
            </w:r>
          </w:p>
        </w:tc>
        <w:tc>
          <w:tcPr>
            <w:tcW w:type="dxa" w:w="2045"/>
            <w:vAlign w:val="center"/>
          </w:tcPr>
          <w:p>
            <w:r/>
            <w:r>
              <w:rPr>
                <w:rFonts w:ascii="Aptos" w:hAnsi="Aptos"/>
                <w:b w:val="0"/>
                <w:sz w:val="16"/>
              </w:rPr>
              <w:t>-€25</w:t>
            </w:r>
          </w:p>
        </w:tc>
        <w:tc>
          <w:tcPr>
            <w:tcW w:type="dxa" w:w="2045"/>
            <w:vAlign w:val="center"/>
          </w:tcPr>
          <w:p>
            <w:r/>
            <w:r>
              <w:rPr>
                <w:rFonts w:ascii="Aptos" w:hAnsi="Aptos"/>
                <w:b w:val="0"/>
                <w:sz w:val="16"/>
              </w:rPr>
              <w:t>-0.45%</w:t>
            </w:r>
          </w:p>
        </w:tc>
        <w:tc>
          <w:tcPr>
            <w:tcW w:type="dxa" w:w="2045"/>
            <w:vAlign w:val="center"/>
          </w:tcPr>
          <w:p>
            <w:r/>
            <w:r>
              <w:rPr>
                <w:rFonts w:ascii="Aptos" w:hAnsi="Aptos"/>
                <w:b w:val="0"/>
                <w:sz w:val="16"/>
              </w:rPr>
              <w:t>6.88%</w:t>
            </w:r>
          </w:p>
        </w:tc>
      </w:tr>
      <w:tr>
        <w:tc>
          <w:tcPr>
            <w:tcW w:type="dxa" w:w="2045"/>
            <w:vAlign w:val="center"/>
          </w:tcPr>
          <w:p>
            <w:r/>
            <w:r>
              <w:rPr>
                <w:rFonts w:ascii="Aptos" w:hAnsi="Aptos"/>
                <w:b w:val="0"/>
                <w:sz w:val="16"/>
              </w:rPr>
              <w:t>Tech Smart Home Elite</w:t>
            </w:r>
          </w:p>
        </w:tc>
        <w:tc>
          <w:tcPr>
            <w:tcW w:type="dxa" w:w="2045"/>
            <w:vAlign w:val="center"/>
          </w:tcPr>
          <w:p>
            <w:r/>
            <w:r>
              <w:rPr>
                <w:rFonts w:ascii="Aptos" w:hAnsi="Aptos"/>
                <w:b w:val="0"/>
                <w:sz w:val="16"/>
              </w:rPr>
              <w:t>€13.37K</w:t>
            </w:r>
          </w:p>
        </w:tc>
        <w:tc>
          <w:tcPr>
            <w:tcW w:type="dxa" w:w="2045"/>
            <w:vAlign w:val="center"/>
          </w:tcPr>
          <w:p>
            <w:r/>
            <w:r>
              <w:rPr>
                <w:rFonts w:ascii="Aptos" w:hAnsi="Aptos"/>
                <w:b w:val="0"/>
                <w:sz w:val="16"/>
              </w:rPr>
              <w:t>€136</w:t>
            </w:r>
          </w:p>
        </w:tc>
        <w:tc>
          <w:tcPr>
            <w:tcW w:type="dxa" w:w="2045"/>
            <w:vAlign w:val="center"/>
          </w:tcPr>
          <w:p>
            <w:r/>
            <w:r>
              <w:rPr>
                <w:rFonts w:ascii="Aptos" w:hAnsi="Aptos"/>
                <w:b w:val="0"/>
                <w:sz w:val="16"/>
              </w:rPr>
              <w:t>1.02%</w:t>
            </w:r>
          </w:p>
        </w:tc>
        <w:tc>
          <w:tcPr>
            <w:tcW w:type="dxa" w:w="2045"/>
            <w:vAlign w:val="center"/>
          </w:tcPr>
          <w:p>
            <w:r/>
            <w:r>
              <w:rPr>
                <w:rFonts w:ascii="Aptos" w:hAnsi="Aptos"/>
                <w:b w:val="0"/>
                <w:sz w:val="16"/>
              </w:rPr>
              <w:t>8.67%</w:t>
            </w:r>
          </w:p>
        </w:tc>
      </w:tr>
      <w:tr>
        <w:tc>
          <w:tcPr>
            <w:tcW w:type="dxa" w:w="2045"/>
            <w:vAlign w:val="center"/>
          </w:tcPr>
          <w:p>
            <w:r/>
            <w:r>
              <w:rPr>
                <w:rFonts w:ascii="Aptos" w:hAnsi="Aptos"/>
                <w:b w:val="0"/>
                <w:sz w:val="16"/>
              </w:rPr>
              <w:t>Tech Wearables Pro</w:t>
            </w:r>
          </w:p>
        </w:tc>
        <w:tc>
          <w:tcPr>
            <w:tcW w:type="dxa" w:w="2045"/>
            <w:vAlign w:val="center"/>
          </w:tcPr>
          <w:p>
            <w:r/>
            <w:r>
              <w:rPr>
                <w:rFonts w:ascii="Aptos" w:hAnsi="Aptos"/>
                <w:b w:val="0"/>
                <w:sz w:val="16"/>
              </w:rPr>
              <w:t>€14.82K</w:t>
            </w:r>
          </w:p>
        </w:tc>
        <w:tc>
          <w:tcPr>
            <w:tcW w:type="dxa" w:w="2045"/>
            <w:vAlign w:val="center"/>
          </w:tcPr>
          <w:p>
            <w:r/>
            <w:r>
              <w:rPr>
                <w:rFonts w:ascii="Aptos" w:hAnsi="Aptos"/>
                <w:b w:val="0"/>
                <w:sz w:val="16"/>
              </w:rPr>
              <w:t>€325</w:t>
            </w:r>
          </w:p>
        </w:tc>
        <w:tc>
          <w:tcPr>
            <w:tcW w:type="dxa" w:w="2045"/>
            <w:vAlign w:val="center"/>
          </w:tcPr>
          <w:p>
            <w:r/>
            <w:r>
              <w:rPr>
                <w:rFonts w:ascii="Aptos" w:hAnsi="Aptos"/>
                <w:b w:val="0"/>
                <w:sz w:val="16"/>
              </w:rPr>
              <w:t>2.19%</w:t>
            </w:r>
          </w:p>
        </w:tc>
        <w:tc>
          <w:tcPr>
            <w:tcW w:type="dxa" w:w="2045"/>
            <w:vAlign w:val="center"/>
          </w:tcPr>
          <w:p>
            <w:r/>
            <w:r>
              <w:rPr>
                <w:rFonts w:ascii="Aptos" w:hAnsi="Aptos"/>
                <w:b w:val="0"/>
                <w:sz w:val="16"/>
              </w:rPr>
              <w:t>7.30%</w:t>
            </w:r>
          </w:p>
        </w:tc>
      </w:tr>
      <w:tr>
        <w:tc>
          <w:tcPr>
            <w:tcW w:type="dxa" w:w="2045"/>
            <w:vAlign w:val="center"/>
          </w:tcPr>
          <w:p>
            <w:r/>
            <w:r>
              <w:rPr>
                <w:rFonts w:ascii="Aptos" w:hAnsi="Aptos"/>
                <w:b w:val="0"/>
                <w:sz w:val="16"/>
              </w:rPr>
              <w:t>Tech Audio Pro</w:t>
            </w:r>
          </w:p>
        </w:tc>
        <w:tc>
          <w:tcPr>
            <w:tcW w:type="dxa" w:w="2045"/>
            <w:vAlign w:val="center"/>
          </w:tcPr>
          <w:p>
            <w:r/>
            <w:r>
              <w:rPr>
                <w:rFonts w:ascii="Aptos" w:hAnsi="Aptos"/>
                <w:b w:val="0"/>
                <w:sz w:val="16"/>
              </w:rPr>
              <w:t>€15.27K</w:t>
            </w:r>
          </w:p>
        </w:tc>
        <w:tc>
          <w:tcPr>
            <w:tcW w:type="dxa" w:w="2045"/>
            <w:vAlign w:val="center"/>
          </w:tcPr>
          <w:p>
            <w:r/>
            <w:r>
              <w:rPr>
                <w:rFonts w:ascii="Aptos" w:hAnsi="Aptos"/>
                <w:b w:val="0"/>
                <w:sz w:val="16"/>
              </w:rPr>
              <w:t>€618</w:t>
            </w:r>
          </w:p>
        </w:tc>
        <w:tc>
          <w:tcPr>
            <w:tcW w:type="dxa" w:w="2045"/>
            <w:vAlign w:val="center"/>
          </w:tcPr>
          <w:p>
            <w:r/>
            <w:r>
              <w:rPr>
                <w:rFonts w:ascii="Aptos" w:hAnsi="Aptos"/>
                <w:b w:val="0"/>
                <w:sz w:val="16"/>
              </w:rPr>
              <w:t>4.05%</w:t>
            </w:r>
          </w:p>
        </w:tc>
        <w:tc>
          <w:tcPr>
            <w:tcW w:type="dxa" w:w="2045"/>
            <w:vAlign w:val="center"/>
          </w:tcPr>
          <w:p>
            <w:r/>
            <w:r>
              <w:rPr>
                <w:rFonts w:ascii="Aptos" w:hAnsi="Aptos"/>
                <w:b w:val="0"/>
                <w:sz w:val="16"/>
              </w:rPr>
              <w:t>6.95%</w:t>
            </w:r>
          </w:p>
        </w:tc>
      </w:tr>
      <w:tr>
        <w:tc>
          <w:tcPr>
            <w:tcW w:type="dxa" w:w="2045"/>
            <w:vAlign w:val="center"/>
          </w:tcPr>
          <w:p>
            <w:r/>
            <w:r>
              <w:rPr>
                <w:rFonts w:ascii="Aptos" w:hAnsi="Aptos"/>
                <w:b w:val="0"/>
                <w:sz w:val="16"/>
              </w:rPr>
              <w:t>Tech Smart Home Pro</w:t>
            </w:r>
          </w:p>
        </w:tc>
        <w:tc>
          <w:tcPr>
            <w:tcW w:type="dxa" w:w="2045"/>
            <w:vAlign w:val="center"/>
          </w:tcPr>
          <w:p>
            <w:r/>
            <w:r>
              <w:rPr>
                <w:rFonts w:ascii="Aptos" w:hAnsi="Aptos"/>
                <w:b w:val="0"/>
                <w:sz w:val="16"/>
              </w:rPr>
              <w:t>€15.36K</w:t>
            </w:r>
          </w:p>
        </w:tc>
        <w:tc>
          <w:tcPr>
            <w:tcW w:type="dxa" w:w="2045"/>
            <w:vAlign w:val="center"/>
          </w:tcPr>
          <w:p>
            <w:r/>
            <w:r>
              <w:rPr>
                <w:rFonts w:ascii="Aptos" w:hAnsi="Aptos"/>
                <w:b w:val="0"/>
                <w:sz w:val="16"/>
              </w:rPr>
              <w:t>€1.82K</w:t>
            </w:r>
          </w:p>
        </w:tc>
        <w:tc>
          <w:tcPr>
            <w:tcW w:type="dxa" w:w="2045"/>
            <w:vAlign w:val="center"/>
          </w:tcPr>
          <w:p>
            <w:r/>
            <w:r>
              <w:rPr>
                <w:rFonts w:ascii="Aptos" w:hAnsi="Aptos"/>
                <w:b w:val="0"/>
                <w:sz w:val="16"/>
              </w:rPr>
              <w:t>11.88%</w:t>
            </w:r>
          </w:p>
        </w:tc>
        <w:tc>
          <w:tcPr>
            <w:tcW w:type="dxa" w:w="2045"/>
            <w:vAlign w:val="center"/>
          </w:tcPr>
          <w:p>
            <w:r/>
            <w:r>
              <w:rPr>
                <w:rFonts w:ascii="Aptos" w:hAnsi="Aptos"/>
                <w:b w:val="0"/>
                <w:sz w:val="16"/>
              </w:rPr>
              <w:t>6.74%</w:t>
            </w:r>
          </w:p>
        </w:tc>
      </w:tr>
    </w:tbl>
    <w:p>
      <w:pPr>
        <w:pStyle w:val="ListBullet"/>
        <w:spacing w:after="40"/>
      </w:pPr>
      <w:r>
        <w:t>Multiple Electronics products generate revenue at margins close to zero or below zero.</w:t>
      </w:r>
    </w:p>
    <w:p>
      <w:pPr>
        <w:pStyle w:val="ListBullet"/>
        <w:spacing w:after="40"/>
      </w:pPr>
      <w:r>
        <w:t>Tech Smart Home Plus is explicitly loss-making at -€438 contribution and -4.08% CM.</w:t>
      </w:r>
    </w:p>
    <w:p>
      <w:pPr>
        <w:pStyle w:val="ListBullet"/>
        <w:spacing w:after="40"/>
      </w:pPr>
      <w:r>
        <w:t>The product-cost analysis shows that the weak Electronics result is primarily associated with product economics rather than a single operational cost.</w:t>
      </w:r>
    </w:p>
    <w:p>
      <w:pPr>
        <w:pStyle w:val="ListBullet"/>
        <w:spacing w:after="40"/>
      </w:pPr>
      <w:r>
        <w:t>Electronics also carries material return and stockout exposure, which compounds the weak underlying economics.</w:t>
      </w:r>
    </w:p>
    <w:p>
      <w:pPr>
        <w:pStyle w:val="Heading2"/>
      </w:pPr>
      <w:r>
        <w:t>2.5 Returns are a material value-leakage area</w:t>
      </w:r>
    </w:p>
    <w:p>
      <w:r>
        <w:t>The validated return analysis identifies Fashion and Electronics as the two major return-loss concentrations. Fashion has a 23.01% category return rate and €23.82K return loss in the category drill-down. Electronics has a 7.59% return rate and €19.75K return loss in the same drill-down.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Return pattern</w:t>
            </w:r>
          </w:p>
        </w:tc>
        <w:tc>
          <w:tcPr>
            <w:tcW w:type="dxa" w:w="3408"/>
            <w:vAlign w:val="center"/>
            <w:shd w:fill="D9EAF7"/>
          </w:tcPr>
          <w:p>
            <w:r/>
            <w:r>
              <w:rPr>
                <w:rFonts w:ascii="Aptos" w:hAnsi="Aptos"/>
                <w:b/>
                <w:sz w:val="17"/>
              </w:rPr>
              <w:t>Evidence</w:t>
            </w:r>
          </w:p>
        </w:tc>
        <w:tc>
          <w:tcPr>
            <w:tcW w:type="dxa" w:w="3408"/>
            <w:vAlign w:val="center"/>
            <w:shd w:fill="D9EAF7"/>
          </w:tcPr>
          <w:p>
            <w:r/>
            <w:r>
              <w:rPr>
                <w:rFonts w:ascii="Aptos" w:hAnsi="Aptos"/>
                <w:b/>
                <w:sz w:val="17"/>
              </w:rPr>
              <w:t>Implication</w:t>
            </w:r>
          </w:p>
        </w:tc>
      </w:tr>
      <w:tr>
        <w:tc>
          <w:tcPr>
            <w:tcW w:type="dxa" w:w="3408"/>
            <w:vAlign w:val="center"/>
          </w:tcPr>
          <w:p>
            <w:r/>
            <w:r>
              <w:rPr>
                <w:rFonts w:ascii="Aptos" w:hAnsi="Aptos"/>
                <w:b w:val="0"/>
                <w:sz w:val="16"/>
              </w:rPr>
              <w:t>Fashion</w:t>
            </w:r>
          </w:p>
        </w:tc>
        <w:tc>
          <w:tcPr>
            <w:tcW w:type="dxa" w:w="3408"/>
            <w:vAlign w:val="center"/>
          </w:tcPr>
          <w:p>
            <w:r/>
            <w:r>
              <w:rPr>
                <w:rFonts w:ascii="Aptos" w:hAnsi="Aptos"/>
                <w:b w:val="0"/>
                <w:sz w:val="16"/>
              </w:rPr>
              <w:t>23.01% return rate; €23.82K return loss</w:t>
            </w:r>
          </w:p>
        </w:tc>
        <w:tc>
          <w:tcPr>
            <w:tcW w:type="dxa" w:w="3408"/>
            <w:vAlign w:val="center"/>
          </w:tcPr>
          <w:p>
            <w:r/>
            <w:r>
              <w:rPr>
                <w:rFonts w:ascii="Aptos" w:hAnsi="Aptos"/>
                <w:b w:val="0"/>
                <w:sz w:val="16"/>
              </w:rPr>
              <w:t>Return economics are a major drag despite a 28.36% CM</w:t>
            </w:r>
          </w:p>
        </w:tc>
      </w:tr>
      <w:tr>
        <w:tc>
          <w:tcPr>
            <w:tcW w:type="dxa" w:w="3408"/>
            <w:vAlign w:val="center"/>
          </w:tcPr>
          <w:p>
            <w:r/>
            <w:r>
              <w:rPr>
                <w:rFonts w:ascii="Aptos" w:hAnsi="Aptos"/>
                <w:b w:val="0"/>
                <w:sz w:val="16"/>
              </w:rPr>
              <w:t>Electronics</w:t>
            </w:r>
          </w:p>
        </w:tc>
        <w:tc>
          <w:tcPr>
            <w:tcW w:type="dxa" w:w="3408"/>
            <w:vAlign w:val="center"/>
          </w:tcPr>
          <w:p>
            <w:r/>
            <w:r>
              <w:rPr>
                <w:rFonts w:ascii="Aptos" w:hAnsi="Aptos"/>
                <w:b w:val="0"/>
                <w:sz w:val="16"/>
              </w:rPr>
              <w:t>7.59% return rate; €19.75K return loss</w:t>
            </w:r>
          </w:p>
        </w:tc>
        <w:tc>
          <w:tcPr>
            <w:tcW w:type="dxa" w:w="3408"/>
            <w:vAlign w:val="center"/>
          </w:tcPr>
          <w:p>
            <w:r/>
            <w:r>
              <w:rPr>
                <w:rFonts w:ascii="Aptos" w:hAnsi="Aptos"/>
                <w:b w:val="0"/>
                <w:sz w:val="16"/>
              </w:rPr>
              <w:t>Lower rate than Fashion but high financial impact because demand is high</w:t>
            </w:r>
          </w:p>
        </w:tc>
      </w:tr>
      <w:tr>
        <w:tc>
          <w:tcPr>
            <w:tcW w:type="dxa" w:w="3408"/>
            <w:vAlign w:val="center"/>
          </w:tcPr>
          <w:p>
            <w:r/>
            <w:r>
              <w:rPr>
                <w:rFonts w:ascii="Aptos" w:hAnsi="Aptos"/>
                <w:b w:val="0"/>
                <w:sz w:val="16"/>
              </w:rPr>
              <w:t>Size / fit</w:t>
            </w:r>
          </w:p>
        </w:tc>
        <w:tc>
          <w:tcPr>
            <w:tcW w:type="dxa" w:w="3408"/>
            <w:vAlign w:val="center"/>
          </w:tcPr>
          <w:p>
            <w:r/>
            <w:r>
              <w:rPr>
                <w:rFonts w:ascii="Aptos" w:hAnsi="Aptos"/>
                <w:b w:val="0"/>
                <w:sz w:val="16"/>
              </w:rPr>
              <w:t>€12.49K Fashion return loss</w:t>
            </w:r>
          </w:p>
        </w:tc>
        <w:tc>
          <w:tcPr>
            <w:tcW w:type="dxa" w:w="3408"/>
            <w:vAlign w:val="center"/>
          </w:tcPr>
          <w:p>
            <w:r/>
            <w:r>
              <w:rPr>
                <w:rFonts w:ascii="Aptos" w:hAnsi="Aptos"/>
                <w:b w:val="0"/>
                <w:sz w:val="16"/>
              </w:rPr>
              <w:t>Strong candidate for sizing, product information and fit intervention</w:t>
            </w:r>
          </w:p>
        </w:tc>
      </w:tr>
      <w:tr>
        <w:tc>
          <w:tcPr>
            <w:tcW w:type="dxa" w:w="3408"/>
            <w:vAlign w:val="center"/>
          </w:tcPr>
          <w:p>
            <w:r/>
            <w:r>
              <w:rPr>
                <w:rFonts w:ascii="Aptos" w:hAnsi="Aptos"/>
                <w:b w:val="0"/>
                <w:sz w:val="16"/>
              </w:rPr>
              <w:t>Changed mind</w:t>
            </w:r>
          </w:p>
        </w:tc>
        <w:tc>
          <w:tcPr>
            <w:tcW w:type="dxa" w:w="3408"/>
            <w:vAlign w:val="center"/>
          </w:tcPr>
          <w:p>
            <w:r/>
            <w:r>
              <w:rPr>
                <w:rFonts w:ascii="Aptos" w:hAnsi="Aptos"/>
                <w:b w:val="0"/>
                <w:sz w:val="16"/>
              </w:rPr>
              <w:t>€5.43K Fashion return loss</w:t>
            </w:r>
          </w:p>
        </w:tc>
        <w:tc>
          <w:tcPr>
            <w:tcW w:type="dxa" w:w="3408"/>
            <w:vAlign w:val="center"/>
          </w:tcPr>
          <w:p>
            <w:r/>
            <w:r>
              <w:rPr>
                <w:rFonts w:ascii="Aptos" w:hAnsi="Aptos"/>
                <w:b w:val="0"/>
                <w:sz w:val="16"/>
              </w:rPr>
              <w:t>Review product expectation, merchandising and promotional behaviour</w:t>
            </w:r>
          </w:p>
        </w:tc>
      </w:tr>
      <w:tr>
        <w:tc>
          <w:tcPr>
            <w:tcW w:type="dxa" w:w="3408"/>
            <w:vAlign w:val="center"/>
          </w:tcPr>
          <w:p>
            <w:r/>
            <w:r>
              <w:rPr>
                <w:rFonts w:ascii="Aptos" w:hAnsi="Aptos"/>
                <w:b w:val="0"/>
                <w:sz w:val="16"/>
              </w:rPr>
              <w:t>Defective product</w:t>
            </w:r>
          </w:p>
        </w:tc>
        <w:tc>
          <w:tcPr>
            <w:tcW w:type="dxa" w:w="3408"/>
            <w:vAlign w:val="center"/>
          </w:tcPr>
          <w:p>
            <w:r/>
            <w:r>
              <w:rPr>
                <w:rFonts w:ascii="Aptos" w:hAnsi="Aptos"/>
                <w:b w:val="0"/>
                <w:sz w:val="16"/>
              </w:rPr>
              <w:t>€10.56K Electronics return loss</w:t>
            </w:r>
          </w:p>
        </w:tc>
        <w:tc>
          <w:tcPr>
            <w:tcW w:type="dxa" w:w="3408"/>
            <w:vAlign w:val="center"/>
          </w:tcPr>
          <w:p>
            <w:r/>
            <w:r>
              <w:rPr>
                <w:rFonts w:ascii="Aptos" w:hAnsi="Aptos"/>
                <w:b w:val="0"/>
                <w:sz w:val="16"/>
              </w:rPr>
              <w:t>Quality/product reliability requires investigation</w:t>
            </w:r>
          </w:p>
        </w:tc>
      </w:tr>
      <w:tr>
        <w:tc>
          <w:tcPr>
            <w:tcW w:type="dxa" w:w="3408"/>
            <w:vAlign w:val="center"/>
          </w:tcPr>
          <w:p>
            <w:r/>
            <w:r>
              <w:rPr>
                <w:rFonts w:ascii="Aptos" w:hAnsi="Aptos"/>
                <w:b w:val="0"/>
                <w:sz w:val="16"/>
              </w:rPr>
              <w:t>Damaged in transit</w:t>
            </w:r>
          </w:p>
        </w:tc>
        <w:tc>
          <w:tcPr>
            <w:tcW w:type="dxa" w:w="3408"/>
            <w:vAlign w:val="center"/>
          </w:tcPr>
          <w:p>
            <w:r/>
            <w:r>
              <w:rPr>
                <w:rFonts w:ascii="Aptos" w:hAnsi="Aptos"/>
                <w:b w:val="0"/>
                <w:sz w:val="16"/>
              </w:rPr>
              <w:t>€4.02K Electronics return loss</w:t>
            </w:r>
          </w:p>
        </w:tc>
        <w:tc>
          <w:tcPr>
            <w:tcW w:type="dxa" w:w="3408"/>
            <w:vAlign w:val="center"/>
          </w:tcPr>
          <w:p>
            <w:r/>
            <w:r>
              <w:rPr>
                <w:rFonts w:ascii="Aptos" w:hAnsi="Aptos"/>
                <w:b w:val="0"/>
                <w:sz w:val="16"/>
              </w:rPr>
              <w:t>Packaging and carrier handling require investigation</w:t>
            </w:r>
          </w:p>
        </w:tc>
      </w:tr>
    </w:tbl>
    <w:tbl>
      <w:tblPr>
        <w:tblW w:type="auto" w:w="0"/>
        <w:jc w:val="center"/>
        <w:tblLook w:firstColumn="1" w:firstRow="1" w:lastColumn="0" w:lastRow="0" w:noHBand="0" w:noVBand="1" w:val="04A0"/>
      </w:tblPr>
      <w:tblGrid>
        <w:gridCol w:w="10224"/>
      </w:tblGrid>
      <w:tr>
        <w:tc>
          <w:tcPr>
            <w:tcW w:type="dxa" w:w="10224"/>
            <w:shd w:fill="EEF5FA"/>
          </w:tcPr>
          <w:p>
            <w:r>
              <w:rPr>
                <w:b/>
                <w:sz w:val="21"/>
              </w:rPr>
              <w:t>RETURN-METRIC CONTROL NOTE</w:t>
              <w:br/>
            </w:r>
            <w:r>
              <w:rPr>
                <w:sz w:val="18"/>
              </w:rPr>
              <w:t>The validated headline return-loss figure supplied for the final analysis is €53.17K and the corrected return-rate measure is 86.93%. The category drill-down displayed in the analysis currently totals approximately €64.04K. These figures use different aggregation/denominator logic and should be reconciled in the final reporting model before the CEO pack is circulated. The qualitative category and reason findings remain useful.</w:t>
            </w:r>
          </w:p>
        </w:tc>
      </w:tr>
    </w:tbl>
    <w:p>
      <w:pPr>
        <w:spacing w:after="20"/>
      </w:pPr>
    </w:p>
    <w:p>
      <w:pPr>
        <w:pStyle w:val="Heading2"/>
      </w:pPr>
      <w:r>
        <w:t>2.6 Promotions show clear evidence of margin compression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7"/>
              </w:rPr>
              <w:t>Campaign</w:t>
            </w:r>
          </w:p>
        </w:tc>
        <w:tc>
          <w:tcPr>
            <w:tcW w:type="dxa" w:w="2045"/>
            <w:vAlign w:val="center"/>
            <w:shd w:fill="D9EAF7"/>
          </w:tcPr>
          <w:p>
            <w:r/>
            <w:r>
              <w:rPr>
                <w:rFonts w:ascii="Aptos" w:hAnsi="Aptos"/>
                <w:b/>
                <w:sz w:val="17"/>
              </w:rPr>
              <w:t>Net sales</w:t>
            </w:r>
          </w:p>
        </w:tc>
        <w:tc>
          <w:tcPr>
            <w:tcW w:type="dxa" w:w="2045"/>
            <w:vAlign w:val="center"/>
            <w:shd w:fill="D9EAF7"/>
          </w:tcPr>
          <w:p>
            <w:r/>
            <w:r>
              <w:rPr>
                <w:rFonts w:ascii="Aptos" w:hAnsi="Aptos"/>
                <w:b/>
                <w:sz w:val="17"/>
              </w:rPr>
              <w:t>Return rate</w:t>
            </w:r>
          </w:p>
        </w:tc>
        <w:tc>
          <w:tcPr>
            <w:tcW w:type="dxa" w:w="2045"/>
            <w:vAlign w:val="center"/>
            <w:shd w:fill="D9EAF7"/>
          </w:tcPr>
          <w:p>
            <w:r/>
            <w:r>
              <w:rPr>
                <w:rFonts w:ascii="Aptos" w:hAnsi="Aptos"/>
                <w:b/>
                <w:sz w:val="17"/>
              </w:rPr>
              <w:t>CM %</w:t>
            </w:r>
          </w:p>
        </w:tc>
        <w:tc>
          <w:tcPr>
            <w:tcW w:type="dxa" w:w="2045"/>
            <w:vAlign w:val="center"/>
            <w:shd w:fill="D9EAF7"/>
          </w:tcPr>
          <w:p>
            <w:r/>
            <w:r>
              <w:rPr>
                <w:rFonts w:ascii="Aptos" w:hAnsi="Aptos"/>
                <w:b/>
                <w:sz w:val="17"/>
              </w:rPr>
              <w:t>Interpretation</w:t>
            </w:r>
          </w:p>
        </w:tc>
      </w:tr>
      <w:tr>
        <w:tc>
          <w:tcPr>
            <w:tcW w:type="dxa" w:w="2045"/>
            <w:vAlign w:val="center"/>
          </w:tcPr>
          <w:p>
            <w:r/>
            <w:r>
              <w:rPr>
                <w:rFonts w:ascii="Aptos" w:hAnsi="Aptos"/>
                <w:b w:val="0"/>
                <w:sz w:val="16"/>
              </w:rPr>
              <w:t>No promotion</w:t>
            </w:r>
          </w:p>
        </w:tc>
        <w:tc>
          <w:tcPr>
            <w:tcW w:type="dxa" w:w="2045"/>
            <w:vAlign w:val="center"/>
          </w:tcPr>
          <w:p>
            <w:r/>
            <w:r>
              <w:rPr>
                <w:rFonts w:ascii="Aptos" w:hAnsi="Aptos"/>
                <w:b w:val="0"/>
                <w:sz w:val="16"/>
              </w:rPr>
              <w:t>€153.88K</w:t>
            </w:r>
          </w:p>
        </w:tc>
        <w:tc>
          <w:tcPr>
            <w:tcW w:type="dxa" w:w="2045"/>
            <w:vAlign w:val="center"/>
          </w:tcPr>
          <w:p>
            <w:r/>
            <w:r>
              <w:rPr>
                <w:rFonts w:ascii="Aptos" w:hAnsi="Aptos"/>
                <w:b w:val="0"/>
                <w:sz w:val="16"/>
              </w:rPr>
              <w:t>7.75%</w:t>
            </w:r>
          </w:p>
        </w:tc>
        <w:tc>
          <w:tcPr>
            <w:tcW w:type="dxa" w:w="2045"/>
            <w:vAlign w:val="center"/>
          </w:tcPr>
          <w:p>
            <w:r/>
            <w:r>
              <w:rPr>
                <w:rFonts w:ascii="Aptos" w:hAnsi="Aptos"/>
                <w:b w:val="0"/>
                <w:sz w:val="16"/>
              </w:rPr>
              <w:t>26.30%</w:t>
            </w:r>
          </w:p>
        </w:tc>
        <w:tc>
          <w:tcPr>
            <w:tcW w:type="dxa" w:w="2045"/>
            <w:vAlign w:val="center"/>
          </w:tcPr>
          <w:p>
            <w:r/>
            <w:r>
              <w:rPr>
                <w:rFonts w:ascii="Aptos" w:hAnsi="Aptos"/>
                <w:b w:val="0"/>
                <w:sz w:val="16"/>
              </w:rPr>
              <w:t>Strong baseline economics</w:t>
            </w:r>
          </w:p>
        </w:tc>
      </w:tr>
      <w:tr>
        <w:tc>
          <w:tcPr>
            <w:tcW w:type="dxa" w:w="2045"/>
            <w:vAlign w:val="center"/>
          </w:tcPr>
          <w:p>
            <w:r/>
            <w:r>
              <w:rPr>
                <w:rFonts w:ascii="Aptos" w:hAnsi="Aptos"/>
                <w:b w:val="0"/>
                <w:sz w:val="16"/>
              </w:rPr>
              <w:t>Bundle &amp; Save</w:t>
            </w:r>
          </w:p>
        </w:tc>
        <w:tc>
          <w:tcPr>
            <w:tcW w:type="dxa" w:w="2045"/>
            <w:vAlign w:val="center"/>
          </w:tcPr>
          <w:p>
            <w:r/>
            <w:r>
              <w:rPr>
                <w:rFonts w:ascii="Aptos" w:hAnsi="Aptos"/>
                <w:b w:val="0"/>
                <w:sz w:val="16"/>
              </w:rPr>
              <w:t>€48.39K</w:t>
            </w:r>
          </w:p>
        </w:tc>
        <w:tc>
          <w:tcPr>
            <w:tcW w:type="dxa" w:w="2045"/>
            <w:vAlign w:val="center"/>
          </w:tcPr>
          <w:p>
            <w:r/>
            <w:r>
              <w:rPr>
                <w:rFonts w:ascii="Aptos" w:hAnsi="Aptos"/>
                <w:b w:val="0"/>
                <w:sz w:val="16"/>
              </w:rPr>
              <w:t>6.27%</w:t>
            </w:r>
          </w:p>
        </w:tc>
        <w:tc>
          <w:tcPr>
            <w:tcW w:type="dxa" w:w="2045"/>
            <w:vAlign w:val="center"/>
          </w:tcPr>
          <w:p>
            <w:r/>
            <w:r>
              <w:rPr>
                <w:rFonts w:ascii="Aptos" w:hAnsi="Aptos"/>
                <w:b w:val="0"/>
                <w:sz w:val="16"/>
              </w:rPr>
              <w:t>28.84%</w:t>
            </w:r>
          </w:p>
        </w:tc>
        <w:tc>
          <w:tcPr>
            <w:tcW w:type="dxa" w:w="2045"/>
            <w:vAlign w:val="center"/>
          </w:tcPr>
          <w:p>
            <w:r/>
            <w:r>
              <w:rPr>
                <w:rFonts w:ascii="Aptos" w:hAnsi="Aptos"/>
                <w:b w:val="0"/>
                <w:sz w:val="16"/>
              </w:rPr>
              <w:t>Strong margin and relatively low returns</w:t>
            </w:r>
          </w:p>
        </w:tc>
      </w:tr>
      <w:tr>
        <w:tc>
          <w:tcPr>
            <w:tcW w:type="dxa" w:w="2045"/>
            <w:vAlign w:val="center"/>
          </w:tcPr>
          <w:p>
            <w:r/>
            <w:r>
              <w:rPr>
                <w:rFonts w:ascii="Aptos" w:hAnsi="Aptos"/>
                <w:b w:val="0"/>
                <w:sz w:val="16"/>
              </w:rPr>
              <w:t>Loyalty 10%</w:t>
            </w:r>
          </w:p>
        </w:tc>
        <w:tc>
          <w:tcPr>
            <w:tcW w:type="dxa" w:w="2045"/>
            <w:vAlign w:val="center"/>
          </w:tcPr>
          <w:p>
            <w:r/>
            <w:r>
              <w:rPr>
                <w:rFonts w:ascii="Aptos" w:hAnsi="Aptos"/>
                <w:b w:val="0"/>
                <w:sz w:val="16"/>
              </w:rPr>
              <w:t>€30.43K</w:t>
            </w:r>
          </w:p>
        </w:tc>
        <w:tc>
          <w:tcPr>
            <w:tcW w:type="dxa" w:w="2045"/>
            <w:vAlign w:val="center"/>
          </w:tcPr>
          <w:p>
            <w:r/>
            <w:r>
              <w:rPr>
                <w:rFonts w:ascii="Aptos" w:hAnsi="Aptos"/>
                <w:b w:val="0"/>
                <w:sz w:val="16"/>
              </w:rPr>
              <w:t>7.09%</w:t>
            </w:r>
          </w:p>
        </w:tc>
        <w:tc>
          <w:tcPr>
            <w:tcW w:type="dxa" w:w="2045"/>
            <w:vAlign w:val="center"/>
          </w:tcPr>
          <w:p>
            <w:r/>
            <w:r>
              <w:rPr>
                <w:rFonts w:ascii="Aptos" w:hAnsi="Aptos"/>
                <w:b w:val="0"/>
                <w:sz w:val="16"/>
              </w:rPr>
              <w:t>27.68%</w:t>
            </w:r>
          </w:p>
        </w:tc>
        <w:tc>
          <w:tcPr>
            <w:tcW w:type="dxa" w:w="2045"/>
            <w:vAlign w:val="center"/>
          </w:tcPr>
          <w:p>
            <w:r/>
            <w:r>
              <w:rPr>
                <w:rFonts w:ascii="Aptos" w:hAnsi="Aptos"/>
                <w:b w:val="0"/>
                <w:sz w:val="16"/>
              </w:rPr>
              <w:t>Strong margin</w:t>
            </w:r>
          </w:p>
        </w:tc>
      </w:tr>
      <w:tr>
        <w:tc>
          <w:tcPr>
            <w:tcW w:type="dxa" w:w="2045"/>
            <w:vAlign w:val="center"/>
          </w:tcPr>
          <w:p>
            <w:r/>
            <w:r>
              <w:rPr>
                <w:rFonts w:ascii="Aptos" w:hAnsi="Aptos"/>
                <w:b w:val="0"/>
                <w:sz w:val="16"/>
              </w:rPr>
              <w:t>Free Shipping</w:t>
            </w:r>
          </w:p>
        </w:tc>
        <w:tc>
          <w:tcPr>
            <w:tcW w:type="dxa" w:w="2045"/>
            <w:vAlign w:val="center"/>
          </w:tcPr>
          <w:p>
            <w:r/>
            <w:r>
              <w:rPr>
                <w:rFonts w:ascii="Aptos" w:hAnsi="Aptos"/>
                <w:b w:val="0"/>
                <w:sz w:val="16"/>
              </w:rPr>
              <w:t>€39.81K</w:t>
            </w:r>
          </w:p>
        </w:tc>
        <w:tc>
          <w:tcPr>
            <w:tcW w:type="dxa" w:w="2045"/>
            <w:vAlign w:val="center"/>
          </w:tcPr>
          <w:p>
            <w:r/>
            <w:r>
              <w:rPr>
                <w:rFonts w:ascii="Aptos" w:hAnsi="Aptos"/>
                <w:b w:val="0"/>
                <w:sz w:val="16"/>
              </w:rPr>
              <w:t>8.49%</w:t>
            </w:r>
          </w:p>
        </w:tc>
        <w:tc>
          <w:tcPr>
            <w:tcW w:type="dxa" w:w="2045"/>
            <w:vAlign w:val="center"/>
          </w:tcPr>
          <w:p>
            <w:r/>
            <w:r>
              <w:rPr>
                <w:rFonts w:ascii="Aptos" w:hAnsi="Aptos"/>
                <w:b w:val="0"/>
                <w:sz w:val="16"/>
              </w:rPr>
              <w:t>22.82%</w:t>
            </w:r>
          </w:p>
        </w:tc>
        <w:tc>
          <w:tcPr>
            <w:tcW w:type="dxa" w:w="2045"/>
            <w:vAlign w:val="center"/>
          </w:tcPr>
          <w:p>
            <w:r/>
            <w:r>
              <w:rPr>
                <w:rFonts w:ascii="Aptos" w:hAnsi="Aptos"/>
                <w:b w:val="0"/>
                <w:sz w:val="16"/>
              </w:rPr>
              <w:t>Profitable but lower margin than baseline</w:t>
            </w:r>
          </w:p>
        </w:tc>
      </w:tr>
      <w:tr>
        <w:tc>
          <w:tcPr>
            <w:tcW w:type="dxa" w:w="2045"/>
            <w:vAlign w:val="center"/>
          </w:tcPr>
          <w:p>
            <w:r/>
            <w:r>
              <w:rPr>
                <w:rFonts w:ascii="Aptos" w:hAnsi="Aptos"/>
                <w:b w:val="0"/>
                <w:sz w:val="16"/>
              </w:rPr>
              <w:t>Welcome 15%</w:t>
            </w:r>
          </w:p>
        </w:tc>
        <w:tc>
          <w:tcPr>
            <w:tcW w:type="dxa" w:w="2045"/>
            <w:vAlign w:val="center"/>
          </w:tcPr>
          <w:p>
            <w:r/>
            <w:r>
              <w:rPr>
                <w:rFonts w:ascii="Aptos" w:hAnsi="Aptos"/>
                <w:b w:val="0"/>
                <w:sz w:val="16"/>
              </w:rPr>
              <w:t>€38.11K</w:t>
            </w:r>
          </w:p>
        </w:tc>
        <w:tc>
          <w:tcPr>
            <w:tcW w:type="dxa" w:w="2045"/>
            <w:vAlign w:val="center"/>
          </w:tcPr>
          <w:p>
            <w:r/>
            <w:r>
              <w:rPr>
                <w:rFonts w:ascii="Aptos" w:hAnsi="Aptos"/>
                <w:b w:val="0"/>
                <w:sz w:val="16"/>
              </w:rPr>
              <w:t>7.36%</w:t>
            </w:r>
          </w:p>
        </w:tc>
        <w:tc>
          <w:tcPr>
            <w:tcW w:type="dxa" w:w="2045"/>
            <w:vAlign w:val="center"/>
          </w:tcPr>
          <w:p>
            <w:r/>
            <w:r>
              <w:rPr>
                <w:rFonts w:ascii="Aptos" w:hAnsi="Aptos"/>
                <w:b w:val="0"/>
                <w:sz w:val="16"/>
              </w:rPr>
              <w:t>12.07%</w:t>
            </w:r>
          </w:p>
        </w:tc>
        <w:tc>
          <w:tcPr>
            <w:tcW w:type="dxa" w:w="2045"/>
            <w:vAlign w:val="center"/>
          </w:tcPr>
          <w:p>
            <w:r/>
            <w:r>
              <w:rPr>
                <w:rFonts w:ascii="Aptos" w:hAnsi="Aptos"/>
                <w:b w:val="0"/>
                <w:sz w:val="16"/>
              </w:rPr>
              <w:t>Material margin compression</w:t>
            </w:r>
          </w:p>
        </w:tc>
      </w:tr>
      <w:tr>
        <w:tc>
          <w:tcPr>
            <w:tcW w:type="dxa" w:w="2045"/>
            <w:vAlign w:val="center"/>
          </w:tcPr>
          <w:p>
            <w:r/>
            <w:r>
              <w:rPr>
                <w:rFonts w:ascii="Aptos" w:hAnsi="Aptos"/>
                <w:b w:val="0"/>
                <w:sz w:val="16"/>
              </w:rPr>
              <w:t>Weekend Flash 25%</w:t>
            </w:r>
          </w:p>
        </w:tc>
        <w:tc>
          <w:tcPr>
            <w:tcW w:type="dxa" w:w="2045"/>
            <w:vAlign w:val="center"/>
          </w:tcPr>
          <w:p>
            <w:r/>
            <w:r>
              <w:rPr>
                <w:rFonts w:ascii="Aptos" w:hAnsi="Aptos"/>
                <w:b w:val="0"/>
                <w:sz w:val="16"/>
              </w:rPr>
              <w:t>€20.74K</w:t>
            </w:r>
          </w:p>
        </w:tc>
        <w:tc>
          <w:tcPr>
            <w:tcW w:type="dxa" w:w="2045"/>
            <w:vAlign w:val="center"/>
          </w:tcPr>
          <w:p>
            <w:r/>
            <w:r>
              <w:rPr>
                <w:rFonts w:ascii="Aptos" w:hAnsi="Aptos"/>
                <w:b w:val="0"/>
                <w:sz w:val="16"/>
              </w:rPr>
              <w:t>20.40%</w:t>
            </w:r>
          </w:p>
        </w:tc>
        <w:tc>
          <w:tcPr>
            <w:tcW w:type="dxa" w:w="2045"/>
            <w:vAlign w:val="center"/>
          </w:tcPr>
          <w:p>
            <w:r/>
            <w:r>
              <w:rPr>
                <w:rFonts w:ascii="Aptos" w:hAnsi="Aptos"/>
                <w:b w:val="0"/>
                <w:sz w:val="16"/>
              </w:rPr>
              <w:t>2.53%</w:t>
            </w:r>
          </w:p>
        </w:tc>
        <w:tc>
          <w:tcPr>
            <w:tcW w:type="dxa" w:w="2045"/>
            <w:vAlign w:val="center"/>
          </w:tcPr>
          <w:p>
            <w:r/>
            <w:r>
              <w:rPr>
                <w:rFonts w:ascii="Aptos" w:hAnsi="Aptos"/>
                <w:b w:val="0"/>
                <w:sz w:val="16"/>
              </w:rPr>
              <w:t>Very weak economics</w:t>
            </w:r>
          </w:p>
        </w:tc>
      </w:tr>
      <w:tr>
        <w:tc>
          <w:tcPr>
            <w:tcW w:type="dxa" w:w="2045"/>
            <w:vAlign w:val="center"/>
          </w:tcPr>
          <w:p>
            <w:r/>
            <w:r>
              <w:rPr>
                <w:rFonts w:ascii="Aptos" w:hAnsi="Aptos"/>
                <w:b w:val="0"/>
                <w:sz w:val="16"/>
              </w:rPr>
              <w:t>Clearance 35%</w:t>
            </w:r>
          </w:p>
        </w:tc>
        <w:tc>
          <w:tcPr>
            <w:tcW w:type="dxa" w:w="2045"/>
            <w:vAlign w:val="center"/>
          </w:tcPr>
          <w:p>
            <w:r/>
            <w:r>
              <w:rPr>
                <w:rFonts w:ascii="Aptos" w:hAnsi="Aptos"/>
                <w:b w:val="0"/>
                <w:sz w:val="16"/>
              </w:rPr>
              <w:t>€14.99K</w:t>
            </w:r>
          </w:p>
        </w:tc>
        <w:tc>
          <w:tcPr>
            <w:tcW w:type="dxa" w:w="2045"/>
            <w:vAlign w:val="center"/>
          </w:tcPr>
          <w:p>
            <w:r/>
            <w:r>
              <w:rPr>
                <w:rFonts w:ascii="Aptos" w:hAnsi="Aptos"/>
                <w:b w:val="0"/>
                <w:sz w:val="16"/>
              </w:rPr>
              <w:t>24.63%</w:t>
            </w:r>
          </w:p>
        </w:tc>
        <w:tc>
          <w:tcPr>
            <w:tcW w:type="dxa" w:w="2045"/>
            <w:vAlign w:val="center"/>
          </w:tcPr>
          <w:p>
            <w:r/>
            <w:r>
              <w:rPr>
                <w:rFonts w:ascii="Aptos" w:hAnsi="Aptos"/>
                <w:b w:val="0"/>
                <w:sz w:val="16"/>
              </w:rPr>
              <w:t>-11.26%</w:t>
            </w:r>
          </w:p>
        </w:tc>
        <w:tc>
          <w:tcPr>
            <w:tcW w:type="dxa" w:w="2045"/>
            <w:vAlign w:val="center"/>
          </w:tcPr>
          <w:p>
            <w:r/>
            <w:r>
              <w:rPr>
                <w:rFonts w:ascii="Aptos" w:hAnsi="Aptos"/>
                <w:b w:val="0"/>
                <w:sz w:val="16"/>
              </w:rPr>
              <w:t>Loss-making campaign</w:t>
            </w:r>
          </w:p>
        </w:tc>
      </w:tr>
      <w:tr>
        <w:tc>
          <w:tcPr>
            <w:tcW w:type="dxa" w:w="2045"/>
            <w:vAlign w:val="center"/>
          </w:tcPr>
          <w:p>
            <w:r/>
            <w:r>
              <w:rPr>
                <w:rFonts w:ascii="Aptos" w:hAnsi="Aptos"/>
                <w:b w:val="0"/>
                <w:sz w:val="16"/>
              </w:rPr>
              <w:t>Holiday Event 20%</w:t>
            </w:r>
          </w:p>
        </w:tc>
        <w:tc>
          <w:tcPr>
            <w:tcW w:type="dxa" w:w="2045"/>
            <w:vAlign w:val="center"/>
          </w:tcPr>
          <w:p>
            <w:r/>
            <w:r>
              <w:rPr>
                <w:rFonts w:ascii="Aptos" w:hAnsi="Aptos"/>
                <w:b w:val="0"/>
                <w:sz w:val="16"/>
              </w:rPr>
              <w:t>€21.93K</w:t>
            </w:r>
          </w:p>
        </w:tc>
        <w:tc>
          <w:tcPr>
            <w:tcW w:type="dxa" w:w="2045"/>
            <w:vAlign w:val="center"/>
          </w:tcPr>
          <w:p>
            <w:r/>
            <w:r>
              <w:rPr>
                <w:rFonts w:ascii="Aptos" w:hAnsi="Aptos"/>
                <w:b w:val="0"/>
                <w:sz w:val="16"/>
              </w:rPr>
              <w:t>9.44%</w:t>
            </w:r>
          </w:p>
        </w:tc>
        <w:tc>
          <w:tcPr>
            <w:tcW w:type="dxa" w:w="2045"/>
            <w:vAlign w:val="center"/>
          </w:tcPr>
          <w:p>
            <w:r/>
            <w:r>
              <w:rPr>
                <w:rFonts w:ascii="Aptos" w:hAnsi="Aptos"/>
                <w:b w:val="0"/>
                <w:sz w:val="16"/>
              </w:rPr>
              <w:t>8.50%</w:t>
            </w:r>
          </w:p>
        </w:tc>
        <w:tc>
          <w:tcPr>
            <w:tcW w:type="dxa" w:w="2045"/>
            <w:vAlign w:val="center"/>
          </w:tcPr>
          <w:p>
            <w:r/>
            <w:r>
              <w:rPr>
                <w:rFonts w:ascii="Aptos" w:hAnsi="Aptos"/>
                <w:b w:val="0"/>
                <w:sz w:val="16"/>
              </w:rPr>
              <w:t>Weak margin</w:t>
            </w:r>
          </w:p>
        </w:tc>
      </w:tr>
    </w:tbl>
    <w:p>
      <w:pPr>
        <w:pStyle w:val="ListBullet"/>
        <w:spacing w:after="40"/>
      </w:pPr>
      <w:r>
        <w:t>Bundle &amp; Save generated 28.84% CM overall, with particularly strong category performance in Beauty (49.75%) and Fashion (41.87%).</w:t>
      </w:r>
    </w:p>
    <w:p>
      <w:pPr>
        <w:pStyle w:val="ListBullet"/>
        <w:spacing w:after="40"/>
      </w:pPr>
      <w:r>
        <w:t>Loyalty 10% also generated a 27.68% CM, while Free Shipping generated 22.82%.</w:t>
      </w:r>
    </w:p>
    <w:p>
      <w:pPr>
        <w:pStyle w:val="ListBullet"/>
        <w:spacing w:after="40"/>
      </w:pPr>
      <w:r>
        <w:t>Weekend Flash 25% reduced contribution to 2.53% and carried a 20.40% return rate.</w:t>
      </w:r>
    </w:p>
    <w:p>
      <w:pPr>
        <w:pStyle w:val="ListBullet"/>
        <w:spacing w:after="40"/>
      </w:pPr>
      <w:r>
        <w:t>Clearance 35% was loss-making at -11.26% CM and carried the highest campaign-level return rate shown at 24.63%.</w:t>
      </w:r>
    </w:p>
    <w:p>
      <w:pPr>
        <w:pStyle w:val="ListBullet"/>
        <w:spacing w:after="40"/>
      </w:pPr>
      <w:r>
        <w:t>The data demonstrates an association between deeper discounts and weaker contribution. It does not, by itself, prove that the discount caused the lower demand or return behaviour; incremental-demand testing is required.</w:t>
      </w:r>
    </w:p>
    <w:p>
      <w:pPr>
        <w:pStyle w:val="Heading2"/>
      </w:pPr>
      <w:r>
        <w:t>2.7 Fulfilment performance varies materially by location/model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7"/>
              </w:rPr>
              <w:t>Fulfilment location/model</w:t>
            </w:r>
          </w:p>
        </w:tc>
        <w:tc>
          <w:tcPr>
            <w:tcW w:type="dxa" w:w="2045"/>
            <w:vAlign w:val="center"/>
            <w:shd w:fill="D9EAF7"/>
          </w:tcPr>
          <w:p>
            <w:r/>
            <w:r>
              <w:rPr>
                <w:rFonts w:ascii="Aptos" w:hAnsi="Aptos"/>
                <w:b/>
                <w:sz w:val="17"/>
              </w:rPr>
              <w:t>Sales</w:t>
            </w:r>
          </w:p>
        </w:tc>
        <w:tc>
          <w:tcPr>
            <w:tcW w:type="dxa" w:w="2045"/>
            <w:vAlign w:val="center"/>
            <w:shd w:fill="D9EAF7"/>
          </w:tcPr>
          <w:p>
            <w:r/>
            <w:r>
              <w:rPr>
                <w:rFonts w:ascii="Aptos" w:hAnsi="Aptos"/>
                <w:b/>
                <w:sz w:val="17"/>
              </w:rPr>
              <w:t>Stockout rate</w:t>
            </w:r>
          </w:p>
        </w:tc>
        <w:tc>
          <w:tcPr>
            <w:tcW w:type="dxa" w:w="2045"/>
            <w:vAlign w:val="center"/>
            <w:shd w:fill="D9EAF7"/>
          </w:tcPr>
          <w:p>
            <w:r/>
            <w:r>
              <w:rPr>
                <w:rFonts w:ascii="Aptos" w:hAnsi="Aptos"/>
                <w:b/>
                <w:sz w:val="17"/>
              </w:rPr>
              <w:t>Contribution</w:t>
            </w:r>
          </w:p>
        </w:tc>
        <w:tc>
          <w:tcPr>
            <w:tcW w:type="dxa" w:w="2045"/>
            <w:vAlign w:val="center"/>
            <w:shd w:fill="D9EAF7"/>
          </w:tcPr>
          <w:p>
            <w:r/>
            <w:r>
              <w:rPr>
                <w:rFonts w:ascii="Aptos" w:hAnsi="Aptos"/>
                <w:b/>
                <w:sz w:val="17"/>
              </w:rPr>
              <w:t>CM %</w:t>
            </w:r>
          </w:p>
        </w:tc>
      </w:tr>
      <w:tr>
        <w:tc>
          <w:tcPr>
            <w:tcW w:type="dxa" w:w="2045"/>
            <w:vAlign w:val="center"/>
          </w:tcPr>
          <w:p>
            <w:r/>
            <w:r>
              <w:rPr>
                <w:rFonts w:ascii="Aptos" w:hAnsi="Aptos"/>
                <w:b w:val="0"/>
                <w:sz w:val="16"/>
              </w:rPr>
              <w:t>Berlin FC</w:t>
            </w:r>
          </w:p>
        </w:tc>
        <w:tc>
          <w:tcPr>
            <w:tcW w:type="dxa" w:w="2045"/>
            <w:vAlign w:val="center"/>
          </w:tcPr>
          <w:p>
            <w:r/>
            <w:r>
              <w:rPr>
                <w:rFonts w:ascii="Aptos" w:hAnsi="Aptos"/>
                <w:b w:val="0"/>
                <w:sz w:val="16"/>
              </w:rPr>
              <w:t>€115.96K</w:t>
            </w:r>
          </w:p>
        </w:tc>
        <w:tc>
          <w:tcPr>
            <w:tcW w:type="dxa" w:w="2045"/>
            <w:vAlign w:val="center"/>
          </w:tcPr>
          <w:p>
            <w:r/>
            <w:r>
              <w:rPr>
                <w:rFonts w:ascii="Aptos" w:hAnsi="Aptos"/>
                <w:b w:val="0"/>
                <w:sz w:val="16"/>
              </w:rPr>
              <w:t>5%</w:t>
            </w:r>
          </w:p>
        </w:tc>
        <w:tc>
          <w:tcPr>
            <w:tcW w:type="dxa" w:w="2045"/>
            <w:vAlign w:val="center"/>
          </w:tcPr>
          <w:p>
            <w:r/>
            <w:r>
              <w:rPr>
                <w:rFonts w:ascii="Aptos" w:hAnsi="Aptos"/>
                <w:b w:val="0"/>
                <w:sz w:val="16"/>
              </w:rPr>
              <w:t>€31.58K</w:t>
            </w:r>
          </w:p>
        </w:tc>
        <w:tc>
          <w:tcPr>
            <w:tcW w:type="dxa" w:w="2045"/>
            <w:vAlign w:val="center"/>
          </w:tcPr>
          <w:p>
            <w:r/>
            <w:r>
              <w:rPr>
                <w:rFonts w:ascii="Aptos" w:hAnsi="Aptos"/>
                <w:b w:val="0"/>
                <w:sz w:val="16"/>
              </w:rPr>
              <w:t>27.23%</w:t>
            </w:r>
          </w:p>
        </w:tc>
      </w:tr>
      <w:tr>
        <w:tc>
          <w:tcPr>
            <w:tcW w:type="dxa" w:w="2045"/>
            <w:vAlign w:val="center"/>
          </w:tcPr>
          <w:p>
            <w:r/>
            <w:r>
              <w:rPr>
                <w:rFonts w:ascii="Aptos" w:hAnsi="Aptos"/>
                <w:b w:val="0"/>
                <w:sz w:val="16"/>
              </w:rPr>
              <w:t>Amsterdam Hub</w:t>
            </w:r>
          </w:p>
        </w:tc>
        <w:tc>
          <w:tcPr>
            <w:tcW w:type="dxa" w:w="2045"/>
            <w:vAlign w:val="center"/>
          </w:tcPr>
          <w:p>
            <w:r/>
            <w:r>
              <w:rPr>
                <w:rFonts w:ascii="Aptos" w:hAnsi="Aptos"/>
                <w:b w:val="0"/>
                <w:sz w:val="16"/>
              </w:rPr>
              <w:t>€60.72K</w:t>
            </w:r>
          </w:p>
        </w:tc>
        <w:tc>
          <w:tcPr>
            <w:tcW w:type="dxa" w:w="2045"/>
            <w:vAlign w:val="center"/>
          </w:tcPr>
          <w:p>
            <w:r/>
            <w:r>
              <w:rPr>
                <w:rFonts w:ascii="Aptos" w:hAnsi="Aptos"/>
                <w:b w:val="0"/>
                <w:sz w:val="16"/>
              </w:rPr>
              <w:t>5%</w:t>
            </w:r>
          </w:p>
        </w:tc>
        <w:tc>
          <w:tcPr>
            <w:tcW w:type="dxa" w:w="2045"/>
            <w:vAlign w:val="center"/>
          </w:tcPr>
          <w:p>
            <w:r/>
            <w:r>
              <w:rPr>
                <w:rFonts w:ascii="Aptos" w:hAnsi="Aptos"/>
                <w:b w:val="0"/>
                <w:sz w:val="16"/>
              </w:rPr>
              <w:t>€15.32K</w:t>
            </w:r>
          </w:p>
        </w:tc>
        <w:tc>
          <w:tcPr>
            <w:tcW w:type="dxa" w:w="2045"/>
            <w:vAlign w:val="center"/>
          </w:tcPr>
          <w:p>
            <w:r/>
            <w:r>
              <w:rPr>
                <w:rFonts w:ascii="Aptos" w:hAnsi="Aptos"/>
                <w:b w:val="0"/>
                <w:sz w:val="16"/>
              </w:rPr>
              <w:t>25.23%</w:t>
            </w:r>
          </w:p>
        </w:tc>
      </w:tr>
      <w:tr>
        <w:tc>
          <w:tcPr>
            <w:tcW w:type="dxa" w:w="2045"/>
            <w:vAlign w:val="center"/>
          </w:tcPr>
          <w:p>
            <w:r/>
            <w:r>
              <w:rPr>
                <w:rFonts w:ascii="Aptos" w:hAnsi="Aptos"/>
                <w:b w:val="0"/>
                <w:sz w:val="16"/>
              </w:rPr>
              <w:t>Madrid Hub</w:t>
            </w:r>
          </w:p>
        </w:tc>
        <w:tc>
          <w:tcPr>
            <w:tcW w:type="dxa" w:w="2045"/>
            <w:vAlign w:val="center"/>
          </w:tcPr>
          <w:p>
            <w:r/>
            <w:r>
              <w:rPr>
                <w:rFonts w:ascii="Aptos" w:hAnsi="Aptos"/>
                <w:b w:val="0"/>
                <w:sz w:val="16"/>
              </w:rPr>
              <w:t>€41.58K</w:t>
            </w:r>
          </w:p>
        </w:tc>
        <w:tc>
          <w:tcPr>
            <w:tcW w:type="dxa" w:w="2045"/>
            <w:vAlign w:val="center"/>
          </w:tcPr>
          <w:p>
            <w:r/>
            <w:r>
              <w:rPr>
                <w:rFonts w:ascii="Aptos" w:hAnsi="Aptos"/>
                <w:b w:val="0"/>
                <w:sz w:val="16"/>
              </w:rPr>
              <w:t>3%</w:t>
            </w:r>
          </w:p>
        </w:tc>
        <w:tc>
          <w:tcPr>
            <w:tcW w:type="dxa" w:w="2045"/>
            <w:vAlign w:val="center"/>
          </w:tcPr>
          <w:p>
            <w:r/>
            <w:r>
              <w:rPr>
                <w:rFonts w:ascii="Aptos" w:hAnsi="Aptos"/>
                <w:b w:val="0"/>
                <w:sz w:val="16"/>
              </w:rPr>
              <w:t>€9.74K</w:t>
            </w:r>
          </w:p>
        </w:tc>
        <w:tc>
          <w:tcPr>
            <w:tcW w:type="dxa" w:w="2045"/>
            <w:vAlign w:val="center"/>
          </w:tcPr>
          <w:p>
            <w:r/>
            <w:r>
              <w:rPr>
                <w:rFonts w:ascii="Aptos" w:hAnsi="Aptos"/>
                <w:b w:val="0"/>
                <w:sz w:val="16"/>
              </w:rPr>
              <w:t>23.42%</w:t>
            </w:r>
          </w:p>
        </w:tc>
      </w:tr>
      <w:tr>
        <w:tc>
          <w:tcPr>
            <w:tcW w:type="dxa" w:w="2045"/>
            <w:vAlign w:val="center"/>
          </w:tcPr>
          <w:p>
            <w:r/>
            <w:r>
              <w:rPr>
                <w:rFonts w:ascii="Aptos" w:hAnsi="Aptos"/>
                <w:b w:val="0"/>
                <w:sz w:val="16"/>
              </w:rPr>
              <w:t>Warsaw FC</w:t>
            </w:r>
          </w:p>
        </w:tc>
        <w:tc>
          <w:tcPr>
            <w:tcW w:type="dxa" w:w="2045"/>
            <w:vAlign w:val="center"/>
          </w:tcPr>
          <w:p>
            <w:r/>
            <w:r>
              <w:rPr>
                <w:rFonts w:ascii="Aptos" w:hAnsi="Aptos"/>
                <w:b w:val="0"/>
                <w:sz w:val="16"/>
              </w:rPr>
              <w:t>€61.81K</w:t>
            </w:r>
          </w:p>
        </w:tc>
        <w:tc>
          <w:tcPr>
            <w:tcW w:type="dxa" w:w="2045"/>
            <w:vAlign w:val="center"/>
          </w:tcPr>
          <w:p>
            <w:r/>
            <w:r>
              <w:rPr>
                <w:rFonts w:ascii="Aptos" w:hAnsi="Aptos"/>
                <w:b w:val="0"/>
                <w:sz w:val="16"/>
              </w:rPr>
              <w:t>6%</w:t>
            </w:r>
          </w:p>
        </w:tc>
        <w:tc>
          <w:tcPr>
            <w:tcW w:type="dxa" w:w="2045"/>
            <w:vAlign w:val="center"/>
          </w:tcPr>
          <w:p>
            <w:r/>
            <w:r>
              <w:rPr>
                <w:rFonts w:ascii="Aptos" w:hAnsi="Aptos"/>
                <w:b w:val="0"/>
                <w:sz w:val="16"/>
              </w:rPr>
              <w:t>€12.10K</w:t>
            </w:r>
          </w:p>
        </w:tc>
        <w:tc>
          <w:tcPr>
            <w:tcW w:type="dxa" w:w="2045"/>
            <w:vAlign w:val="center"/>
          </w:tcPr>
          <w:p>
            <w:r/>
            <w:r>
              <w:rPr>
                <w:rFonts w:ascii="Aptos" w:hAnsi="Aptos"/>
                <w:b w:val="0"/>
                <w:sz w:val="16"/>
              </w:rPr>
              <w:t>19.58%</w:t>
            </w:r>
          </w:p>
        </w:tc>
      </w:tr>
      <w:tr>
        <w:tc>
          <w:tcPr>
            <w:tcW w:type="dxa" w:w="2045"/>
            <w:vAlign w:val="center"/>
          </w:tcPr>
          <w:p>
            <w:r/>
            <w:r>
              <w:rPr>
                <w:rFonts w:ascii="Aptos" w:hAnsi="Aptos"/>
                <w:b w:val="0"/>
                <w:sz w:val="16"/>
              </w:rPr>
              <w:t>Riga FC</w:t>
            </w:r>
          </w:p>
        </w:tc>
        <w:tc>
          <w:tcPr>
            <w:tcW w:type="dxa" w:w="2045"/>
            <w:vAlign w:val="center"/>
          </w:tcPr>
          <w:p>
            <w:r/>
            <w:r>
              <w:rPr>
                <w:rFonts w:ascii="Aptos" w:hAnsi="Aptos"/>
                <w:b w:val="0"/>
                <w:sz w:val="16"/>
              </w:rPr>
              <w:t>€53.41K</w:t>
            </w:r>
          </w:p>
        </w:tc>
        <w:tc>
          <w:tcPr>
            <w:tcW w:type="dxa" w:w="2045"/>
            <w:vAlign w:val="center"/>
          </w:tcPr>
          <w:p>
            <w:r/>
            <w:r>
              <w:rPr>
                <w:rFonts w:ascii="Aptos" w:hAnsi="Aptos"/>
                <w:b w:val="0"/>
                <w:sz w:val="16"/>
              </w:rPr>
              <w:t>6%</w:t>
            </w:r>
          </w:p>
        </w:tc>
        <w:tc>
          <w:tcPr>
            <w:tcW w:type="dxa" w:w="2045"/>
            <w:vAlign w:val="center"/>
          </w:tcPr>
          <w:p>
            <w:r/>
            <w:r>
              <w:rPr>
                <w:rFonts w:ascii="Aptos" w:hAnsi="Aptos"/>
                <w:b w:val="0"/>
                <w:sz w:val="16"/>
              </w:rPr>
              <w:t>€7.46K</w:t>
            </w:r>
          </w:p>
        </w:tc>
        <w:tc>
          <w:tcPr>
            <w:tcW w:type="dxa" w:w="2045"/>
            <w:vAlign w:val="center"/>
          </w:tcPr>
          <w:p>
            <w:r/>
            <w:r>
              <w:rPr>
                <w:rFonts w:ascii="Aptos" w:hAnsi="Aptos"/>
                <w:b w:val="0"/>
                <w:sz w:val="16"/>
              </w:rPr>
              <w:t>13.97%</w:t>
            </w:r>
          </w:p>
        </w:tc>
      </w:tr>
      <w:tr>
        <w:tc>
          <w:tcPr>
            <w:tcW w:type="dxa" w:w="2045"/>
            <w:vAlign w:val="center"/>
          </w:tcPr>
          <w:p>
            <w:r/>
            <w:r>
              <w:rPr>
                <w:rFonts w:ascii="Aptos" w:hAnsi="Aptos"/>
                <w:b w:val="0"/>
                <w:sz w:val="16"/>
              </w:rPr>
              <w:t>Partner fulfilled</w:t>
            </w:r>
          </w:p>
        </w:tc>
        <w:tc>
          <w:tcPr>
            <w:tcW w:type="dxa" w:w="2045"/>
            <w:vAlign w:val="center"/>
          </w:tcPr>
          <w:p>
            <w:r/>
            <w:r>
              <w:rPr>
                <w:rFonts w:ascii="Aptos" w:hAnsi="Aptos"/>
                <w:b w:val="0"/>
                <w:sz w:val="16"/>
              </w:rPr>
              <w:t>€70.63K</w:t>
            </w:r>
          </w:p>
        </w:tc>
        <w:tc>
          <w:tcPr>
            <w:tcW w:type="dxa" w:w="2045"/>
            <w:vAlign w:val="center"/>
          </w:tcPr>
          <w:p>
            <w:r/>
            <w:r>
              <w:rPr>
                <w:rFonts w:ascii="Aptos" w:hAnsi="Aptos"/>
                <w:b w:val="0"/>
                <w:sz w:val="16"/>
              </w:rPr>
              <w:t>4%</w:t>
            </w:r>
          </w:p>
        </w:tc>
        <w:tc>
          <w:tcPr>
            <w:tcW w:type="dxa" w:w="2045"/>
            <w:vAlign w:val="center"/>
          </w:tcPr>
          <w:p>
            <w:r/>
            <w:r>
              <w:rPr>
                <w:rFonts w:ascii="Aptos" w:hAnsi="Aptos"/>
                <w:b w:val="0"/>
                <w:sz w:val="16"/>
              </w:rPr>
              <w:t>€9.42K</w:t>
            </w:r>
          </w:p>
        </w:tc>
        <w:tc>
          <w:tcPr>
            <w:tcW w:type="dxa" w:w="2045"/>
            <w:vAlign w:val="center"/>
          </w:tcPr>
          <w:p>
            <w:r/>
            <w:r>
              <w:rPr>
                <w:rFonts w:ascii="Aptos" w:hAnsi="Aptos"/>
                <w:b w:val="0"/>
                <w:sz w:val="16"/>
              </w:rPr>
              <w:t>13.33%</w:t>
            </w:r>
          </w:p>
        </w:tc>
      </w:tr>
    </w:tbl>
    <w:p>
      <w:pPr>
        <w:pStyle w:val="ListBullet"/>
        <w:spacing w:after="40"/>
      </w:pPr>
      <w:r>
        <w:t>Berlin combines the largest sales base with the highest absolute contribution and a 27.23% CM.</w:t>
      </w:r>
    </w:p>
    <w:p>
      <w:pPr>
        <w:pStyle w:val="ListBullet"/>
        <w:spacing w:after="40"/>
      </w:pPr>
      <w:r>
        <w:t>Partner fulfilled has the weakest CM at 13.33%, followed by Riga FC at 13.97%.</w:t>
      </w:r>
    </w:p>
    <w:p>
      <w:pPr>
        <w:pStyle w:val="ListBullet"/>
        <w:spacing w:after="40"/>
      </w:pPr>
      <w:r>
        <w:t>Electronics is weak across several fulfilment locations: for example, it is negative at Riga (-1.29%) and Partner fulfilled (-2.43%).</w:t>
      </w:r>
    </w:p>
    <w:p>
      <w:pPr>
        <w:pStyle w:val="ListBullet"/>
        <w:spacing w:after="40"/>
      </w:pPr>
      <w:r>
        <w:t>This suggests a potential allocation opportunity, but a formal reallocation decision should consider service levels, capacity, geography and delivery-time constraints.</w:t>
      </w:r>
    </w:p>
    <w:p>
      <w:pPr>
        <w:pStyle w:val="Heading2"/>
      </w:pPr>
      <w:r>
        <w:t>2.8 Inventory availability is creating measurable sales opportunity loss</w:t>
      </w:r>
    </w:p>
    <w:p>
      <w:pPr>
        <w:pStyle w:val="ListBullet"/>
        <w:spacing w:after="40"/>
      </w:pPr>
      <w:r>
        <w:t>2025 recorded 367 stockout units and a 5% overall stockout rate.</w:t>
      </w:r>
    </w:p>
    <w:p>
      <w:pPr>
        <w:pStyle w:val="ListBullet"/>
        <w:spacing w:after="40"/>
      </w:pPr>
      <w:r>
        <w:t>Stockout units increased 180.2% versus the prior year, while stockout rate increased 63.4%.</w:t>
      </w:r>
    </w:p>
    <w:p>
      <w:pPr>
        <w:pStyle w:val="ListBullet"/>
        <w:spacing w:after="40"/>
      </w:pPr>
      <w:r>
        <w:t>Electronics recorded 146 stockout units, approximately 40% of the total.</w:t>
      </w:r>
    </w:p>
    <w:p>
      <w:pPr>
        <w:pStyle w:val="ListBullet"/>
        <w:spacing w:after="40"/>
      </w:pPr>
      <w:r>
        <w:t>The product-level analysis identifies substantial estimated lost-sales values on high-stockout products, including Tech Audio Pro (€1.61K), Tech Smart Home Pro (€1.48K), Tech Audio Plus (€1.32K), Tech Smart Home Elite (€1.20K) and Tech Wearables Elite (€1.04K).</w:t>
      </w:r>
    </w:p>
    <w:p>
      <w:pPr>
        <w:pStyle w:val="ListBullet"/>
        <w:spacing w:after="40"/>
      </w:pPr>
      <w:r>
        <w:t>Lost Sales Value is an estimate of the discounted value of unfulfilled quantity, not confirmed realised revenue loss.</w:t>
      </w:r>
    </w:p>
    <w:p>
      <w:pPr>
        <w:pStyle w:val="ListBullet"/>
        <w:spacing w:after="40"/>
      </w:pPr>
      <w:r>
        <w:t>Inventory decisions should therefore consider both demand and contribution economics: replenishing a high-demand but loss-making SKU does not automatically create economic value.</w:t>
      </w:r>
    </w:p>
    <w:p>
      <w:pPr>
        <w:pStyle w:val="Heading2"/>
      </w:pPr>
      <w:r>
        <w:t>2.9 Customer profitability shows materially different economics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Aptos" w:hAnsi="Aptos"/>
                <w:b/>
                <w:sz w:val="17"/>
              </w:rPr>
              <w:t>Segment</w:t>
            </w:r>
          </w:p>
        </w:tc>
        <w:tc>
          <w:tcPr>
            <w:tcW w:type="dxa" w:w="1461"/>
            <w:vAlign w:val="center"/>
            <w:shd w:fill="D9EAF7"/>
          </w:tcPr>
          <w:p>
            <w:r/>
            <w:r>
              <w:rPr>
                <w:rFonts w:ascii="Aptos" w:hAnsi="Aptos"/>
                <w:b/>
                <w:sz w:val="17"/>
              </w:rPr>
              <w:t>Sales</w:t>
            </w:r>
          </w:p>
        </w:tc>
        <w:tc>
          <w:tcPr>
            <w:tcW w:type="dxa" w:w="1461"/>
            <w:vAlign w:val="center"/>
            <w:shd w:fill="D9EAF7"/>
          </w:tcPr>
          <w:p>
            <w:r/>
            <w:r>
              <w:rPr>
                <w:rFonts w:ascii="Aptos" w:hAnsi="Aptos"/>
                <w:b/>
                <w:sz w:val="17"/>
              </w:rPr>
              <w:t>Contribution</w:t>
            </w:r>
          </w:p>
        </w:tc>
        <w:tc>
          <w:tcPr>
            <w:tcW w:type="dxa" w:w="1461"/>
            <w:vAlign w:val="center"/>
            <w:shd w:fill="D9EAF7"/>
          </w:tcPr>
          <w:p>
            <w:r/>
            <w:r>
              <w:rPr>
                <w:rFonts w:ascii="Aptos" w:hAnsi="Aptos"/>
                <w:b/>
                <w:sz w:val="17"/>
              </w:rPr>
              <w:t>CM %</w:t>
            </w:r>
          </w:p>
        </w:tc>
        <w:tc>
          <w:tcPr>
            <w:tcW w:type="dxa" w:w="1461"/>
            <w:vAlign w:val="center"/>
            <w:shd w:fill="D9EAF7"/>
          </w:tcPr>
          <w:p>
            <w:r/>
            <w:r>
              <w:rPr>
                <w:rFonts w:ascii="Aptos" w:hAnsi="Aptos"/>
                <w:b/>
                <w:sz w:val="17"/>
              </w:rPr>
              <w:t>Return loss</w:t>
            </w:r>
          </w:p>
        </w:tc>
        <w:tc>
          <w:tcPr>
            <w:tcW w:type="dxa" w:w="1461"/>
            <w:vAlign w:val="center"/>
            <w:shd w:fill="D9EAF7"/>
          </w:tcPr>
          <w:p>
            <w:r/>
            <w:r>
              <w:rPr>
                <w:rFonts w:ascii="Aptos" w:hAnsi="Aptos"/>
                <w:b/>
                <w:sz w:val="17"/>
              </w:rPr>
              <w:t>Discount</w:t>
            </w:r>
          </w:p>
        </w:tc>
        <w:tc>
          <w:tcPr>
            <w:tcW w:type="dxa" w:w="1461"/>
            <w:vAlign w:val="center"/>
            <w:shd w:fill="D9EAF7"/>
          </w:tcPr>
          <w:p>
            <w:r/>
            <w:r>
              <w:rPr>
                <w:rFonts w:ascii="Aptos" w:hAnsi="Aptos"/>
                <w:b/>
                <w:sz w:val="17"/>
              </w:rPr>
              <w:t>AOV</w:t>
            </w:r>
          </w:p>
        </w:tc>
      </w:tr>
      <w:tr>
        <w:tc>
          <w:tcPr>
            <w:tcW w:type="dxa" w:w="1461"/>
            <w:vAlign w:val="center"/>
          </w:tcPr>
          <w:p>
            <w:r/>
            <w:r>
              <w:rPr>
                <w:rFonts w:ascii="Aptos" w:hAnsi="Aptos"/>
                <w:b w:val="0"/>
                <w:sz w:val="16"/>
              </w:rPr>
              <w:t>Loyal</w:t>
            </w:r>
          </w:p>
        </w:tc>
        <w:tc>
          <w:tcPr>
            <w:tcW w:type="dxa" w:w="1461"/>
            <w:vAlign w:val="center"/>
          </w:tcPr>
          <w:p>
            <w:r/>
            <w:r>
              <w:rPr>
                <w:rFonts w:ascii="Aptos" w:hAnsi="Aptos"/>
                <w:b w:val="0"/>
                <w:sz w:val="16"/>
              </w:rPr>
              <w:t>€108.86K</w:t>
            </w:r>
          </w:p>
        </w:tc>
        <w:tc>
          <w:tcPr>
            <w:tcW w:type="dxa" w:w="1461"/>
            <w:vAlign w:val="center"/>
          </w:tcPr>
          <w:p>
            <w:r/>
            <w:r>
              <w:rPr>
                <w:rFonts w:ascii="Aptos" w:hAnsi="Aptos"/>
                <w:b w:val="0"/>
                <w:sz w:val="16"/>
              </w:rPr>
              <w:t>€24.18K</w:t>
            </w:r>
          </w:p>
        </w:tc>
        <w:tc>
          <w:tcPr>
            <w:tcW w:type="dxa" w:w="1461"/>
            <w:vAlign w:val="center"/>
          </w:tcPr>
          <w:p>
            <w:r/>
            <w:r>
              <w:rPr>
                <w:rFonts w:ascii="Aptos" w:hAnsi="Aptos"/>
                <w:b w:val="0"/>
                <w:sz w:val="16"/>
              </w:rPr>
              <w:t>22.21%</w:t>
            </w:r>
          </w:p>
        </w:tc>
        <w:tc>
          <w:tcPr>
            <w:tcW w:type="dxa" w:w="1461"/>
            <w:vAlign w:val="center"/>
          </w:tcPr>
          <w:p>
            <w:r/>
            <w:r>
              <w:rPr>
                <w:rFonts w:ascii="Aptos" w:hAnsi="Aptos"/>
                <w:b w:val="0"/>
                <w:sz w:val="16"/>
              </w:rPr>
              <w:t>€18.24K</w:t>
            </w:r>
          </w:p>
        </w:tc>
        <w:tc>
          <w:tcPr>
            <w:tcW w:type="dxa" w:w="1461"/>
            <w:vAlign w:val="center"/>
          </w:tcPr>
          <w:p>
            <w:r/>
            <w:r>
              <w:rPr>
                <w:rFonts w:ascii="Aptos" w:hAnsi="Aptos"/>
                <w:b w:val="0"/>
                <w:sz w:val="16"/>
              </w:rPr>
              <w:t>8.62%</w:t>
            </w:r>
          </w:p>
        </w:tc>
        <w:tc>
          <w:tcPr>
            <w:tcW w:type="dxa" w:w="1461"/>
            <w:vAlign w:val="center"/>
          </w:tcPr>
          <w:p>
            <w:r/>
            <w:r>
              <w:rPr>
                <w:rFonts w:ascii="Aptos" w:hAnsi="Aptos"/>
                <w:b w:val="0"/>
                <w:sz w:val="16"/>
              </w:rPr>
              <w:t>€111.65</w:t>
            </w:r>
          </w:p>
        </w:tc>
      </w:tr>
      <w:tr>
        <w:tc>
          <w:tcPr>
            <w:tcW w:type="dxa" w:w="1461"/>
            <w:vAlign w:val="center"/>
          </w:tcPr>
          <w:p>
            <w:r/>
            <w:r>
              <w:rPr>
                <w:rFonts w:ascii="Aptos" w:hAnsi="Aptos"/>
                <w:b w:val="0"/>
                <w:sz w:val="16"/>
              </w:rPr>
              <w:t>Growth</w:t>
            </w:r>
          </w:p>
        </w:tc>
        <w:tc>
          <w:tcPr>
            <w:tcW w:type="dxa" w:w="1461"/>
            <w:vAlign w:val="center"/>
          </w:tcPr>
          <w:p>
            <w:r/>
            <w:r>
              <w:rPr>
                <w:rFonts w:ascii="Aptos" w:hAnsi="Aptos"/>
                <w:b w:val="0"/>
                <w:sz w:val="16"/>
              </w:rPr>
              <w:t>€105.65K</w:t>
            </w:r>
          </w:p>
        </w:tc>
        <w:tc>
          <w:tcPr>
            <w:tcW w:type="dxa" w:w="1461"/>
            <w:vAlign w:val="center"/>
          </w:tcPr>
          <w:p>
            <w:r/>
            <w:r>
              <w:rPr>
                <w:rFonts w:ascii="Aptos" w:hAnsi="Aptos"/>
                <w:b w:val="0"/>
                <w:sz w:val="16"/>
              </w:rPr>
              <w:t>€23.95K</w:t>
            </w:r>
          </w:p>
        </w:tc>
        <w:tc>
          <w:tcPr>
            <w:tcW w:type="dxa" w:w="1461"/>
            <w:vAlign w:val="center"/>
          </w:tcPr>
          <w:p>
            <w:r/>
            <w:r>
              <w:rPr>
                <w:rFonts w:ascii="Aptos" w:hAnsi="Aptos"/>
                <w:b w:val="0"/>
                <w:sz w:val="16"/>
              </w:rPr>
              <w:t>22.67%</w:t>
            </w:r>
          </w:p>
        </w:tc>
        <w:tc>
          <w:tcPr>
            <w:tcW w:type="dxa" w:w="1461"/>
            <w:vAlign w:val="center"/>
          </w:tcPr>
          <w:p>
            <w:r/>
            <w:r>
              <w:rPr>
                <w:rFonts w:ascii="Aptos" w:hAnsi="Aptos"/>
                <w:b w:val="0"/>
                <w:sz w:val="16"/>
              </w:rPr>
              <w:t>€14.93K</w:t>
            </w:r>
          </w:p>
        </w:tc>
        <w:tc>
          <w:tcPr>
            <w:tcW w:type="dxa" w:w="1461"/>
            <w:vAlign w:val="center"/>
          </w:tcPr>
          <w:p>
            <w:r/>
            <w:r>
              <w:rPr>
                <w:rFonts w:ascii="Aptos" w:hAnsi="Aptos"/>
                <w:b w:val="0"/>
                <w:sz w:val="16"/>
              </w:rPr>
              <w:t>8.75%</w:t>
            </w:r>
          </w:p>
        </w:tc>
        <w:tc>
          <w:tcPr>
            <w:tcW w:type="dxa" w:w="1461"/>
            <w:vAlign w:val="center"/>
          </w:tcPr>
          <w:p>
            <w:r/>
            <w:r>
              <w:rPr>
                <w:rFonts w:ascii="Aptos" w:hAnsi="Aptos"/>
                <w:b w:val="0"/>
                <w:sz w:val="16"/>
              </w:rPr>
              <w:t>€105.02</w:t>
            </w:r>
          </w:p>
        </w:tc>
      </w:tr>
      <w:tr>
        <w:tc>
          <w:tcPr>
            <w:tcW w:type="dxa" w:w="1461"/>
            <w:vAlign w:val="center"/>
          </w:tcPr>
          <w:p>
            <w:r/>
            <w:r>
              <w:rPr>
                <w:rFonts w:ascii="Aptos" w:hAnsi="Aptos"/>
                <w:b w:val="0"/>
                <w:sz w:val="16"/>
              </w:rPr>
              <w:t>VIP</w:t>
            </w:r>
          </w:p>
        </w:tc>
        <w:tc>
          <w:tcPr>
            <w:tcW w:type="dxa" w:w="1461"/>
            <w:vAlign w:val="center"/>
          </w:tcPr>
          <w:p>
            <w:r/>
            <w:r>
              <w:rPr>
                <w:rFonts w:ascii="Aptos" w:hAnsi="Aptos"/>
                <w:b w:val="0"/>
                <w:sz w:val="16"/>
              </w:rPr>
              <w:t>€66.78K</w:t>
            </w:r>
          </w:p>
        </w:tc>
        <w:tc>
          <w:tcPr>
            <w:tcW w:type="dxa" w:w="1461"/>
            <w:vAlign w:val="center"/>
          </w:tcPr>
          <w:p>
            <w:r/>
            <w:r>
              <w:rPr>
                <w:rFonts w:ascii="Aptos" w:hAnsi="Aptos"/>
                <w:b w:val="0"/>
                <w:sz w:val="16"/>
              </w:rPr>
              <w:t>€16.91K</w:t>
            </w:r>
          </w:p>
        </w:tc>
        <w:tc>
          <w:tcPr>
            <w:tcW w:type="dxa" w:w="1461"/>
            <w:vAlign w:val="center"/>
          </w:tcPr>
          <w:p>
            <w:r/>
            <w:r>
              <w:rPr>
                <w:rFonts w:ascii="Aptos" w:hAnsi="Aptos"/>
                <w:b w:val="0"/>
                <w:sz w:val="16"/>
              </w:rPr>
              <w:t>25.33%</w:t>
            </w:r>
          </w:p>
        </w:tc>
        <w:tc>
          <w:tcPr>
            <w:tcW w:type="dxa" w:w="1461"/>
            <w:vAlign w:val="center"/>
          </w:tcPr>
          <w:p>
            <w:r/>
            <w:r>
              <w:rPr>
                <w:rFonts w:ascii="Aptos" w:hAnsi="Aptos"/>
                <w:b w:val="0"/>
                <w:sz w:val="16"/>
              </w:rPr>
              <w:t>€9.12K</w:t>
            </w:r>
          </w:p>
        </w:tc>
        <w:tc>
          <w:tcPr>
            <w:tcW w:type="dxa" w:w="1461"/>
            <w:vAlign w:val="center"/>
          </w:tcPr>
          <w:p>
            <w:r/>
            <w:r>
              <w:rPr>
                <w:rFonts w:ascii="Aptos" w:hAnsi="Aptos"/>
                <w:b w:val="0"/>
                <w:sz w:val="16"/>
              </w:rPr>
              <w:t>9.48%</w:t>
            </w:r>
          </w:p>
        </w:tc>
        <w:tc>
          <w:tcPr>
            <w:tcW w:type="dxa" w:w="1461"/>
            <w:vAlign w:val="center"/>
          </w:tcPr>
          <w:p>
            <w:r/>
            <w:r>
              <w:rPr>
                <w:rFonts w:ascii="Aptos" w:hAnsi="Aptos"/>
                <w:b w:val="0"/>
                <w:sz w:val="16"/>
              </w:rPr>
              <w:t>€125.53</w:t>
            </w:r>
          </w:p>
        </w:tc>
      </w:tr>
      <w:tr>
        <w:tc>
          <w:tcPr>
            <w:tcW w:type="dxa" w:w="1461"/>
            <w:vAlign w:val="center"/>
          </w:tcPr>
          <w:p>
            <w:r/>
            <w:r>
              <w:rPr>
                <w:rFonts w:ascii="Aptos" w:hAnsi="Aptos"/>
                <w:b w:val="0"/>
                <w:sz w:val="16"/>
              </w:rPr>
              <w:t>New</w:t>
            </w:r>
          </w:p>
        </w:tc>
        <w:tc>
          <w:tcPr>
            <w:tcW w:type="dxa" w:w="1461"/>
            <w:vAlign w:val="center"/>
          </w:tcPr>
          <w:p>
            <w:r/>
            <w:r>
              <w:rPr>
                <w:rFonts w:ascii="Aptos" w:hAnsi="Aptos"/>
                <w:b w:val="0"/>
                <w:sz w:val="16"/>
              </w:rPr>
              <w:t>€54.21K</w:t>
            </w:r>
          </w:p>
        </w:tc>
        <w:tc>
          <w:tcPr>
            <w:tcW w:type="dxa" w:w="1461"/>
            <w:vAlign w:val="center"/>
          </w:tcPr>
          <w:p>
            <w:r/>
            <w:r>
              <w:rPr>
                <w:rFonts w:ascii="Aptos" w:hAnsi="Aptos"/>
                <w:b w:val="0"/>
                <w:sz w:val="16"/>
              </w:rPr>
              <w:t>€10.90K</w:t>
            </w:r>
          </w:p>
        </w:tc>
        <w:tc>
          <w:tcPr>
            <w:tcW w:type="dxa" w:w="1461"/>
            <w:vAlign w:val="center"/>
          </w:tcPr>
          <w:p>
            <w:r/>
            <w:r>
              <w:rPr>
                <w:rFonts w:ascii="Aptos" w:hAnsi="Aptos"/>
                <w:b w:val="0"/>
                <w:sz w:val="16"/>
              </w:rPr>
              <w:t>20.11%</w:t>
            </w:r>
          </w:p>
        </w:tc>
        <w:tc>
          <w:tcPr>
            <w:tcW w:type="dxa" w:w="1461"/>
            <w:vAlign w:val="center"/>
          </w:tcPr>
          <w:p>
            <w:r/>
            <w:r>
              <w:rPr>
                <w:rFonts w:ascii="Aptos" w:hAnsi="Aptos"/>
                <w:b w:val="0"/>
                <w:sz w:val="16"/>
              </w:rPr>
              <w:t>€8.21K</w:t>
            </w:r>
          </w:p>
        </w:tc>
        <w:tc>
          <w:tcPr>
            <w:tcW w:type="dxa" w:w="1461"/>
            <w:vAlign w:val="center"/>
          </w:tcPr>
          <w:p>
            <w:r/>
            <w:r>
              <w:rPr>
                <w:rFonts w:ascii="Aptos" w:hAnsi="Aptos"/>
                <w:b w:val="0"/>
                <w:sz w:val="16"/>
              </w:rPr>
              <w:t>9.45%</w:t>
            </w:r>
          </w:p>
        </w:tc>
        <w:tc>
          <w:tcPr>
            <w:tcW w:type="dxa" w:w="1461"/>
            <w:vAlign w:val="center"/>
          </w:tcPr>
          <w:p>
            <w:r/>
            <w:r>
              <w:rPr>
                <w:rFonts w:ascii="Aptos" w:hAnsi="Aptos"/>
                <w:b w:val="0"/>
                <w:sz w:val="16"/>
              </w:rPr>
              <w:t>€115.60</w:t>
            </w:r>
          </w:p>
        </w:tc>
      </w:tr>
      <w:tr>
        <w:tc>
          <w:tcPr>
            <w:tcW w:type="dxa" w:w="1461"/>
            <w:vAlign w:val="center"/>
          </w:tcPr>
          <w:p>
            <w:r/>
            <w:r>
              <w:rPr>
                <w:rFonts w:ascii="Aptos" w:hAnsi="Aptos"/>
                <w:b w:val="0"/>
                <w:sz w:val="16"/>
              </w:rPr>
              <w:t>At Risk</w:t>
            </w:r>
          </w:p>
        </w:tc>
        <w:tc>
          <w:tcPr>
            <w:tcW w:type="dxa" w:w="1461"/>
            <w:vAlign w:val="center"/>
          </w:tcPr>
          <w:p>
            <w:r/>
            <w:r>
              <w:rPr>
                <w:rFonts w:ascii="Aptos" w:hAnsi="Aptos"/>
                <w:b w:val="0"/>
                <w:sz w:val="16"/>
              </w:rPr>
              <w:t>€33.95K</w:t>
            </w:r>
          </w:p>
        </w:tc>
        <w:tc>
          <w:tcPr>
            <w:tcW w:type="dxa" w:w="1461"/>
            <w:vAlign w:val="center"/>
          </w:tcPr>
          <w:p>
            <w:r/>
            <w:r>
              <w:rPr>
                <w:rFonts w:ascii="Aptos" w:hAnsi="Aptos"/>
                <w:b w:val="0"/>
                <w:sz w:val="16"/>
              </w:rPr>
              <w:t>€6.06K</w:t>
            </w:r>
          </w:p>
        </w:tc>
        <w:tc>
          <w:tcPr>
            <w:tcW w:type="dxa" w:w="1461"/>
            <w:vAlign w:val="center"/>
          </w:tcPr>
          <w:p>
            <w:r/>
            <w:r>
              <w:rPr>
                <w:rFonts w:ascii="Aptos" w:hAnsi="Aptos"/>
                <w:b w:val="0"/>
                <w:sz w:val="16"/>
              </w:rPr>
              <w:t>17.86%</w:t>
            </w:r>
          </w:p>
        </w:tc>
        <w:tc>
          <w:tcPr>
            <w:tcW w:type="dxa" w:w="1461"/>
            <w:vAlign w:val="center"/>
          </w:tcPr>
          <w:p>
            <w:r/>
            <w:r>
              <w:rPr>
                <w:rFonts w:ascii="Aptos" w:hAnsi="Aptos"/>
                <w:b w:val="0"/>
                <w:sz w:val="16"/>
              </w:rPr>
              <w:t>€6.80K</w:t>
            </w:r>
          </w:p>
        </w:tc>
        <w:tc>
          <w:tcPr>
            <w:tcW w:type="dxa" w:w="1461"/>
            <w:vAlign w:val="center"/>
          </w:tcPr>
          <w:p>
            <w:r/>
            <w:r>
              <w:rPr>
                <w:rFonts w:ascii="Aptos" w:hAnsi="Aptos"/>
                <w:b w:val="0"/>
                <w:sz w:val="16"/>
              </w:rPr>
              <w:t>9.93%</w:t>
            </w:r>
          </w:p>
        </w:tc>
        <w:tc>
          <w:tcPr>
            <w:tcW w:type="dxa" w:w="1461"/>
            <w:vAlign w:val="center"/>
          </w:tcPr>
          <w:p>
            <w:r/>
            <w:r>
              <w:rPr>
                <w:rFonts w:ascii="Aptos" w:hAnsi="Aptos"/>
                <w:b w:val="0"/>
                <w:sz w:val="16"/>
              </w:rPr>
              <w:t>€109.17</w:t>
            </w:r>
          </w:p>
        </w:tc>
      </w:tr>
      <w:tr>
        <w:tc>
          <w:tcPr>
            <w:tcW w:type="dxa" w:w="1461"/>
            <w:vAlign w:val="center"/>
          </w:tcPr>
          <w:p>
            <w:r/>
            <w:r>
              <w:rPr>
                <w:rFonts w:ascii="Aptos" w:hAnsi="Aptos"/>
                <w:b w:val="0"/>
                <w:sz w:val="16"/>
              </w:rPr>
              <w:t>Deal Seeker</w:t>
            </w:r>
          </w:p>
        </w:tc>
        <w:tc>
          <w:tcPr>
            <w:tcW w:type="dxa" w:w="1461"/>
            <w:vAlign w:val="center"/>
          </w:tcPr>
          <w:p>
            <w:r/>
            <w:r>
              <w:rPr>
                <w:rFonts w:ascii="Aptos" w:hAnsi="Aptos"/>
                <w:b w:val="0"/>
                <w:sz w:val="16"/>
              </w:rPr>
              <w:t>€34.65K</w:t>
            </w:r>
          </w:p>
        </w:tc>
        <w:tc>
          <w:tcPr>
            <w:tcW w:type="dxa" w:w="1461"/>
            <w:vAlign w:val="center"/>
          </w:tcPr>
          <w:p>
            <w:r/>
            <w:r>
              <w:rPr>
                <w:rFonts w:ascii="Aptos" w:hAnsi="Aptos"/>
                <w:b w:val="0"/>
                <w:sz w:val="16"/>
              </w:rPr>
              <w:t>€3.61K</w:t>
            </w:r>
          </w:p>
        </w:tc>
        <w:tc>
          <w:tcPr>
            <w:tcW w:type="dxa" w:w="1461"/>
            <w:vAlign w:val="center"/>
          </w:tcPr>
          <w:p>
            <w:r/>
            <w:r>
              <w:rPr>
                <w:rFonts w:ascii="Aptos" w:hAnsi="Aptos"/>
                <w:b w:val="0"/>
                <w:sz w:val="16"/>
              </w:rPr>
              <w:t>10.41%</w:t>
            </w:r>
          </w:p>
        </w:tc>
        <w:tc>
          <w:tcPr>
            <w:tcW w:type="dxa" w:w="1461"/>
            <w:vAlign w:val="center"/>
          </w:tcPr>
          <w:p>
            <w:r/>
            <w:r>
              <w:rPr>
                <w:rFonts w:ascii="Aptos" w:hAnsi="Aptos"/>
                <w:b w:val="0"/>
                <w:sz w:val="16"/>
              </w:rPr>
              <w:t>€6.74K</w:t>
            </w:r>
          </w:p>
        </w:tc>
        <w:tc>
          <w:tcPr>
            <w:tcW w:type="dxa" w:w="1461"/>
            <w:vAlign w:val="center"/>
          </w:tcPr>
          <w:p>
            <w:r/>
            <w:r>
              <w:rPr>
                <w:rFonts w:ascii="Aptos" w:hAnsi="Aptos"/>
                <w:b w:val="0"/>
                <w:sz w:val="16"/>
              </w:rPr>
              <w:t>14.35%</w:t>
            </w:r>
          </w:p>
        </w:tc>
        <w:tc>
          <w:tcPr>
            <w:tcW w:type="dxa" w:w="1461"/>
            <w:vAlign w:val="center"/>
          </w:tcPr>
          <w:p>
            <w:r/>
            <w:r>
              <w:rPr>
                <w:rFonts w:ascii="Aptos" w:hAnsi="Aptos"/>
                <w:b w:val="0"/>
                <w:sz w:val="16"/>
              </w:rPr>
              <w:t>€90.24</w:t>
            </w:r>
          </w:p>
        </w:tc>
      </w:tr>
    </w:tbl>
    <w:p>
      <w:pPr>
        <w:pStyle w:val="ListBullet"/>
        <w:spacing w:after="40"/>
      </w:pPr>
      <w:r>
        <w:t>Loyal and Growth customers generate €48.13K combined contribution and approximately €214.5K sales, making them the largest economic customer pool.</w:t>
      </w:r>
    </w:p>
    <w:p>
      <w:pPr>
        <w:pStyle w:val="ListBullet"/>
        <w:spacing w:after="40"/>
      </w:pPr>
      <w:r>
        <w:t>VIP customers have the strongest margin percentage (25.33%) and highest AOV (€125.53).</w:t>
      </w:r>
    </w:p>
    <w:p>
      <w:pPr>
        <w:pStyle w:val="ListBullet"/>
        <w:spacing w:after="40"/>
      </w:pPr>
      <w:r>
        <w:t>Deal Seekers have the weakest margin percentage (10.41%), highest discount rate (14.35%) and lowest AOV (€90.24).</w:t>
      </w:r>
    </w:p>
    <w:p>
      <w:pPr>
        <w:pStyle w:val="ListBullet"/>
        <w:spacing w:after="40"/>
      </w:pPr>
      <w:r>
        <w:t>The data supports differentiated commercial treatment by segment, but customer lifetime value and acquisition profitability cannot be confirmed without acquisition cost and longitudinal cohort data.</w:t>
      </w:r>
    </w:p>
    <w:p>
      <w:pPr>
        <w:pStyle w:val="Heading1"/>
      </w:pPr>
      <w:r>
        <w:t>3. Why is €404.1K of sales producing only €85.61K of contribution?</w:t>
      </w:r>
    </w:p>
    <w:p>
      <w:r>
        <w:t>The investigation points to a layered explanation rather than one single cause: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Level</w:t>
            </w:r>
          </w:p>
        </w:tc>
        <w:tc>
          <w:tcPr>
            <w:tcW w:type="dxa" w:w="3408"/>
            <w:vAlign w:val="center"/>
            <w:shd w:fill="D9EAF7"/>
          </w:tcPr>
          <w:p>
            <w:r/>
            <w:r>
              <w:rPr>
                <w:rFonts w:ascii="Aptos" w:hAnsi="Aptos"/>
                <w:b/>
                <w:sz w:val="17"/>
              </w:rPr>
              <w:t>What is happening</w:t>
            </w:r>
          </w:p>
        </w:tc>
        <w:tc>
          <w:tcPr>
            <w:tcW w:type="dxa" w:w="3408"/>
            <w:vAlign w:val="center"/>
            <w:shd w:fill="D9EAF7"/>
          </w:tcPr>
          <w:p>
            <w:r/>
            <w:r>
              <w:rPr>
                <w:rFonts w:ascii="Aptos" w:hAnsi="Aptos"/>
                <w:b/>
                <w:sz w:val="17"/>
              </w:rPr>
              <w:t>Evidence</w:t>
            </w:r>
          </w:p>
        </w:tc>
      </w:tr>
      <w:tr>
        <w:tc>
          <w:tcPr>
            <w:tcW w:type="dxa" w:w="3408"/>
            <w:vAlign w:val="center"/>
          </w:tcPr>
          <w:p>
            <w:r/>
            <w:r>
              <w:rPr>
                <w:rFonts w:ascii="Aptos" w:hAnsi="Aptos"/>
                <w:b w:val="0"/>
                <w:sz w:val="16"/>
              </w:rPr>
              <w:t>1. Product economics</w:t>
            </w:r>
          </w:p>
        </w:tc>
        <w:tc>
          <w:tcPr>
            <w:tcW w:type="dxa" w:w="3408"/>
            <w:vAlign w:val="center"/>
          </w:tcPr>
          <w:p>
            <w:r/>
            <w:r>
              <w:rPr>
                <w:rFonts w:ascii="Aptos" w:hAnsi="Aptos"/>
                <w:b w:val="0"/>
                <w:sz w:val="16"/>
              </w:rPr>
              <w:t>The largest structural constraint</w:t>
            </w:r>
          </w:p>
        </w:tc>
        <w:tc>
          <w:tcPr>
            <w:tcW w:type="dxa" w:w="3408"/>
            <w:vAlign w:val="center"/>
          </w:tcPr>
          <w:p>
            <w:r/>
            <w:r>
              <w:rPr>
                <w:rFonts w:ascii="Aptos" w:hAnsi="Aptos"/>
                <w:b w:val="0"/>
                <w:sz w:val="16"/>
              </w:rPr>
              <w:t>€241.85K product cost; 73.5% of variable costs</w:t>
            </w:r>
          </w:p>
        </w:tc>
      </w:tr>
      <w:tr>
        <w:tc>
          <w:tcPr>
            <w:tcW w:type="dxa" w:w="3408"/>
            <w:vAlign w:val="center"/>
          </w:tcPr>
          <w:p>
            <w:r/>
            <w:r>
              <w:rPr>
                <w:rFonts w:ascii="Aptos" w:hAnsi="Aptos"/>
                <w:b w:val="0"/>
                <w:sz w:val="16"/>
              </w:rPr>
              <w:t>2. Category mix</w:t>
            </w:r>
          </w:p>
        </w:tc>
        <w:tc>
          <w:tcPr>
            <w:tcW w:type="dxa" w:w="3408"/>
            <w:vAlign w:val="center"/>
          </w:tcPr>
          <w:p>
            <w:r/>
            <w:r>
              <w:rPr>
                <w:rFonts w:ascii="Aptos" w:hAnsi="Aptos"/>
                <w:b w:val="0"/>
                <w:sz w:val="16"/>
              </w:rPr>
              <w:t>High sales are concentrated in low-margin Electronics</w:t>
            </w:r>
          </w:p>
        </w:tc>
        <w:tc>
          <w:tcPr>
            <w:tcW w:type="dxa" w:w="3408"/>
            <w:vAlign w:val="center"/>
          </w:tcPr>
          <w:p>
            <w:r/>
            <w:r>
              <w:rPr>
                <w:rFonts w:ascii="Aptos" w:hAnsi="Aptos"/>
                <w:b w:val="0"/>
                <w:sz w:val="16"/>
              </w:rPr>
              <w:t>€138.61K sales but only 3.43% CM</w:t>
            </w:r>
          </w:p>
        </w:tc>
      </w:tr>
      <w:tr>
        <w:tc>
          <w:tcPr>
            <w:tcW w:type="dxa" w:w="3408"/>
            <w:vAlign w:val="center"/>
          </w:tcPr>
          <w:p>
            <w:r/>
            <w:r>
              <w:rPr>
                <w:rFonts w:ascii="Aptos" w:hAnsi="Aptos"/>
                <w:b w:val="0"/>
                <w:sz w:val="16"/>
              </w:rPr>
              <w:t>3. Returns</w:t>
            </w:r>
          </w:p>
        </w:tc>
        <w:tc>
          <w:tcPr>
            <w:tcW w:type="dxa" w:w="3408"/>
            <w:vAlign w:val="center"/>
          </w:tcPr>
          <w:p>
            <w:r/>
            <w:r>
              <w:rPr>
                <w:rFonts w:ascii="Aptos" w:hAnsi="Aptos"/>
                <w:b w:val="0"/>
                <w:sz w:val="16"/>
              </w:rPr>
              <w:t>Returns destroy value in high-demand categories</w:t>
            </w:r>
          </w:p>
        </w:tc>
        <w:tc>
          <w:tcPr>
            <w:tcW w:type="dxa" w:w="3408"/>
            <w:vAlign w:val="center"/>
          </w:tcPr>
          <w:p>
            <w:r/>
            <w:r>
              <w:rPr>
                <w:rFonts w:ascii="Aptos" w:hAnsi="Aptos"/>
                <w:b w:val="0"/>
                <w:sz w:val="16"/>
              </w:rPr>
              <w:t>Fashion and Electronics dominate return losses</w:t>
            </w:r>
          </w:p>
        </w:tc>
      </w:tr>
      <w:tr>
        <w:tc>
          <w:tcPr>
            <w:tcW w:type="dxa" w:w="3408"/>
            <w:vAlign w:val="center"/>
          </w:tcPr>
          <w:p>
            <w:r/>
            <w:r>
              <w:rPr>
                <w:rFonts w:ascii="Aptos" w:hAnsi="Aptos"/>
                <w:b w:val="0"/>
                <w:sz w:val="16"/>
              </w:rPr>
              <w:t>4. Promotions</w:t>
            </w:r>
          </w:p>
        </w:tc>
        <w:tc>
          <w:tcPr>
            <w:tcW w:type="dxa" w:w="3408"/>
            <w:vAlign w:val="center"/>
          </w:tcPr>
          <w:p>
            <w:r/>
            <w:r>
              <w:rPr>
                <w:rFonts w:ascii="Aptos" w:hAnsi="Aptos"/>
                <w:b w:val="0"/>
                <w:sz w:val="16"/>
              </w:rPr>
              <w:t>Deep-discount campaigns compress margin and raise returns</w:t>
            </w:r>
          </w:p>
        </w:tc>
        <w:tc>
          <w:tcPr>
            <w:tcW w:type="dxa" w:w="3408"/>
            <w:vAlign w:val="center"/>
          </w:tcPr>
          <w:p>
            <w:r/>
            <w:r>
              <w:rPr>
                <w:rFonts w:ascii="Aptos" w:hAnsi="Aptos"/>
                <w:b w:val="0"/>
                <w:sz w:val="16"/>
              </w:rPr>
              <w:t>25% Flash = 2.53% CM; 35% Clearance = -11.26%</w:t>
            </w:r>
          </w:p>
        </w:tc>
      </w:tr>
      <w:tr>
        <w:tc>
          <w:tcPr>
            <w:tcW w:type="dxa" w:w="3408"/>
            <w:vAlign w:val="center"/>
          </w:tcPr>
          <w:p>
            <w:r/>
            <w:r>
              <w:rPr>
                <w:rFonts w:ascii="Aptos" w:hAnsi="Aptos"/>
                <w:b w:val="0"/>
                <w:sz w:val="16"/>
              </w:rPr>
              <w:t>5. Inventory</w:t>
            </w:r>
          </w:p>
        </w:tc>
        <w:tc>
          <w:tcPr>
            <w:tcW w:type="dxa" w:w="3408"/>
            <w:vAlign w:val="center"/>
          </w:tcPr>
          <w:p>
            <w:r/>
            <w:r>
              <w:rPr>
                <w:rFonts w:ascii="Aptos" w:hAnsi="Aptos"/>
                <w:b w:val="0"/>
                <w:sz w:val="16"/>
              </w:rPr>
              <w:t>Stockouts create estimated sales opportunity loss</w:t>
            </w:r>
          </w:p>
        </w:tc>
        <w:tc>
          <w:tcPr>
            <w:tcW w:type="dxa" w:w="3408"/>
            <w:vAlign w:val="center"/>
          </w:tcPr>
          <w:p>
            <w:r/>
            <w:r>
              <w:rPr>
                <w:rFonts w:ascii="Aptos" w:hAnsi="Aptos"/>
                <w:b w:val="0"/>
                <w:sz w:val="16"/>
              </w:rPr>
              <w:t>367 stockout units; Electronics = 146</w:t>
            </w:r>
          </w:p>
        </w:tc>
      </w:tr>
      <w:tr>
        <w:tc>
          <w:tcPr>
            <w:tcW w:type="dxa" w:w="3408"/>
            <w:vAlign w:val="center"/>
          </w:tcPr>
          <w:p>
            <w:r/>
            <w:r>
              <w:rPr>
                <w:rFonts w:ascii="Aptos" w:hAnsi="Aptos"/>
                <w:b w:val="0"/>
                <w:sz w:val="16"/>
              </w:rPr>
              <w:t>6. Fulfilment</w:t>
            </w:r>
          </w:p>
        </w:tc>
        <w:tc>
          <w:tcPr>
            <w:tcW w:type="dxa" w:w="3408"/>
            <w:vAlign w:val="center"/>
          </w:tcPr>
          <w:p>
            <w:r/>
            <w:r>
              <w:rPr>
                <w:rFonts w:ascii="Aptos" w:hAnsi="Aptos"/>
                <w:b w:val="0"/>
                <w:sz w:val="16"/>
              </w:rPr>
              <w:t>Economics vary by operating model</w:t>
            </w:r>
          </w:p>
        </w:tc>
        <w:tc>
          <w:tcPr>
            <w:tcW w:type="dxa" w:w="3408"/>
            <w:vAlign w:val="center"/>
          </w:tcPr>
          <w:p>
            <w:r/>
            <w:r>
              <w:rPr>
                <w:rFonts w:ascii="Aptos" w:hAnsi="Aptos"/>
                <w:b w:val="0"/>
                <w:sz w:val="16"/>
              </w:rPr>
              <w:t>Partner fulfilled 13.33% CM vs Berlin 27.23%</w:t>
            </w:r>
          </w:p>
        </w:tc>
      </w:tr>
      <w:tr>
        <w:tc>
          <w:tcPr>
            <w:tcW w:type="dxa" w:w="3408"/>
            <w:vAlign w:val="center"/>
          </w:tcPr>
          <w:p>
            <w:r/>
            <w:r>
              <w:rPr>
                <w:rFonts w:ascii="Aptos" w:hAnsi="Aptos"/>
                <w:b w:val="0"/>
                <w:sz w:val="16"/>
              </w:rPr>
              <w:t>7. Customer mix</w:t>
            </w:r>
          </w:p>
        </w:tc>
        <w:tc>
          <w:tcPr>
            <w:tcW w:type="dxa" w:w="3408"/>
            <w:vAlign w:val="center"/>
          </w:tcPr>
          <w:p>
            <w:r/>
            <w:r>
              <w:rPr>
                <w:rFonts w:ascii="Aptos" w:hAnsi="Aptos"/>
                <w:b w:val="0"/>
                <w:sz w:val="16"/>
              </w:rPr>
              <w:t>Some segments require more discount to generate lower-value sales</w:t>
            </w:r>
          </w:p>
        </w:tc>
        <w:tc>
          <w:tcPr>
            <w:tcW w:type="dxa" w:w="3408"/>
            <w:vAlign w:val="center"/>
          </w:tcPr>
          <w:p>
            <w:r/>
            <w:r>
              <w:rPr>
                <w:rFonts w:ascii="Aptos" w:hAnsi="Aptos"/>
                <w:b w:val="0"/>
                <w:sz w:val="16"/>
              </w:rPr>
              <w:t>Deal Seeker: 10.41% CM, 14.35% discount</w:t>
            </w:r>
          </w:p>
        </w:tc>
      </w:tr>
    </w:tbl>
    <w:p>
      <w:pPr>
        <w:pStyle w:val="Heading1"/>
      </w:pPr>
      <w:r>
        <w:t>4. So What? Management Implications</w:t>
      </w:r>
    </w:p>
    <w:p>
      <w:pPr>
        <w:pStyle w:val="ListBullet"/>
        <w:spacing w:after="40"/>
      </w:pPr>
      <w:r>
        <w:t>Revenue growth alone should not be the primary management objective. The evidence shows that the quality of revenue varies materially by product, category, campaign, customer and fulfilment route.</w:t>
      </w:r>
    </w:p>
    <w:p>
      <w:pPr>
        <w:pStyle w:val="ListBullet"/>
        <w:spacing w:after="40"/>
      </w:pPr>
      <w:r>
        <w:t>Electronics requires a product-economics review before additional volume is prioritised. High demand combined with very low contribution can increase sales without proportionate economic value.</w:t>
      </w:r>
    </w:p>
    <w:p>
      <w:pPr>
        <w:pStyle w:val="ListBullet"/>
        <w:spacing w:after="40"/>
      </w:pPr>
      <w:r>
        <w:t>Return reduction needs two different programmes: Fashion should focus on fit/expectation; Electronics should focus on product quality and transit damage.</w:t>
      </w:r>
    </w:p>
    <w:p>
      <w:pPr>
        <w:pStyle w:val="ListBullet"/>
        <w:spacing w:after="40"/>
      </w:pPr>
      <w:r>
        <w:t>Promotion governance should move from 'sales generated' to contribution generated after discounts and returns.</w:t>
      </w:r>
    </w:p>
    <w:p>
      <w:pPr>
        <w:pStyle w:val="ListBullet"/>
        <w:spacing w:after="40"/>
      </w:pPr>
      <w:r>
        <w:t>Inventory availability should be prioritised using expected contribution, not demand alone.</w:t>
      </w:r>
    </w:p>
    <w:p>
      <w:pPr>
        <w:pStyle w:val="ListBullet"/>
        <w:spacing w:after="40"/>
      </w:pPr>
      <w:r>
        <w:t>Fulfilment allocation should be reviewed using contribution after fulfilment and shipping economics, not simply delivery volume.</w:t>
      </w:r>
    </w:p>
    <w:p>
      <w:pPr>
        <w:pStyle w:val="ListBullet"/>
        <w:spacing w:after="40"/>
      </w:pPr>
      <w:r>
        <w:t>Customer strategy should differentiate high-value customers from discount-dependent segments rather than applying a single retention/promotion approach.</w:t>
      </w:r>
    </w:p>
    <w:p>
      <w:pPr>
        <w:pStyle w:val="Heading1"/>
      </w:pPr>
      <w:r>
        <w:t>5. What Now? Recommended Management 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Aptos" w:hAnsi="Aptos"/>
                <w:b/>
                <w:sz w:val="17"/>
              </w:rPr>
              <w:t>Priority</w:t>
            </w:r>
          </w:p>
        </w:tc>
        <w:tc>
          <w:tcPr>
            <w:tcW w:type="dxa" w:w="2556"/>
            <w:vAlign w:val="center"/>
            <w:shd w:fill="D9EAF7"/>
          </w:tcPr>
          <w:p>
            <w:r/>
            <w:r>
              <w:rPr>
                <w:rFonts w:ascii="Aptos" w:hAnsi="Aptos"/>
                <w:b/>
                <w:sz w:val="17"/>
              </w:rPr>
              <w:t>Timing</w:t>
            </w:r>
          </w:p>
        </w:tc>
        <w:tc>
          <w:tcPr>
            <w:tcW w:type="dxa" w:w="2556"/>
            <w:vAlign w:val="center"/>
            <w:shd w:fill="D9EAF7"/>
          </w:tcPr>
          <w:p>
            <w:r/>
            <w:r>
              <w:rPr>
                <w:rFonts w:ascii="Aptos" w:hAnsi="Aptos"/>
                <w:b/>
                <w:sz w:val="17"/>
              </w:rPr>
              <w:t>Action</w:t>
            </w:r>
          </w:p>
        </w:tc>
        <w:tc>
          <w:tcPr>
            <w:tcW w:type="dxa" w:w="2556"/>
            <w:vAlign w:val="center"/>
            <w:shd w:fill="D9EAF7"/>
          </w:tcPr>
          <w:p>
            <w:r/>
            <w:r>
              <w:rPr>
                <w:rFonts w:ascii="Aptos" w:hAnsi="Aptos"/>
                <w:b/>
                <w:sz w:val="17"/>
              </w:rPr>
              <w:t>Management response</w:t>
            </w:r>
          </w:p>
        </w:tc>
      </w:tr>
      <w:tr>
        <w:tc>
          <w:tcPr>
            <w:tcW w:type="dxa" w:w="2556"/>
            <w:vAlign w:val="center"/>
          </w:tcPr>
          <w:p>
            <w:r/>
            <w:r>
              <w:rPr>
                <w:rFonts w:ascii="Aptos" w:hAnsi="Aptos"/>
                <w:b w:val="0"/>
                <w:sz w:val="16"/>
              </w:rPr>
              <w:t>1</w:t>
            </w:r>
          </w:p>
        </w:tc>
        <w:tc>
          <w:tcPr>
            <w:tcW w:type="dxa" w:w="2556"/>
            <w:vAlign w:val="center"/>
          </w:tcPr>
          <w:p>
            <w:r/>
            <w:r>
              <w:rPr>
                <w:rFonts w:ascii="Aptos" w:hAnsi="Aptos"/>
                <w:b w:val="0"/>
                <w:sz w:val="16"/>
              </w:rPr>
              <w:t>Immediate</w:t>
            </w:r>
          </w:p>
        </w:tc>
        <w:tc>
          <w:tcPr>
            <w:tcW w:type="dxa" w:w="2556"/>
            <w:vAlign w:val="center"/>
          </w:tcPr>
          <w:p>
            <w:r/>
            <w:r>
              <w:rPr>
                <w:rFonts w:ascii="Aptos" w:hAnsi="Aptos"/>
                <w:b w:val="0"/>
                <w:sz w:val="16"/>
              </w:rPr>
              <w:t>Product margin intervention</w:t>
            </w:r>
          </w:p>
        </w:tc>
        <w:tc>
          <w:tcPr>
            <w:tcW w:type="dxa" w:w="2556"/>
            <w:vAlign w:val="center"/>
          </w:tcPr>
          <w:p>
            <w:r/>
            <w:r>
              <w:rPr>
                <w:rFonts w:ascii="Aptos" w:hAnsi="Aptos"/>
                <w:b w:val="0"/>
                <w:sz w:val="16"/>
              </w:rPr>
              <w:t>Create a SKU-level margin review for Electronics, starting with negative/near-zero contribution products. Review supplier/unit cost, list price, discounting, returns and fulfilment cost before deciding whether to reprice, renegotiate cost, redesign the offer or discontinue.</w:t>
            </w:r>
          </w:p>
        </w:tc>
      </w:tr>
      <w:tr>
        <w:tc>
          <w:tcPr>
            <w:tcW w:type="dxa" w:w="2556"/>
            <w:vAlign w:val="center"/>
          </w:tcPr>
          <w:p>
            <w:r/>
            <w:r>
              <w:rPr>
                <w:rFonts w:ascii="Aptos" w:hAnsi="Aptos"/>
                <w:b w:val="0"/>
                <w:sz w:val="16"/>
              </w:rPr>
              <w:t>2</w:t>
            </w:r>
          </w:p>
        </w:tc>
        <w:tc>
          <w:tcPr>
            <w:tcW w:type="dxa" w:w="2556"/>
            <w:vAlign w:val="center"/>
          </w:tcPr>
          <w:p>
            <w:r/>
            <w:r>
              <w:rPr>
                <w:rFonts w:ascii="Aptos" w:hAnsi="Aptos"/>
                <w:b w:val="0"/>
                <w:sz w:val="16"/>
              </w:rPr>
              <w:t>Immediate</w:t>
            </w:r>
          </w:p>
        </w:tc>
        <w:tc>
          <w:tcPr>
            <w:tcW w:type="dxa" w:w="2556"/>
            <w:vAlign w:val="center"/>
          </w:tcPr>
          <w:p>
            <w:r/>
            <w:r>
              <w:rPr>
                <w:rFonts w:ascii="Aptos" w:hAnsi="Aptos"/>
                <w:b w:val="0"/>
                <w:sz w:val="16"/>
              </w:rPr>
              <w:t>Promotion governance</w:t>
            </w:r>
          </w:p>
        </w:tc>
        <w:tc>
          <w:tcPr>
            <w:tcW w:type="dxa" w:w="2556"/>
            <w:vAlign w:val="center"/>
          </w:tcPr>
          <w:p>
            <w:r/>
            <w:r>
              <w:rPr>
                <w:rFonts w:ascii="Aptos" w:hAnsi="Aptos"/>
                <w:b w:val="0"/>
                <w:sz w:val="16"/>
              </w:rPr>
              <w:t>Set a minimum contribution-margin threshold for promotions. Require campaign approval to include expected contribution, return rate, discount cost and incremental demand. Review Weekend Flash 25% and Clearance 35% as priority cases.</w:t>
            </w:r>
          </w:p>
        </w:tc>
      </w:tr>
      <w:tr>
        <w:tc>
          <w:tcPr>
            <w:tcW w:type="dxa" w:w="2556"/>
            <w:vAlign w:val="center"/>
          </w:tcPr>
          <w:p>
            <w:r/>
            <w:r>
              <w:rPr>
                <w:rFonts w:ascii="Aptos" w:hAnsi="Aptos"/>
                <w:b w:val="0"/>
                <w:sz w:val="16"/>
              </w:rPr>
              <w:t>3</w:t>
            </w:r>
          </w:p>
        </w:tc>
        <w:tc>
          <w:tcPr>
            <w:tcW w:type="dxa" w:w="2556"/>
            <w:vAlign w:val="center"/>
          </w:tcPr>
          <w:p>
            <w:r/>
            <w:r>
              <w:rPr>
                <w:rFonts w:ascii="Aptos" w:hAnsi="Aptos"/>
                <w:b w:val="0"/>
                <w:sz w:val="16"/>
              </w:rPr>
              <w:t>Immediate</w:t>
            </w:r>
          </w:p>
        </w:tc>
        <w:tc>
          <w:tcPr>
            <w:tcW w:type="dxa" w:w="2556"/>
            <w:vAlign w:val="center"/>
          </w:tcPr>
          <w:p>
            <w:r/>
            <w:r>
              <w:rPr>
                <w:rFonts w:ascii="Aptos" w:hAnsi="Aptos"/>
                <w:b w:val="0"/>
                <w:sz w:val="16"/>
              </w:rPr>
              <w:t>Return-loss reduction</w:t>
            </w:r>
          </w:p>
        </w:tc>
        <w:tc>
          <w:tcPr>
            <w:tcW w:type="dxa" w:w="2556"/>
            <w:vAlign w:val="center"/>
          </w:tcPr>
          <w:p>
            <w:r/>
            <w:r>
              <w:rPr>
                <w:rFonts w:ascii="Aptos" w:hAnsi="Aptos"/>
                <w:b w:val="0"/>
                <w:sz w:val="16"/>
              </w:rPr>
              <w:t>Launch separate root-cause actions: Fashion—size/fit and expectation; Electronics—defects and transit damage. Track return loss per 100 orders and per €1,000 sales.</w:t>
            </w:r>
          </w:p>
        </w:tc>
      </w:tr>
      <w:tr>
        <w:tc>
          <w:tcPr>
            <w:tcW w:type="dxa" w:w="2556"/>
            <w:vAlign w:val="center"/>
          </w:tcPr>
          <w:p>
            <w:r/>
            <w:r>
              <w:rPr>
                <w:rFonts w:ascii="Aptos" w:hAnsi="Aptos"/>
                <w:b w:val="0"/>
                <w:sz w:val="16"/>
              </w:rPr>
              <w:t>4</w:t>
            </w:r>
          </w:p>
        </w:tc>
        <w:tc>
          <w:tcPr>
            <w:tcW w:type="dxa" w:w="2556"/>
            <w:vAlign w:val="center"/>
          </w:tcPr>
          <w:p>
            <w:r/>
            <w:r>
              <w:rPr>
                <w:rFonts w:ascii="Aptos" w:hAnsi="Aptos"/>
                <w:b w:val="0"/>
                <w:sz w:val="16"/>
              </w:rPr>
              <w:t>30–60 days</w:t>
            </w:r>
          </w:p>
        </w:tc>
        <w:tc>
          <w:tcPr>
            <w:tcW w:type="dxa" w:w="2556"/>
            <w:vAlign w:val="center"/>
          </w:tcPr>
          <w:p>
            <w:r/>
            <w:r>
              <w:rPr>
                <w:rFonts w:ascii="Aptos" w:hAnsi="Aptos"/>
                <w:b w:val="0"/>
                <w:sz w:val="16"/>
              </w:rPr>
              <w:t>Inventory allocation</w:t>
            </w:r>
          </w:p>
        </w:tc>
        <w:tc>
          <w:tcPr>
            <w:tcW w:type="dxa" w:w="2556"/>
            <w:vAlign w:val="center"/>
          </w:tcPr>
          <w:p>
            <w:r/>
            <w:r>
              <w:rPr>
                <w:rFonts w:ascii="Aptos" w:hAnsi="Aptos"/>
                <w:b w:val="0"/>
                <w:sz w:val="16"/>
              </w:rPr>
              <w:t>Build a contribution-weighted replenishment rule. Prioritise products with strong contribution and high stockout opportunity; do not automatically replenish high-demand SKUs with negative contribution.</w:t>
            </w:r>
          </w:p>
        </w:tc>
      </w:tr>
      <w:tr>
        <w:tc>
          <w:tcPr>
            <w:tcW w:type="dxa" w:w="2556"/>
            <w:vAlign w:val="center"/>
          </w:tcPr>
          <w:p>
            <w:r/>
            <w:r>
              <w:rPr>
                <w:rFonts w:ascii="Aptos" w:hAnsi="Aptos"/>
                <w:b w:val="0"/>
                <w:sz w:val="16"/>
              </w:rPr>
              <w:t>5</w:t>
            </w:r>
          </w:p>
        </w:tc>
        <w:tc>
          <w:tcPr>
            <w:tcW w:type="dxa" w:w="2556"/>
            <w:vAlign w:val="center"/>
          </w:tcPr>
          <w:p>
            <w:r/>
            <w:r>
              <w:rPr>
                <w:rFonts w:ascii="Aptos" w:hAnsi="Aptos"/>
                <w:b w:val="0"/>
                <w:sz w:val="16"/>
              </w:rPr>
              <w:t>30–60 days</w:t>
            </w:r>
          </w:p>
        </w:tc>
        <w:tc>
          <w:tcPr>
            <w:tcW w:type="dxa" w:w="2556"/>
            <w:vAlign w:val="center"/>
          </w:tcPr>
          <w:p>
            <w:r/>
            <w:r>
              <w:rPr>
                <w:rFonts w:ascii="Aptos" w:hAnsi="Aptos"/>
                <w:b w:val="0"/>
                <w:sz w:val="16"/>
              </w:rPr>
              <w:t>Fulfilment economics</w:t>
            </w:r>
          </w:p>
        </w:tc>
        <w:tc>
          <w:tcPr>
            <w:tcW w:type="dxa" w:w="2556"/>
            <w:vAlign w:val="center"/>
          </w:tcPr>
          <w:p>
            <w:r/>
            <w:r>
              <w:rPr>
                <w:rFonts w:ascii="Aptos" w:hAnsi="Aptos"/>
                <w:b w:val="0"/>
                <w:sz w:val="16"/>
              </w:rPr>
              <w:t>Run a lane/SKU/location profitability test comparing Berlin, Amsterdam, Madrid, Warsaw, Riga and Partner Fulfilled. Investigate whether eligible volume can be shifted without harming service levels.</w:t>
            </w:r>
          </w:p>
        </w:tc>
      </w:tr>
      <w:tr>
        <w:tc>
          <w:tcPr>
            <w:tcW w:type="dxa" w:w="2556"/>
            <w:vAlign w:val="center"/>
          </w:tcPr>
          <w:p>
            <w:r/>
            <w:r>
              <w:rPr>
                <w:rFonts w:ascii="Aptos" w:hAnsi="Aptos"/>
                <w:b w:val="0"/>
                <w:sz w:val="16"/>
              </w:rPr>
              <w:t>6</w:t>
            </w:r>
          </w:p>
        </w:tc>
        <w:tc>
          <w:tcPr>
            <w:tcW w:type="dxa" w:w="2556"/>
            <w:vAlign w:val="center"/>
          </w:tcPr>
          <w:p>
            <w:r/>
            <w:r>
              <w:rPr>
                <w:rFonts w:ascii="Aptos" w:hAnsi="Aptos"/>
                <w:b w:val="0"/>
                <w:sz w:val="16"/>
              </w:rPr>
              <w:t>30–60 days</w:t>
            </w:r>
          </w:p>
        </w:tc>
        <w:tc>
          <w:tcPr>
            <w:tcW w:type="dxa" w:w="2556"/>
            <w:vAlign w:val="center"/>
          </w:tcPr>
          <w:p>
            <w:r/>
            <w:r>
              <w:rPr>
                <w:rFonts w:ascii="Aptos" w:hAnsi="Aptos"/>
                <w:b w:val="0"/>
                <w:sz w:val="16"/>
              </w:rPr>
              <w:t>Customer strategy</w:t>
            </w:r>
          </w:p>
        </w:tc>
        <w:tc>
          <w:tcPr>
            <w:tcW w:type="dxa" w:w="2556"/>
            <w:vAlign w:val="center"/>
          </w:tcPr>
          <w:p>
            <w:r/>
            <w:r>
              <w:rPr>
                <w:rFonts w:ascii="Aptos" w:hAnsi="Aptos"/>
                <w:b w:val="0"/>
                <w:sz w:val="16"/>
              </w:rPr>
              <w:t>Review Deal Seeker economics and test whether lower discount intensity or targeted offers improve contribution. Protect and retain high-value VIP/Loyal/Growth customers while monitoring their return behaviour.</w:t>
            </w:r>
          </w:p>
        </w:tc>
      </w:tr>
      <w:tr>
        <w:tc>
          <w:tcPr>
            <w:tcW w:type="dxa" w:w="2556"/>
            <w:vAlign w:val="center"/>
          </w:tcPr>
          <w:p>
            <w:r/>
            <w:r>
              <w:rPr>
                <w:rFonts w:ascii="Aptos" w:hAnsi="Aptos"/>
                <w:b w:val="0"/>
                <w:sz w:val="16"/>
              </w:rPr>
              <w:t>7</w:t>
            </w:r>
          </w:p>
        </w:tc>
        <w:tc>
          <w:tcPr>
            <w:tcW w:type="dxa" w:w="2556"/>
            <w:vAlign w:val="center"/>
          </w:tcPr>
          <w:p>
            <w:r/>
            <w:r>
              <w:rPr>
                <w:rFonts w:ascii="Aptos" w:hAnsi="Aptos"/>
                <w:b w:val="0"/>
                <w:sz w:val="16"/>
              </w:rPr>
              <w:t>60–90 days</w:t>
            </w:r>
          </w:p>
        </w:tc>
        <w:tc>
          <w:tcPr>
            <w:tcW w:type="dxa" w:w="2556"/>
            <w:vAlign w:val="center"/>
          </w:tcPr>
          <w:p>
            <w:r/>
            <w:r>
              <w:rPr>
                <w:rFonts w:ascii="Aptos" w:hAnsi="Aptos"/>
                <w:b w:val="0"/>
                <w:sz w:val="16"/>
              </w:rPr>
              <w:t>Commercial measurement</w:t>
            </w:r>
          </w:p>
        </w:tc>
        <w:tc>
          <w:tcPr>
            <w:tcW w:type="dxa" w:w="2556"/>
            <w:vAlign w:val="center"/>
          </w:tcPr>
          <w:p>
            <w:r/>
            <w:r>
              <w:rPr>
                <w:rFonts w:ascii="Aptos" w:hAnsi="Aptos"/>
                <w:b w:val="0"/>
                <w:sz w:val="16"/>
              </w:rPr>
              <w:t>Introduce campaign and product profitability as formal management metrics, alongside sales. Evaluate promotions using incremental contribution rather than revenue alone.</w:t>
            </w:r>
          </w:p>
        </w:tc>
      </w:tr>
    </w:tbl>
    <w:p>
      <w:pPr>
        <w:pStyle w:val="Heading1"/>
      </w:pPr>
      <w:r>
        <w:t>6. Evidence vs Hypothesis vs Further Testing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Status</w:t>
            </w:r>
          </w:p>
        </w:tc>
        <w:tc>
          <w:tcPr>
            <w:tcW w:type="dxa" w:w="3408"/>
            <w:vAlign w:val="center"/>
            <w:shd w:fill="D9EAF7"/>
          </w:tcPr>
          <w:p>
            <w:r/>
            <w:r>
              <w:rPr>
                <w:rFonts w:ascii="Aptos" w:hAnsi="Aptos"/>
                <w:b/>
                <w:sz w:val="17"/>
              </w:rPr>
              <w:t>Finding</w:t>
            </w:r>
          </w:p>
        </w:tc>
        <w:tc>
          <w:tcPr>
            <w:tcW w:type="dxa" w:w="3408"/>
            <w:vAlign w:val="center"/>
            <w:shd w:fill="D9EAF7"/>
          </w:tcPr>
          <w:p>
            <w:r/>
            <w:r>
              <w:rPr>
                <w:rFonts w:ascii="Aptos" w:hAnsi="Aptos"/>
                <w:b/>
                <w:sz w:val="17"/>
              </w:rPr>
              <w:t>What it means</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Product cost is the dominant variable cost</w:t>
            </w:r>
          </w:p>
        </w:tc>
        <w:tc>
          <w:tcPr>
            <w:tcW w:type="dxa" w:w="3408"/>
            <w:vAlign w:val="center"/>
          </w:tcPr>
          <w:p>
            <w:r/>
            <w:r>
              <w:rPr>
                <w:rFonts w:ascii="Aptos" w:hAnsi="Aptos"/>
                <w:b w:val="0"/>
                <w:sz w:val="16"/>
              </w:rPr>
              <w:t>Cost structure is the first place to investigate margin improvement</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Electronics has 3.43% CM on €138.61K sales</w:t>
            </w:r>
          </w:p>
        </w:tc>
        <w:tc>
          <w:tcPr>
            <w:tcW w:type="dxa" w:w="3408"/>
            <w:vAlign w:val="center"/>
          </w:tcPr>
          <w:p>
            <w:r/>
            <w:r>
              <w:rPr>
                <w:rFonts w:ascii="Aptos" w:hAnsi="Aptos"/>
                <w:b w:val="0"/>
                <w:sz w:val="16"/>
              </w:rPr>
              <w:t>Sales volume is not translating into proportional contribution</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Tech Smart Home Plus is loss-making</w:t>
            </w:r>
          </w:p>
        </w:tc>
        <w:tc>
          <w:tcPr>
            <w:tcW w:type="dxa" w:w="3408"/>
            <w:vAlign w:val="center"/>
          </w:tcPr>
          <w:p>
            <w:r/>
            <w:r>
              <w:rPr>
                <w:rFonts w:ascii="Aptos" w:hAnsi="Aptos"/>
                <w:b w:val="0"/>
                <w:sz w:val="16"/>
              </w:rPr>
              <w:t>SKU-level intervention is justified</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Clearance 35% has -11.26% CM</w:t>
            </w:r>
          </w:p>
        </w:tc>
        <w:tc>
          <w:tcPr>
            <w:tcW w:type="dxa" w:w="3408"/>
            <w:vAlign w:val="center"/>
          </w:tcPr>
          <w:p>
            <w:r/>
            <w:r>
              <w:rPr>
                <w:rFonts w:ascii="Aptos" w:hAnsi="Aptos"/>
                <w:b w:val="0"/>
                <w:sz w:val="16"/>
              </w:rPr>
              <w:t>The campaign was not profitable on observed economics</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Weekend Flash 25% has 2.53% CM</w:t>
            </w:r>
          </w:p>
        </w:tc>
        <w:tc>
          <w:tcPr>
            <w:tcW w:type="dxa" w:w="3408"/>
            <w:vAlign w:val="center"/>
          </w:tcPr>
          <w:p>
            <w:r/>
            <w:r>
              <w:rPr>
                <w:rFonts w:ascii="Aptos" w:hAnsi="Aptos"/>
                <w:b w:val="0"/>
                <w:sz w:val="16"/>
              </w:rPr>
              <w:t>Observed economics are weak</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Fashion has high returns driven heavily by fit/reasons</w:t>
            </w:r>
          </w:p>
        </w:tc>
        <w:tc>
          <w:tcPr>
            <w:tcW w:type="dxa" w:w="3408"/>
            <w:vAlign w:val="center"/>
          </w:tcPr>
          <w:p>
            <w:r/>
            <w:r>
              <w:rPr>
                <w:rFonts w:ascii="Aptos" w:hAnsi="Aptos"/>
                <w:b w:val="0"/>
                <w:sz w:val="16"/>
              </w:rPr>
              <w:t>Fit/product-information intervention should be investigated</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Electronics has significant defect/transit return losses</w:t>
            </w:r>
          </w:p>
        </w:tc>
        <w:tc>
          <w:tcPr>
            <w:tcW w:type="dxa" w:w="3408"/>
            <w:vAlign w:val="center"/>
          </w:tcPr>
          <w:p>
            <w:r/>
            <w:r>
              <w:rPr>
                <w:rFonts w:ascii="Aptos" w:hAnsi="Aptos"/>
                <w:b w:val="0"/>
                <w:sz w:val="16"/>
              </w:rPr>
              <w:t>Quality and packaging/carrier investigation is warranted</w:t>
            </w:r>
          </w:p>
        </w:tc>
      </w:tr>
      <w:tr>
        <w:tc>
          <w:tcPr>
            <w:tcW w:type="dxa" w:w="3408"/>
            <w:vAlign w:val="center"/>
          </w:tcPr>
          <w:p>
            <w:r/>
            <w:r>
              <w:rPr>
                <w:rFonts w:ascii="Aptos" w:hAnsi="Aptos"/>
                <w:b w:val="0"/>
                <w:sz w:val="16"/>
              </w:rPr>
              <w:t>Demonstrated</w:t>
            </w:r>
          </w:p>
        </w:tc>
        <w:tc>
          <w:tcPr>
            <w:tcW w:type="dxa" w:w="3408"/>
            <w:vAlign w:val="center"/>
          </w:tcPr>
          <w:p>
            <w:r/>
            <w:r>
              <w:rPr>
                <w:rFonts w:ascii="Aptos" w:hAnsi="Aptos"/>
                <w:b w:val="0"/>
                <w:sz w:val="16"/>
              </w:rPr>
              <w:t>Stockouts increased materially</w:t>
            </w:r>
          </w:p>
        </w:tc>
        <w:tc>
          <w:tcPr>
            <w:tcW w:type="dxa" w:w="3408"/>
            <w:vAlign w:val="center"/>
          </w:tcPr>
          <w:p>
            <w:r/>
            <w:r>
              <w:rPr>
                <w:rFonts w:ascii="Aptos" w:hAnsi="Aptos"/>
                <w:b w:val="0"/>
                <w:sz w:val="16"/>
              </w:rPr>
              <w:t>Availability is a growing operational issue</w:t>
            </w:r>
          </w:p>
        </w:tc>
      </w:tr>
      <w:tr>
        <w:tc>
          <w:tcPr>
            <w:tcW w:type="dxa" w:w="3408"/>
            <w:vAlign w:val="center"/>
          </w:tcPr>
          <w:p>
            <w:r/>
            <w:r>
              <w:rPr>
                <w:rFonts w:ascii="Aptos" w:hAnsi="Aptos"/>
                <w:b w:val="0"/>
                <w:sz w:val="16"/>
              </w:rPr>
              <w:t>Potential driver</w:t>
            </w:r>
          </w:p>
        </w:tc>
        <w:tc>
          <w:tcPr>
            <w:tcW w:type="dxa" w:w="3408"/>
            <w:vAlign w:val="center"/>
          </w:tcPr>
          <w:p>
            <w:r/>
            <w:r>
              <w:rPr>
                <w:rFonts w:ascii="Aptos" w:hAnsi="Aptos"/>
                <w:b w:val="0"/>
                <w:sz w:val="16"/>
              </w:rPr>
              <w:t>Deep discounts cause weaker profitability</w:t>
            </w:r>
          </w:p>
        </w:tc>
        <w:tc>
          <w:tcPr>
            <w:tcW w:type="dxa" w:w="3408"/>
            <w:vAlign w:val="center"/>
          </w:tcPr>
          <w:p>
            <w:r/>
            <w:r>
              <w:rPr>
                <w:rFonts w:ascii="Aptos" w:hAnsi="Aptos"/>
                <w:b w:val="0"/>
                <w:sz w:val="16"/>
              </w:rPr>
              <w:t>The relationship is visible, but incremental demand needs testing</w:t>
            </w:r>
          </w:p>
        </w:tc>
      </w:tr>
      <w:tr>
        <w:tc>
          <w:tcPr>
            <w:tcW w:type="dxa" w:w="3408"/>
            <w:vAlign w:val="center"/>
          </w:tcPr>
          <w:p>
            <w:r/>
            <w:r>
              <w:rPr>
                <w:rFonts w:ascii="Aptos" w:hAnsi="Aptos"/>
                <w:b w:val="0"/>
                <w:sz w:val="16"/>
              </w:rPr>
              <w:t>Potential driver</w:t>
            </w:r>
          </w:p>
        </w:tc>
        <w:tc>
          <w:tcPr>
            <w:tcW w:type="dxa" w:w="3408"/>
            <w:vAlign w:val="center"/>
          </w:tcPr>
          <w:p>
            <w:r/>
            <w:r>
              <w:rPr>
                <w:rFonts w:ascii="Aptos" w:hAnsi="Aptos"/>
                <w:b w:val="0"/>
                <w:sz w:val="16"/>
              </w:rPr>
              <w:t>Fulfilment allocation causes margin differences</w:t>
            </w:r>
          </w:p>
        </w:tc>
        <w:tc>
          <w:tcPr>
            <w:tcW w:type="dxa" w:w="3408"/>
            <w:vAlign w:val="center"/>
          </w:tcPr>
          <w:p>
            <w:r/>
            <w:r>
              <w:rPr>
                <w:rFonts w:ascii="Aptos" w:hAnsi="Aptos"/>
                <w:b w:val="0"/>
                <w:sz w:val="16"/>
              </w:rPr>
              <w:t>Location economics differ, but capacity/service constraints must be tested</w:t>
            </w:r>
          </w:p>
        </w:tc>
      </w:tr>
      <w:tr>
        <w:tc>
          <w:tcPr>
            <w:tcW w:type="dxa" w:w="3408"/>
            <w:vAlign w:val="center"/>
          </w:tcPr>
          <w:p>
            <w:r/>
            <w:r>
              <w:rPr>
                <w:rFonts w:ascii="Aptos" w:hAnsi="Aptos"/>
                <w:b w:val="0"/>
                <w:sz w:val="16"/>
              </w:rPr>
              <w:t>Requires testing</w:t>
            </w:r>
          </w:p>
        </w:tc>
        <w:tc>
          <w:tcPr>
            <w:tcW w:type="dxa" w:w="3408"/>
            <w:vAlign w:val="center"/>
          </w:tcPr>
          <w:p>
            <w:r/>
            <w:r>
              <w:rPr>
                <w:rFonts w:ascii="Aptos" w:hAnsi="Aptos"/>
                <w:b w:val="0"/>
                <w:sz w:val="16"/>
              </w:rPr>
              <w:t>Deal Seekers are less valuable over their lifetime</w:t>
            </w:r>
          </w:p>
        </w:tc>
        <w:tc>
          <w:tcPr>
            <w:tcW w:type="dxa" w:w="3408"/>
            <w:vAlign w:val="center"/>
          </w:tcPr>
          <w:p>
            <w:r/>
            <w:r>
              <w:rPr>
                <w:rFonts w:ascii="Aptos" w:hAnsi="Aptos"/>
                <w:b w:val="0"/>
                <w:sz w:val="16"/>
              </w:rPr>
              <w:t>Need CAC, retention and cohort/LTV data</w:t>
            </w:r>
          </w:p>
        </w:tc>
      </w:tr>
      <w:tr>
        <w:tc>
          <w:tcPr>
            <w:tcW w:type="dxa" w:w="3408"/>
            <w:vAlign w:val="center"/>
          </w:tcPr>
          <w:p>
            <w:r/>
            <w:r>
              <w:rPr>
                <w:rFonts w:ascii="Aptos" w:hAnsi="Aptos"/>
                <w:b w:val="0"/>
                <w:sz w:val="16"/>
              </w:rPr>
              <w:t>Requires testing</w:t>
            </w:r>
          </w:p>
        </w:tc>
        <w:tc>
          <w:tcPr>
            <w:tcW w:type="dxa" w:w="3408"/>
            <w:vAlign w:val="center"/>
          </w:tcPr>
          <w:p>
            <w:r/>
            <w:r>
              <w:rPr>
                <w:rFonts w:ascii="Aptos" w:hAnsi="Aptos"/>
                <w:b w:val="0"/>
                <w:sz w:val="16"/>
              </w:rPr>
              <w:t>Reallocating fulfilment volume will improve total profit</w:t>
            </w:r>
          </w:p>
        </w:tc>
        <w:tc>
          <w:tcPr>
            <w:tcW w:type="dxa" w:w="3408"/>
            <w:vAlign w:val="center"/>
          </w:tcPr>
          <w:p>
            <w:r/>
            <w:r>
              <w:rPr>
                <w:rFonts w:ascii="Aptos" w:hAnsi="Aptos"/>
                <w:b w:val="0"/>
                <w:sz w:val="16"/>
              </w:rPr>
              <w:t>Need lane-level cost, capacity and service analysis</w:t>
            </w:r>
          </w:p>
        </w:tc>
      </w:tr>
    </w:tbl>
    <w:p>
      <w:pPr>
        <w:pStyle w:val="Heading1"/>
      </w:pPr>
      <w:r>
        <w:t>7. Management KPI Framework Going Forward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7"/>
              </w:rPr>
              <w:t>Area</w:t>
            </w:r>
          </w:p>
        </w:tc>
        <w:tc>
          <w:tcPr>
            <w:tcW w:type="dxa" w:w="3408"/>
            <w:vAlign w:val="center"/>
            <w:shd w:fill="D9EAF7"/>
          </w:tcPr>
          <w:p>
            <w:r/>
            <w:r>
              <w:rPr>
                <w:rFonts w:ascii="Aptos" w:hAnsi="Aptos"/>
                <w:b/>
                <w:sz w:val="17"/>
              </w:rPr>
              <w:t>Primary KPI</w:t>
            </w:r>
          </w:p>
        </w:tc>
        <w:tc>
          <w:tcPr>
            <w:tcW w:type="dxa" w:w="3408"/>
            <w:vAlign w:val="center"/>
            <w:shd w:fill="D9EAF7"/>
          </w:tcPr>
          <w:p>
            <w:r/>
            <w:r>
              <w:rPr>
                <w:rFonts w:ascii="Aptos" w:hAnsi="Aptos"/>
                <w:b/>
                <w:sz w:val="17"/>
              </w:rPr>
              <w:t>Secondary diagnostic</w:t>
            </w:r>
          </w:p>
        </w:tc>
      </w:tr>
      <w:tr>
        <w:tc>
          <w:tcPr>
            <w:tcW w:type="dxa" w:w="3408"/>
            <w:vAlign w:val="center"/>
          </w:tcPr>
          <w:p>
            <w:r/>
            <w:r>
              <w:rPr>
                <w:rFonts w:ascii="Aptos" w:hAnsi="Aptos"/>
                <w:b w:val="0"/>
                <w:sz w:val="16"/>
              </w:rPr>
              <w:t>Commercial</w:t>
            </w:r>
          </w:p>
        </w:tc>
        <w:tc>
          <w:tcPr>
            <w:tcW w:type="dxa" w:w="3408"/>
            <w:vAlign w:val="center"/>
          </w:tcPr>
          <w:p>
            <w:r/>
            <w:r>
              <w:rPr>
                <w:rFonts w:ascii="Aptos" w:hAnsi="Aptos"/>
                <w:b w:val="0"/>
                <w:sz w:val="16"/>
              </w:rPr>
              <w:t>Contribution margin %</w:t>
            </w:r>
          </w:p>
        </w:tc>
        <w:tc>
          <w:tcPr>
            <w:tcW w:type="dxa" w:w="3408"/>
            <w:vAlign w:val="center"/>
          </w:tcPr>
          <w:p>
            <w:r/>
            <w:r>
              <w:rPr>
                <w:rFonts w:ascii="Aptos" w:hAnsi="Aptos"/>
                <w:b w:val="0"/>
                <w:sz w:val="16"/>
              </w:rPr>
              <w:t>Net sales, contribution per order</w:t>
            </w:r>
          </w:p>
        </w:tc>
      </w:tr>
      <w:tr>
        <w:tc>
          <w:tcPr>
            <w:tcW w:type="dxa" w:w="3408"/>
            <w:vAlign w:val="center"/>
          </w:tcPr>
          <w:p>
            <w:r/>
            <w:r>
              <w:rPr>
                <w:rFonts w:ascii="Aptos" w:hAnsi="Aptos"/>
                <w:b w:val="0"/>
                <w:sz w:val="16"/>
              </w:rPr>
              <w:t>Product</w:t>
            </w:r>
          </w:p>
        </w:tc>
        <w:tc>
          <w:tcPr>
            <w:tcW w:type="dxa" w:w="3408"/>
            <w:vAlign w:val="center"/>
          </w:tcPr>
          <w:p>
            <w:r/>
            <w:r>
              <w:rPr>
                <w:rFonts w:ascii="Aptos" w:hAnsi="Aptos"/>
                <w:b w:val="0"/>
                <w:sz w:val="16"/>
              </w:rPr>
              <w:t>Contribution per SKU</w:t>
            </w:r>
          </w:p>
        </w:tc>
        <w:tc>
          <w:tcPr>
            <w:tcW w:type="dxa" w:w="3408"/>
            <w:vAlign w:val="center"/>
          </w:tcPr>
          <w:p>
            <w:r/>
            <w:r>
              <w:rPr>
                <w:rFonts w:ascii="Aptos" w:hAnsi="Aptos"/>
                <w:b w:val="0"/>
                <w:sz w:val="16"/>
              </w:rPr>
              <w:t>Unit margin, product cost %, return loss</w:t>
            </w:r>
          </w:p>
        </w:tc>
      </w:tr>
      <w:tr>
        <w:tc>
          <w:tcPr>
            <w:tcW w:type="dxa" w:w="3408"/>
            <w:vAlign w:val="center"/>
          </w:tcPr>
          <w:p>
            <w:r/>
            <w:r>
              <w:rPr>
                <w:rFonts w:ascii="Aptos" w:hAnsi="Aptos"/>
                <w:b w:val="0"/>
                <w:sz w:val="16"/>
              </w:rPr>
              <w:t>Promotions</w:t>
            </w:r>
          </w:p>
        </w:tc>
        <w:tc>
          <w:tcPr>
            <w:tcW w:type="dxa" w:w="3408"/>
            <w:vAlign w:val="center"/>
          </w:tcPr>
          <w:p>
            <w:r/>
            <w:r>
              <w:rPr>
                <w:rFonts w:ascii="Aptos" w:hAnsi="Aptos"/>
                <w:b w:val="0"/>
                <w:sz w:val="16"/>
              </w:rPr>
              <w:t>Incremental contribution</w:t>
            </w:r>
          </w:p>
        </w:tc>
        <w:tc>
          <w:tcPr>
            <w:tcW w:type="dxa" w:w="3408"/>
            <w:vAlign w:val="center"/>
          </w:tcPr>
          <w:p>
            <w:r/>
            <w:r>
              <w:rPr>
                <w:rFonts w:ascii="Aptos" w:hAnsi="Aptos"/>
                <w:b w:val="0"/>
                <w:sz w:val="16"/>
              </w:rPr>
              <w:t>Discount rate, return rate, incremental orders</w:t>
            </w:r>
          </w:p>
        </w:tc>
      </w:tr>
      <w:tr>
        <w:tc>
          <w:tcPr>
            <w:tcW w:type="dxa" w:w="3408"/>
            <w:vAlign w:val="center"/>
          </w:tcPr>
          <w:p>
            <w:r/>
            <w:r>
              <w:rPr>
                <w:rFonts w:ascii="Aptos" w:hAnsi="Aptos"/>
                <w:b w:val="0"/>
                <w:sz w:val="16"/>
              </w:rPr>
              <w:t>Returns</w:t>
            </w:r>
          </w:p>
        </w:tc>
        <w:tc>
          <w:tcPr>
            <w:tcW w:type="dxa" w:w="3408"/>
            <w:vAlign w:val="center"/>
          </w:tcPr>
          <w:p>
            <w:r/>
            <w:r>
              <w:rPr>
                <w:rFonts w:ascii="Aptos" w:hAnsi="Aptos"/>
                <w:b w:val="0"/>
                <w:sz w:val="16"/>
              </w:rPr>
              <w:t>Return loss per order</w:t>
            </w:r>
          </w:p>
        </w:tc>
        <w:tc>
          <w:tcPr>
            <w:tcW w:type="dxa" w:w="3408"/>
            <w:vAlign w:val="center"/>
          </w:tcPr>
          <w:p>
            <w:r/>
            <w:r>
              <w:rPr>
                <w:rFonts w:ascii="Aptos" w:hAnsi="Aptos"/>
                <w:b w:val="0"/>
                <w:sz w:val="16"/>
              </w:rPr>
              <w:t>Reason, product, category, channel</w:t>
            </w:r>
          </w:p>
        </w:tc>
      </w:tr>
      <w:tr>
        <w:tc>
          <w:tcPr>
            <w:tcW w:type="dxa" w:w="3408"/>
            <w:vAlign w:val="center"/>
          </w:tcPr>
          <w:p>
            <w:r/>
            <w:r>
              <w:rPr>
                <w:rFonts w:ascii="Aptos" w:hAnsi="Aptos"/>
                <w:b w:val="0"/>
                <w:sz w:val="16"/>
              </w:rPr>
              <w:t>Inventory</w:t>
            </w:r>
          </w:p>
        </w:tc>
        <w:tc>
          <w:tcPr>
            <w:tcW w:type="dxa" w:w="3408"/>
            <w:vAlign w:val="center"/>
          </w:tcPr>
          <w:p>
            <w:r/>
            <w:r>
              <w:rPr>
                <w:rFonts w:ascii="Aptos" w:hAnsi="Aptos"/>
                <w:b w:val="0"/>
                <w:sz w:val="16"/>
              </w:rPr>
              <w:t>Contribution-weighted availability</w:t>
            </w:r>
          </w:p>
        </w:tc>
        <w:tc>
          <w:tcPr>
            <w:tcW w:type="dxa" w:w="3408"/>
            <w:vAlign w:val="center"/>
          </w:tcPr>
          <w:p>
            <w:r/>
            <w:r>
              <w:rPr>
                <w:rFonts w:ascii="Aptos" w:hAnsi="Aptos"/>
                <w:b w:val="0"/>
                <w:sz w:val="16"/>
              </w:rPr>
              <w:t>Stockout units, lost sales value</w:t>
            </w:r>
          </w:p>
        </w:tc>
      </w:tr>
      <w:tr>
        <w:tc>
          <w:tcPr>
            <w:tcW w:type="dxa" w:w="3408"/>
            <w:vAlign w:val="center"/>
          </w:tcPr>
          <w:p>
            <w:r/>
            <w:r>
              <w:rPr>
                <w:rFonts w:ascii="Aptos" w:hAnsi="Aptos"/>
                <w:b w:val="0"/>
                <w:sz w:val="16"/>
              </w:rPr>
              <w:t>Fulfilment</w:t>
            </w:r>
          </w:p>
        </w:tc>
        <w:tc>
          <w:tcPr>
            <w:tcW w:type="dxa" w:w="3408"/>
            <w:vAlign w:val="center"/>
          </w:tcPr>
          <w:p>
            <w:r/>
            <w:r>
              <w:rPr>
                <w:rFonts w:ascii="Aptos" w:hAnsi="Aptos"/>
                <w:b w:val="0"/>
                <w:sz w:val="16"/>
              </w:rPr>
              <w:t>Contribution % by route</w:t>
            </w:r>
          </w:p>
        </w:tc>
        <w:tc>
          <w:tcPr>
            <w:tcW w:type="dxa" w:w="3408"/>
            <w:vAlign w:val="center"/>
          </w:tcPr>
          <w:p>
            <w:r/>
            <w:r>
              <w:rPr>
                <w:rFonts w:ascii="Aptos" w:hAnsi="Aptos"/>
                <w:b w:val="0"/>
                <w:sz w:val="16"/>
              </w:rPr>
              <w:t>Shipping recovery, fulfilment cost, stockout rate</w:t>
            </w:r>
          </w:p>
        </w:tc>
      </w:tr>
      <w:tr>
        <w:tc>
          <w:tcPr>
            <w:tcW w:type="dxa" w:w="3408"/>
            <w:vAlign w:val="center"/>
          </w:tcPr>
          <w:p>
            <w:r/>
            <w:r>
              <w:rPr>
                <w:rFonts w:ascii="Aptos" w:hAnsi="Aptos"/>
                <w:b w:val="0"/>
                <w:sz w:val="16"/>
              </w:rPr>
              <w:t>Customers</w:t>
            </w:r>
          </w:p>
        </w:tc>
        <w:tc>
          <w:tcPr>
            <w:tcW w:type="dxa" w:w="3408"/>
            <w:vAlign w:val="center"/>
          </w:tcPr>
          <w:p>
            <w:r/>
            <w:r>
              <w:rPr>
                <w:rFonts w:ascii="Aptos" w:hAnsi="Aptos"/>
                <w:b w:val="0"/>
                <w:sz w:val="16"/>
              </w:rPr>
              <w:t>Contribution per customer</w:t>
            </w:r>
          </w:p>
        </w:tc>
        <w:tc>
          <w:tcPr>
            <w:tcW w:type="dxa" w:w="3408"/>
            <w:vAlign w:val="center"/>
          </w:tcPr>
          <w:p>
            <w:r/>
            <w:r>
              <w:rPr>
                <w:rFonts w:ascii="Aptos" w:hAnsi="Aptos"/>
                <w:b w:val="0"/>
                <w:sz w:val="16"/>
              </w:rPr>
              <w:t>AOV, discount rate, return loss, retention/LTV</w:t>
            </w:r>
          </w:p>
        </w:tc>
      </w:tr>
    </w:tbl>
    <w:p>
      <w:pPr>
        <w:pStyle w:val="Heading1"/>
      </w:pPr>
      <w:r>
        <w:t>8. Final CEO Answer</w:t>
      </w:r>
    </w:p>
    <w:tbl>
      <w:tblPr>
        <w:tblW w:type="auto" w:w="0"/>
        <w:jc w:val="center"/>
        <w:tblLook w:firstColumn="1" w:firstRow="1" w:lastColumn="0" w:lastRow="0" w:noHBand="0" w:noVBand="1" w:val="04A0"/>
      </w:tblPr>
      <w:tblGrid>
        <w:gridCol w:w="10224"/>
      </w:tblGrid>
      <w:tr>
        <w:tc>
          <w:tcPr>
            <w:tcW w:type="dxa" w:w="10224"/>
            <w:shd w:fill="EEF5FA"/>
          </w:tcPr>
          <w:p>
            <w:r>
              <w:rPr>
                <w:b/>
                <w:sz w:val="21"/>
              </w:rPr>
              <w:t>WHAT</w:t>
              <w:br/>
            </w:r>
            <w:r>
              <w:rPr>
                <w:sz w:val="18"/>
              </w:rPr>
              <w:t>2025 delivered €404.1K of net sales but only €85.61K of contribution margin (21.19%).</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5FA"/>
          </w:tcPr>
          <w:p>
            <w:r>
              <w:rPr>
                <w:b/>
                <w:sz w:val="21"/>
              </w:rPr>
              <w:t>WHY</w:t>
              <w:br/>
            </w:r>
            <w:r>
              <w:rPr>
                <w:sz w:val="18"/>
              </w:rPr>
              <w:t>The dominant structural reason is the cost of generating the sales: product cost is approximately €241.85K, or 73.5% of variable costs. The problem is amplified by a high-volume, low-margin Electronics category, return losses concentrated in Fashion and Electronics, loss-making/deep-discount campaigns, increasing stockouts and weaker economics in selected fulfilment routes and customer segments.</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5FA"/>
          </w:tcPr>
          <w:p>
            <w:r>
              <w:rPr>
                <w:b/>
                <w:sz w:val="21"/>
              </w:rPr>
              <w:t>SO WHAT</w:t>
              <w:br/>
            </w:r>
            <w:r>
              <w:rPr>
                <w:sz w:val="18"/>
              </w:rPr>
              <w:t>The business does not have a demand problem alone; it has a revenue-quality and unit-economics problem. Increasing volume without correcting weak SKU economics, promotions and return drivers could increase sales without creating proportional contribution.</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5FA"/>
          </w:tcPr>
          <w:p>
            <w:r>
              <w:rPr>
                <w:b/>
                <w:sz w:val="21"/>
              </w:rPr>
              <w:t>WHAT NOW</w:t>
              <w:br/>
            </w:r>
            <w:r>
              <w:rPr>
                <w:sz w:val="18"/>
              </w:rPr>
              <w:t>Prioritise SKU economics first, then promotion governance and return reduction. In parallel, optimise inventory allocation and fulfilment economics, and introduce customer-level contribution measurement. Management should measure success by incremental contribution created, not simply additional sales.</w:t>
            </w:r>
          </w:p>
        </w:tc>
      </w:tr>
    </w:tbl>
    <w:p>
      <w:pPr>
        <w:spacing w:after="20"/>
      </w:pPr>
    </w:p>
    <w:p>
      <w:pPr>
        <w:pStyle w:val="Heading1"/>
      </w:pPr>
      <w:r>
        <w:t>Appendix — Analytical Definitions</w:t>
      </w:r>
    </w:p>
    <w:p>
      <w:r>
        <w:t>The data dictionary defines Contribution Revenue as Net Sales plus Shipping Revenue. Contribution Margin is Contribution Revenue less product and variable costs. ProductCost is the product cost net of recoverable returned inventory. OutboundShippingCost is allocated outbound shipping cost; ReturnShippingCost is reverse-logistics cost; FulfillmentCost covers pick, pack and provider cost; PaymentFee is channel/payment fee; AllocatedMarketingCost is acquisition/repeat marketing cost allocated to the line; and ReturnProcessingCost covers inspection and processing. LostSalesValue is an estimated discounted value of unfulfilled quantity and should not be presented as realised lost revenue.</w:t>
      </w:r>
    </w:p>
    <w:p/>
    <w:p>
      <w:pPr>
        <w:jc w:val="center"/>
      </w:pPr>
      <w:r>
        <w:rPr>
          <w:i/>
          <w:sz w:val="16"/>
        </w:rPr>
        <w:t>Prepared from the 2025 profitability, product, promotion, return, fulfilment, inventory and customer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