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Kalinga University — Website &amp; Admissions Analysis</w:t>
      </w:r>
    </w:p>
    <w:p>
      <w:pPr>
        <w:jc w:val="center"/>
      </w:pPr>
      <w:r>
        <w:rPr>
          <w:b/>
          <w:sz w:val="24"/>
        </w:rPr>
        <w:t>Admission • Fees • Courses • Internships • Placements</w:t>
      </w:r>
    </w:p>
    <w:p>
      <w:pPr>
        <w:jc w:val="center"/>
      </w:pPr>
      <w:r>
        <w:rPr>
          <w:i/>
        </w:rPr>
        <w:t>Prepared from the official Kalinga University website and indexed official pages | Review date: 19 September 2026</w:t>
      </w:r>
    </w:p>
    <w:p>
      <w:r>
        <w:t>Scope note: This report consolidates information visible on Kalinga University’s current public website. The university advertises 130+ programs, but some program/fee data is loaded dynamically. Where the live fee page exposed only a faculty table to the crawler, the report clearly labels that limitation rather than filling gaps with unverified figures.</w:t>
      </w:r>
    </w:p>
    <w:p>
      <w:pPr>
        <w:pStyle w:val="Heading1"/>
      </w:pPr>
      <w:r>
        <w:t>1. University Snapshot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sz w:val="17"/>
              </w:rPr>
              <w:t>University</w:t>
            </w:r>
          </w:p>
        </w:tc>
        <w:tc>
          <w:tcPr>
            <w:tcW w:type="dxa" w:w="5112"/>
            <w:vAlign w:val="center"/>
          </w:tcPr>
          <w:p>
            <w:r>
              <w:rPr>
                <w:sz w:val="17"/>
              </w:rPr>
              <w:t>Kalinga University</w:t>
            </w:r>
          </w:p>
        </w:tc>
      </w:tr>
      <w:tr>
        <w:tc>
          <w:tcPr>
            <w:tcW w:type="dxa" w:w="5112"/>
            <w:vAlign w:val="center"/>
          </w:tcPr>
          <w:p>
            <w:r>
              <w:rPr>
                <w:sz w:val="17"/>
              </w:rPr>
              <w:t>Location</w:t>
            </w:r>
          </w:p>
        </w:tc>
        <w:tc>
          <w:tcPr>
            <w:tcW w:type="dxa" w:w="5112"/>
            <w:vAlign w:val="center"/>
          </w:tcPr>
          <w:p>
            <w:r>
              <w:rPr>
                <w:sz w:val="17"/>
              </w:rPr>
              <w:t>Kotni, Near Mantralaya, Naya Raipur, Chhattisgarh, India</w:t>
            </w:r>
          </w:p>
        </w:tc>
      </w:tr>
      <w:tr>
        <w:tc>
          <w:tcPr>
            <w:tcW w:type="dxa" w:w="5112"/>
            <w:vAlign w:val="center"/>
          </w:tcPr>
          <w:p>
            <w:r>
              <w:rPr>
                <w:sz w:val="17"/>
              </w:rPr>
              <w:t>Current admission cycle shown</w:t>
            </w:r>
          </w:p>
        </w:tc>
        <w:tc>
          <w:tcPr>
            <w:tcW w:type="dxa" w:w="5112"/>
            <w:vAlign w:val="center"/>
          </w:tcPr>
          <w:p>
            <w:r>
              <w:rPr>
                <w:sz w:val="17"/>
              </w:rPr>
              <w:t>2026–27</w:t>
            </w:r>
          </w:p>
        </w:tc>
      </w:tr>
      <w:tr>
        <w:tc>
          <w:tcPr>
            <w:tcW w:type="dxa" w:w="5112"/>
            <w:vAlign w:val="center"/>
          </w:tcPr>
          <w:p>
            <w:r>
              <w:rPr>
                <w:sz w:val="17"/>
              </w:rPr>
              <w:t>Programs advertised</w:t>
            </w:r>
          </w:p>
        </w:tc>
        <w:tc>
          <w:tcPr>
            <w:tcW w:type="dxa" w:w="5112"/>
            <w:vAlign w:val="center"/>
          </w:tcPr>
          <w:p>
            <w:r>
              <w:rPr>
                <w:sz w:val="17"/>
              </w:rPr>
              <w:t>130+ undergraduate, postgraduate and doctoral programs</w:t>
            </w:r>
          </w:p>
        </w:tc>
      </w:tr>
      <w:tr>
        <w:tc>
          <w:tcPr>
            <w:tcW w:type="dxa" w:w="5112"/>
            <w:vAlign w:val="center"/>
          </w:tcPr>
          <w:p>
            <w:r>
              <w:rPr>
                <w:sz w:val="17"/>
              </w:rPr>
              <w:t>International students</w:t>
            </w:r>
          </w:p>
        </w:tc>
        <w:tc>
          <w:tcPr>
            <w:tcW w:type="dxa" w:w="5112"/>
            <w:vAlign w:val="center"/>
          </w:tcPr>
          <w:p>
            <w:r>
              <w:rPr>
                <w:sz w:val="17"/>
              </w:rPr>
              <w:t>650+ from 33+ countries (university website claim)</w:t>
            </w:r>
          </w:p>
        </w:tc>
      </w:tr>
      <w:tr>
        <w:tc>
          <w:tcPr>
            <w:tcW w:type="dxa" w:w="5112"/>
            <w:vAlign w:val="center"/>
          </w:tcPr>
          <w:p>
            <w:r>
              <w:rPr>
                <w:sz w:val="17"/>
              </w:rPr>
              <w:t>Recruitment partners</w:t>
            </w:r>
          </w:p>
        </w:tc>
        <w:tc>
          <w:tcPr>
            <w:tcW w:type="dxa" w:w="5112"/>
            <w:vAlign w:val="center"/>
          </w:tcPr>
          <w:p>
            <w:r>
              <w:rPr>
                <w:sz w:val="17"/>
              </w:rPr>
              <w:t>400+ (university website claim)</w:t>
            </w:r>
          </w:p>
        </w:tc>
      </w:tr>
      <w:tr>
        <w:tc>
          <w:tcPr>
            <w:tcW w:type="dxa" w:w="5112"/>
            <w:vAlign w:val="center"/>
          </w:tcPr>
          <w:p>
            <w:r>
              <w:rPr>
                <w:sz w:val="17"/>
              </w:rPr>
              <w:t>Research publications</w:t>
            </w:r>
          </w:p>
        </w:tc>
        <w:tc>
          <w:tcPr>
            <w:tcW w:type="dxa" w:w="5112"/>
            <w:vAlign w:val="center"/>
          </w:tcPr>
          <w:p>
            <w:r>
              <w:rPr>
                <w:sz w:val="17"/>
              </w:rPr>
              <w:t>7,200+ (university website claim)</w:t>
            </w:r>
          </w:p>
        </w:tc>
      </w:tr>
      <w:tr>
        <w:tc>
          <w:tcPr>
            <w:tcW w:type="dxa" w:w="5112"/>
            <w:vAlign w:val="center"/>
          </w:tcPr>
          <w:p>
            <w:r>
              <w:rPr>
                <w:sz w:val="17"/>
              </w:rPr>
              <w:t>Patents</w:t>
            </w:r>
          </w:p>
        </w:tc>
        <w:tc>
          <w:tcPr>
            <w:tcW w:type="dxa" w:w="5112"/>
            <w:vAlign w:val="center"/>
          </w:tcPr>
          <w:p>
            <w:r>
              <w:rPr>
                <w:sz w:val="17"/>
              </w:rPr>
              <w:t>562+ (university website claim)</w:t>
            </w:r>
          </w:p>
        </w:tc>
      </w:tr>
      <w:tr>
        <w:tc>
          <w:tcPr>
            <w:tcW w:type="dxa" w:w="5112"/>
            <w:vAlign w:val="center"/>
          </w:tcPr>
          <w:p>
            <w:r>
              <w:rPr>
                <w:sz w:val="17"/>
              </w:rPr>
              <w:t>MoUs</w:t>
            </w:r>
          </w:p>
        </w:tc>
        <w:tc>
          <w:tcPr>
            <w:tcW w:type="dxa" w:w="5112"/>
            <w:vAlign w:val="center"/>
          </w:tcPr>
          <w:p>
            <w:r>
              <w:rPr>
                <w:sz w:val="17"/>
              </w:rPr>
              <w:t>200+</w:t>
            </w:r>
          </w:p>
        </w:tc>
      </w:tr>
      <w:tr>
        <w:tc>
          <w:tcPr>
            <w:tcW w:type="dxa" w:w="5112"/>
            <w:vAlign w:val="center"/>
          </w:tcPr>
          <w:p>
            <w:r>
              <w:rPr>
                <w:sz w:val="17"/>
              </w:rPr>
              <w:t>Research / innovation facilities</w:t>
            </w:r>
          </w:p>
        </w:tc>
        <w:tc>
          <w:tcPr>
            <w:tcW w:type="dxa" w:w="5112"/>
            <w:vAlign w:val="center"/>
          </w:tcPr>
          <w:p>
            <w:r>
              <w:rPr>
                <w:sz w:val="17"/>
              </w:rPr>
              <w:t>100+ laboratories; 7 Centres of Excellence stated on homepage</w:t>
            </w:r>
          </w:p>
        </w:tc>
      </w:tr>
      <w:tr>
        <w:tc>
          <w:tcPr>
            <w:tcW w:type="dxa" w:w="5112"/>
            <w:vAlign w:val="center"/>
          </w:tcPr>
          <w:p>
            <w:r>
              <w:rPr>
                <w:sz w:val="17"/>
              </w:rPr>
              <w:t>Contact</w:t>
            </w:r>
          </w:p>
        </w:tc>
        <w:tc>
          <w:tcPr>
            <w:tcW w:type="dxa" w:w="5112"/>
            <w:vAlign w:val="center"/>
          </w:tcPr>
          <w:p>
            <w:r>
              <w:rPr>
                <w:sz w:val="17"/>
              </w:rPr>
              <w:t>+91-9907252100 | registrar@kalingauniversity.ac.in</w:t>
            </w:r>
          </w:p>
        </w:tc>
      </w:tr>
    </w:tbl>
    <w:p>
      <w:pPr>
        <w:pStyle w:val="Heading1"/>
      </w:pPr>
      <w:r>
        <w:t>2. Admission Process — 2026–27</w:t>
      </w:r>
    </w:p>
    <w:p>
      <w:pPr>
        <w:pStyle w:val="ListBullet"/>
      </w:pPr>
      <w:r>
        <w:t>The current website displays “Admission Open 2026–27” and directs applicants to the university admission portal.</w:t>
      </w:r>
    </w:p>
    <w:p>
      <w:pPr>
        <w:pStyle w:val="ListBullet"/>
      </w:pPr>
      <w:r>
        <w:t>Step 1: Visit the admissions portal.</w:t>
      </w:r>
    </w:p>
    <w:p>
      <w:pPr>
        <w:pStyle w:val="ListBullet"/>
      </w:pPr>
      <w:r>
        <w:t>Step 2: Register for the relevant entrance examination — KALSEE or KAL-MAT.</w:t>
      </w:r>
    </w:p>
    <w:p>
      <w:pPr>
        <w:pStyle w:val="ListBullet"/>
      </w:pPr>
      <w:r>
        <w:t>Step 3: Take the computer-based entrance exam and get shortlisted.</w:t>
      </w:r>
    </w:p>
    <w:p>
      <w:pPr>
        <w:pStyle w:val="ListBullet"/>
      </w:pPr>
      <w:r>
        <w:t>Step 4: Complete the online admission form after selection.</w:t>
      </w:r>
    </w:p>
    <w:p>
      <w:pPr>
        <w:pStyle w:val="ListBullet"/>
      </w:pPr>
      <w:r>
        <w:t>Step 5: Attach self-attested academic/document copies. The site lists mark sheets, original TC/CC/Migration/Gap documents where applicable, and proof of employment/self-employment for working applicants.</w:t>
      </w:r>
    </w:p>
    <w:p>
      <w:pPr>
        <w:pStyle w:val="ListBullet"/>
      </w:pPr>
      <w:r>
        <w:t>Step 6: Pay the program fee within 10 days of receiving the offer letter; online/offline payment options are stated.</w:t>
      </w:r>
    </w:p>
    <w:p>
      <w:pPr>
        <w:pStyle w:val="ListBullet"/>
      </w:pPr>
      <w:r>
        <w:t>The admissions FAQ states that BBA and MBA applicants take KAL-MAT, while applicants to other programs take KALSEE.</w:t>
      </w:r>
    </w:p>
    <w:p>
      <w:pPr>
        <w:pStyle w:val="Heading1"/>
      </w:pPr>
      <w:r>
        <w:t>3. Entrance Tests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sz w:val="17"/>
              </w:rPr>
              <w:t>Test</w:t>
            </w:r>
          </w:p>
        </w:tc>
        <w:tc>
          <w:tcPr>
            <w:tcW w:type="dxa" w:w="2556"/>
            <w:vAlign w:val="center"/>
          </w:tcPr>
          <w:p>
            <w:r>
              <w:rPr>
                <w:sz w:val="17"/>
              </w:rPr>
              <w:t>Applies to</w:t>
            </w:r>
          </w:p>
        </w:tc>
        <w:tc>
          <w:tcPr>
            <w:tcW w:type="dxa" w:w="2556"/>
            <w:vAlign w:val="center"/>
          </w:tcPr>
          <w:p>
            <w:r>
              <w:rPr>
                <w:sz w:val="17"/>
              </w:rPr>
              <w:t>Format / duration</w:t>
            </w:r>
          </w:p>
        </w:tc>
        <w:tc>
          <w:tcPr>
            <w:tcW w:type="dxa" w:w="2556"/>
            <w:vAlign w:val="center"/>
          </w:tcPr>
          <w:p>
            <w:r>
              <w:rPr>
                <w:sz w:val="17"/>
              </w:rPr>
              <w:t>Key published details</w:t>
            </w:r>
          </w:p>
        </w:tc>
      </w:tr>
      <w:tr>
        <w:tc>
          <w:tcPr>
            <w:tcW w:type="dxa" w:w="2556"/>
            <w:vAlign w:val="center"/>
          </w:tcPr>
          <w:p>
            <w:r>
              <w:rPr>
                <w:sz w:val="17"/>
              </w:rPr>
              <w:t>KALSEE</w:t>
            </w:r>
          </w:p>
        </w:tc>
        <w:tc>
          <w:tcPr>
            <w:tcW w:type="dxa" w:w="2556"/>
            <w:vAlign w:val="center"/>
          </w:tcPr>
          <w:p>
            <w:r>
              <w:rPr>
                <w:sz w:val="17"/>
              </w:rPr>
              <w:t>UG/PG programs other than BBA/MBA</w:t>
            </w:r>
          </w:p>
        </w:tc>
        <w:tc>
          <w:tcPr>
            <w:tcW w:type="dxa" w:w="2556"/>
            <w:vAlign w:val="center"/>
          </w:tcPr>
          <w:p>
            <w:r>
              <w:rPr>
                <w:sz w:val="17"/>
              </w:rPr>
              <w:t>MCQ; 90 min for UG/PG</w:t>
            </w:r>
          </w:p>
        </w:tc>
        <w:tc>
          <w:tcPr>
            <w:tcW w:type="dxa" w:w="2556"/>
            <w:vAlign w:val="center"/>
          </w:tcPr>
          <w:p>
            <w:r>
              <w:rPr>
                <w:sz w:val="17"/>
              </w:rPr>
              <w:t>90 questions; no negative marking; minimum 50% qualifying score; India/SAARC exam fee shown as ₹1,400 for UG/PG</w:t>
            </w:r>
          </w:p>
        </w:tc>
      </w:tr>
      <w:tr>
        <w:tc>
          <w:tcPr>
            <w:tcW w:type="dxa" w:w="2556"/>
            <w:vAlign w:val="center"/>
          </w:tcPr>
          <w:p>
            <w:r>
              <w:rPr>
                <w:sz w:val="17"/>
              </w:rPr>
              <w:t>KAL-MAT</w:t>
            </w:r>
          </w:p>
        </w:tc>
        <w:tc>
          <w:tcPr>
            <w:tcW w:type="dxa" w:w="2556"/>
            <w:vAlign w:val="center"/>
          </w:tcPr>
          <w:p>
            <w:r>
              <w:rPr>
                <w:sz w:val="17"/>
              </w:rPr>
              <w:t>BBA / MBA</w:t>
            </w:r>
          </w:p>
        </w:tc>
        <w:tc>
          <w:tcPr>
            <w:tcW w:type="dxa" w:w="2556"/>
            <w:vAlign w:val="center"/>
          </w:tcPr>
          <w:p>
            <w:r>
              <w:rPr>
                <w:sz w:val="17"/>
              </w:rPr>
              <w:t>Management aptitude test</w:t>
            </w:r>
          </w:p>
        </w:tc>
        <w:tc>
          <w:tcPr>
            <w:tcW w:type="dxa" w:w="2556"/>
            <w:vAlign w:val="center"/>
          </w:tcPr>
          <w:p>
            <w:r>
              <w:rPr>
                <w:sz w:val="17"/>
              </w:rPr>
              <w:t>Required according to the current admissions FAQ</w:t>
            </w:r>
          </w:p>
        </w:tc>
      </w:tr>
      <w:tr>
        <w:tc>
          <w:tcPr>
            <w:tcW w:type="dxa" w:w="2556"/>
            <w:vAlign w:val="center"/>
          </w:tcPr>
          <w:p>
            <w:r>
              <w:rPr>
                <w:sz w:val="17"/>
              </w:rPr>
              <w:t>Ph.D. entrance</w:t>
            </w:r>
          </w:p>
        </w:tc>
        <w:tc>
          <w:tcPr>
            <w:tcW w:type="dxa" w:w="2556"/>
            <w:vAlign w:val="center"/>
          </w:tcPr>
          <w:p>
            <w:r>
              <w:rPr>
                <w:sz w:val="17"/>
              </w:rPr>
              <w:t>Ph.D. applicants</w:t>
            </w:r>
          </w:p>
        </w:tc>
        <w:tc>
          <w:tcPr>
            <w:tcW w:type="dxa" w:w="2556"/>
            <w:vAlign w:val="center"/>
          </w:tcPr>
          <w:p>
            <w:r>
              <w:rPr>
                <w:sz w:val="17"/>
              </w:rPr>
              <w:t>MCQ; 120 min</w:t>
            </w:r>
          </w:p>
        </w:tc>
        <w:tc>
          <w:tcPr>
            <w:tcW w:type="dxa" w:w="2556"/>
            <w:vAlign w:val="center"/>
          </w:tcPr>
          <w:p>
            <w:r>
              <w:rPr>
                <w:sz w:val="17"/>
              </w:rPr>
              <w:t>100 questions; the KALSEE page states separate Ph.D. exam-fee information</w:t>
            </w:r>
          </w:p>
        </w:tc>
      </w:tr>
    </w:tbl>
    <w:p>
      <w:pPr>
        <w:pStyle w:val="Heading1"/>
      </w:pPr>
      <w:r>
        <w:t>4. Scholarships</w:t>
      </w:r>
    </w:p>
    <w:p>
      <w:pPr>
        <w:pStyle w:val="ListBullet"/>
      </w:pPr>
      <w:r>
        <w:t>The university advertises scholarships based on merit, entrance/competitive exam performance, sports, cultural achievements, siblings, social categories, social-media/knowledge dissemination, and innovation/research.</w:t>
      </w:r>
    </w:p>
    <w:p>
      <w:pPr>
        <w:pStyle w:val="ListBullet"/>
      </w:pPr>
      <w:r>
        <w:t>The homepage advertises scholarships of up to 100% under its stated categories; actual eligibility and award level are policy-dependent.</w:t>
      </w:r>
    </w:p>
    <w:p>
      <w:pPr>
        <w:pStyle w:val="ListBullet"/>
      </w:pPr>
      <w:r>
        <w:t>The website also states that more than ₹3 crore has been distributed in scholarships (university-reported figure).</w:t>
      </w:r>
    </w:p>
    <w:p>
      <w:pPr>
        <w:pStyle w:val="Heading1"/>
      </w:pPr>
      <w:r>
        <w:t>5. Courses / Academic Structure</w:t>
      </w:r>
    </w:p>
    <w:p>
      <w:r>
        <w:t>The current Departments page groups programs into these academic areas: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sz w:val="17"/>
              </w:rPr>
              <w:t>Faculty / area</w:t>
            </w:r>
          </w:p>
        </w:tc>
        <w:tc>
          <w:tcPr>
            <w:tcW w:type="dxa" w:w="5112"/>
            <w:vAlign w:val="center"/>
          </w:tcPr>
          <w:p>
            <w:r>
              <w:rPr>
                <w:sz w:val="17"/>
              </w:rPr>
              <w:t>Examples visible on the official site / sitemap</w:t>
            </w:r>
          </w:p>
        </w:tc>
      </w:tr>
      <w:tr>
        <w:tc>
          <w:tcPr>
            <w:tcW w:type="dxa" w:w="5112"/>
            <w:vAlign w:val="center"/>
          </w:tcPr>
          <w:p>
            <w:r>
              <w:rPr>
                <w:sz w:val="17"/>
              </w:rPr>
              <w:t>Arts &amp; Humanities</w:t>
            </w:r>
          </w:p>
        </w:tc>
        <w:tc>
          <w:tcPr>
            <w:tcW w:type="dxa" w:w="5112"/>
            <w:vAlign w:val="center"/>
          </w:tcPr>
          <w:p>
            <w:r>
              <w:rPr>
                <w:sz w:val="17"/>
              </w:rPr>
              <w:t>BA, MA, MSW/BSW, Journalism &amp; Mass Communication, Film Making and related programs</w:t>
            </w:r>
          </w:p>
        </w:tc>
      </w:tr>
      <w:tr>
        <w:tc>
          <w:tcPr>
            <w:tcW w:type="dxa" w:w="5112"/>
            <w:vAlign w:val="center"/>
          </w:tcPr>
          <w:p>
            <w:r>
              <w:rPr>
                <w:sz w:val="17"/>
              </w:rPr>
              <w:t>Commerce &amp; Management</w:t>
            </w:r>
          </w:p>
        </w:tc>
        <w:tc>
          <w:tcPr>
            <w:tcW w:type="dxa" w:w="5112"/>
            <w:vAlign w:val="center"/>
          </w:tcPr>
          <w:p>
            <w:r>
              <w:rPr>
                <w:sz w:val="17"/>
              </w:rPr>
              <w:t>BBA, B.Com, B.Com Honours variants, M.Com, MBA</w:t>
            </w:r>
          </w:p>
        </w:tc>
      </w:tr>
      <w:tr>
        <w:tc>
          <w:tcPr>
            <w:tcW w:type="dxa" w:w="5112"/>
            <w:vAlign w:val="center"/>
          </w:tcPr>
          <w:p>
            <w:r>
              <w:rPr>
                <w:sz w:val="17"/>
              </w:rPr>
              <w:t>Education</w:t>
            </w:r>
          </w:p>
        </w:tc>
        <w:tc>
          <w:tcPr>
            <w:tcW w:type="dxa" w:w="5112"/>
            <w:vAlign w:val="center"/>
          </w:tcPr>
          <w:p>
            <w:r>
              <w:rPr>
                <w:sz w:val="17"/>
              </w:rPr>
              <w:t>B.Ed, education / physical education programs</w:t>
            </w:r>
          </w:p>
        </w:tc>
      </w:tr>
      <w:tr>
        <w:tc>
          <w:tcPr>
            <w:tcW w:type="dxa" w:w="5112"/>
            <w:vAlign w:val="center"/>
          </w:tcPr>
          <w:p>
            <w:r>
              <w:rPr>
                <w:sz w:val="17"/>
              </w:rPr>
              <w:t>Hotel Management</w:t>
            </w:r>
          </w:p>
        </w:tc>
        <w:tc>
          <w:tcPr>
            <w:tcW w:type="dxa" w:w="5112"/>
            <w:vAlign w:val="center"/>
          </w:tcPr>
          <w:p>
            <w:r>
              <w:rPr>
                <w:sz w:val="17"/>
              </w:rPr>
              <w:t>Hospitality, tourism, food &amp; beverage, accommodation and event-management oriented programs</w:t>
            </w:r>
          </w:p>
        </w:tc>
      </w:tr>
      <w:tr>
        <w:tc>
          <w:tcPr>
            <w:tcW w:type="dxa" w:w="5112"/>
            <w:vAlign w:val="center"/>
          </w:tcPr>
          <w:p>
            <w:r>
              <w:rPr>
                <w:sz w:val="17"/>
              </w:rPr>
              <w:t>Information Technology</w:t>
            </w:r>
          </w:p>
        </w:tc>
        <w:tc>
          <w:tcPr>
            <w:tcW w:type="dxa" w:w="5112"/>
            <w:vAlign w:val="center"/>
          </w:tcPr>
          <w:p>
            <w:r>
              <w:rPr>
                <w:sz w:val="17"/>
              </w:rPr>
              <w:t>BCA, BCA in AI &amp; ML, BCA in Game Development with AI, MCA and related IT programs</w:t>
            </w:r>
          </w:p>
        </w:tc>
      </w:tr>
      <w:tr>
        <w:tc>
          <w:tcPr>
            <w:tcW w:type="dxa" w:w="5112"/>
            <w:vAlign w:val="center"/>
          </w:tcPr>
          <w:p>
            <w:r>
              <w:rPr>
                <w:sz w:val="17"/>
              </w:rPr>
              <w:t>Law</w:t>
            </w:r>
          </w:p>
        </w:tc>
        <w:tc>
          <w:tcPr>
            <w:tcW w:type="dxa" w:w="5112"/>
            <w:vAlign w:val="center"/>
          </w:tcPr>
          <w:p>
            <w:r>
              <w:rPr>
                <w:sz w:val="17"/>
              </w:rPr>
              <w:t>Bachelor of Law and integrated BBA+LLB; LLM and related legal programs</w:t>
            </w:r>
          </w:p>
        </w:tc>
      </w:tr>
      <w:tr>
        <w:tc>
          <w:tcPr>
            <w:tcW w:type="dxa" w:w="5112"/>
            <w:vAlign w:val="center"/>
          </w:tcPr>
          <w:p>
            <w:r>
              <w:rPr>
                <w:sz w:val="17"/>
              </w:rPr>
              <w:t>Pharmacy</w:t>
            </w:r>
          </w:p>
        </w:tc>
        <w:tc>
          <w:tcPr>
            <w:tcW w:type="dxa" w:w="5112"/>
            <w:vAlign w:val="center"/>
          </w:tcPr>
          <w:p>
            <w:r>
              <w:rPr>
                <w:sz w:val="17"/>
              </w:rPr>
              <w:t>B.Pharm, D.Pharm, Pharm.D and related pharmacy programs</w:t>
            </w:r>
          </w:p>
        </w:tc>
      </w:tr>
      <w:tr>
        <w:tc>
          <w:tcPr>
            <w:tcW w:type="dxa" w:w="5112"/>
            <w:vAlign w:val="center"/>
          </w:tcPr>
          <w:p>
            <w:r>
              <w:rPr>
                <w:sz w:val="17"/>
              </w:rPr>
              <w:t>Science</w:t>
            </w:r>
          </w:p>
        </w:tc>
        <w:tc>
          <w:tcPr>
            <w:tcW w:type="dxa" w:w="5112"/>
            <w:vAlign w:val="center"/>
          </w:tcPr>
          <w:p>
            <w:r>
              <w:rPr>
                <w:sz w:val="17"/>
              </w:rPr>
              <w:t>B.Sc/M.Sc programs including Biochemistry, Bioinformatics, Biotechnology, Forensic Science, Microbiology, PCM and Zoology-Botany-Chemistry</w:t>
            </w:r>
          </w:p>
        </w:tc>
      </w:tr>
      <w:tr>
        <w:tc>
          <w:tcPr>
            <w:tcW w:type="dxa" w:w="5112"/>
            <w:vAlign w:val="center"/>
          </w:tcPr>
          <w:p>
            <w:r>
              <w:rPr>
                <w:sz w:val="17"/>
              </w:rPr>
              <w:t>Technology / Engineering</w:t>
            </w:r>
          </w:p>
        </w:tc>
        <w:tc>
          <w:tcPr>
            <w:tcW w:type="dxa" w:w="5112"/>
            <w:vAlign w:val="center"/>
          </w:tcPr>
          <w:p>
            <w:r>
              <w:rPr>
                <w:sz w:val="17"/>
              </w:rPr>
              <w:t>B.Tech in CSE, CSE AI &amp; ML, Civil, Electrical, Mechanical and related engineering/diploma programs</w:t>
            </w:r>
          </w:p>
        </w:tc>
      </w:tr>
      <w:tr>
        <w:tc>
          <w:tcPr>
            <w:tcW w:type="dxa" w:w="5112"/>
            <w:vAlign w:val="center"/>
          </w:tcPr>
          <w:p>
            <w:r>
              <w:rPr>
                <w:sz w:val="17"/>
              </w:rPr>
              <w:t>Ph.D.</w:t>
            </w:r>
          </w:p>
        </w:tc>
        <w:tc>
          <w:tcPr>
            <w:tcW w:type="dxa" w:w="5112"/>
            <w:vAlign w:val="center"/>
          </w:tcPr>
          <w:p>
            <w:r>
              <w:rPr>
                <w:sz w:val="17"/>
              </w:rPr>
              <w:t>Doctoral programs across multiple disciplines</w:t>
            </w:r>
          </w:p>
        </w:tc>
      </w:tr>
    </w:tbl>
    <w:p>
      <w:r>
        <w:t>Important: The university states that it offers 130+ career-driven programs. The list above is a structured overview, not a complete 130+ course inventory.</w:t>
      </w:r>
    </w:p>
    <w:p>
      <w:pPr>
        <w:pStyle w:val="Heading1"/>
      </w:pPr>
      <w:r>
        <w:t>6. 2026–27 Fee Information Available on the Official Fee Page</w:t>
      </w:r>
    </w:p>
    <w:p>
      <w:r>
        <w:t>The live official fee page labels the fee structure as 2026–27 and breaks charges into tuition, prospectus/KALSEE fee, refundable caution money, uniform fee where applicable, examination fees, and total fees. The public page currently exposes the Arts &amp; Humanities table directly; other faculty tabs are dynamically loaded.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sz w:val="17"/>
              </w:rPr>
              <w:t>Program</w:t>
            </w:r>
          </w:p>
        </w:tc>
        <w:tc>
          <w:tcPr>
            <w:tcW w:type="dxa" w:w="1704"/>
            <w:vAlign w:val="center"/>
          </w:tcPr>
          <w:p>
            <w:r>
              <w:rPr>
                <w:sz w:val="17"/>
              </w:rPr>
              <w:t>Duration</w:t>
            </w:r>
          </w:p>
        </w:tc>
        <w:tc>
          <w:tcPr>
            <w:tcW w:type="dxa" w:w="1704"/>
            <w:vAlign w:val="center"/>
          </w:tcPr>
          <w:p>
            <w:r>
              <w:rPr>
                <w:sz w:val="17"/>
              </w:rPr>
              <w:t>Tuition / semester</w:t>
            </w:r>
          </w:p>
        </w:tc>
        <w:tc>
          <w:tcPr>
            <w:tcW w:type="dxa" w:w="1704"/>
            <w:vAlign w:val="center"/>
          </w:tcPr>
          <w:p>
            <w:r>
              <w:rPr>
                <w:sz w:val="17"/>
              </w:rPr>
              <w:t>One-time fees</w:t>
            </w:r>
          </w:p>
        </w:tc>
        <w:tc>
          <w:tcPr>
            <w:tcW w:type="dxa" w:w="1704"/>
            <w:vAlign w:val="center"/>
          </w:tcPr>
          <w:p>
            <w:r>
              <w:rPr>
                <w:sz w:val="17"/>
              </w:rPr>
              <w:t>Exam fee / sem</w:t>
            </w:r>
          </w:p>
        </w:tc>
        <w:tc>
          <w:tcPr>
            <w:tcW w:type="dxa" w:w="1704"/>
            <w:vAlign w:val="center"/>
          </w:tcPr>
          <w:p>
            <w:r>
              <w:rPr>
                <w:sz w:val="17"/>
              </w:rPr>
              <w:t>Published total</w:t>
            </w:r>
          </w:p>
        </w:tc>
      </w:tr>
      <w:tr>
        <w:tc>
          <w:tcPr>
            <w:tcW w:type="dxa" w:w="1704"/>
            <w:vAlign w:val="center"/>
          </w:tcPr>
          <w:p>
            <w:r>
              <w:rPr>
                <w:sz w:val="17"/>
              </w:rPr>
              <w:t>BA in Liberal Arts with PSC Coaching</w:t>
            </w:r>
          </w:p>
        </w:tc>
        <w:tc>
          <w:tcPr>
            <w:tcW w:type="dxa" w:w="1704"/>
            <w:vAlign w:val="center"/>
          </w:tcPr>
          <w:p>
            <w:r>
              <w:rPr>
                <w:sz w:val="17"/>
              </w:rPr>
              <w:t>3 years / 6 sem</w:t>
            </w:r>
          </w:p>
        </w:tc>
        <w:tc>
          <w:tcPr>
            <w:tcW w:type="dxa" w:w="1704"/>
            <w:vAlign w:val="center"/>
          </w:tcPr>
          <w:p>
            <w:r>
              <w:rPr>
                <w:sz w:val="17"/>
              </w:rPr>
              <w:t>₹50,000</w:t>
            </w:r>
          </w:p>
        </w:tc>
        <w:tc>
          <w:tcPr>
            <w:tcW w:type="dxa" w:w="1704"/>
            <w:vAlign w:val="center"/>
          </w:tcPr>
          <w:p>
            <w:r>
              <w:rPr>
                <w:sz w:val="17"/>
              </w:rPr>
              <w:t>Prospectus/KALSEE ₹1,400; caution ₹3,000; uniform ₹4,950</w:t>
            </w:r>
          </w:p>
        </w:tc>
        <w:tc>
          <w:tcPr>
            <w:tcW w:type="dxa" w:w="1704"/>
            <w:vAlign w:val="center"/>
          </w:tcPr>
          <w:p>
            <w:r>
              <w:rPr>
                <w:sz w:val="17"/>
              </w:rPr>
              <w:t>₹1,500</w:t>
            </w:r>
          </w:p>
        </w:tc>
        <w:tc>
          <w:tcPr>
            <w:tcW w:type="dxa" w:w="1704"/>
            <w:vAlign w:val="center"/>
          </w:tcPr>
          <w:p>
            <w:r>
              <w:rPr>
                <w:sz w:val="17"/>
              </w:rPr>
              <w:t>₹3,18,350</w:t>
            </w:r>
          </w:p>
        </w:tc>
      </w:tr>
      <w:tr>
        <w:tc>
          <w:tcPr>
            <w:tcW w:type="dxa" w:w="1704"/>
            <w:vAlign w:val="center"/>
          </w:tcPr>
          <w:p>
            <w:r>
              <w:rPr>
                <w:sz w:val="17"/>
              </w:rPr>
              <w:t>MA</w:t>
            </w:r>
          </w:p>
        </w:tc>
        <w:tc>
          <w:tcPr>
            <w:tcW w:type="dxa" w:w="1704"/>
            <w:vAlign w:val="center"/>
          </w:tcPr>
          <w:p>
            <w:r>
              <w:rPr>
                <w:sz w:val="17"/>
              </w:rPr>
              <w:t>2 years / 4 sem</w:t>
            </w:r>
          </w:p>
        </w:tc>
        <w:tc>
          <w:tcPr>
            <w:tcW w:type="dxa" w:w="1704"/>
            <w:vAlign w:val="center"/>
          </w:tcPr>
          <w:p>
            <w:r>
              <w:rPr>
                <w:sz w:val="17"/>
              </w:rPr>
              <w:t>₹17,500</w:t>
            </w:r>
          </w:p>
        </w:tc>
        <w:tc>
          <w:tcPr>
            <w:tcW w:type="dxa" w:w="1704"/>
            <w:vAlign w:val="center"/>
          </w:tcPr>
          <w:p>
            <w:r>
              <w:rPr>
                <w:sz w:val="17"/>
              </w:rPr>
              <w:t>Prospectus/KALSEE ₹1,400; caution ₹3,000</w:t>
            </w:r>
          </w:p>
        </w:tc>
        <w:tc>
          <w:tcPr>
            <w:tcW w:type="dxa" w:w="1704"/>
            <w:vAlign w:val="center"/>
          </w:tcPr>
          <w:p>
            <w:r>
              <w:rPr>
                <w:sz w:val="17"/>
              </w:rPr>
              <w:t>₹1,500</w:t>
            </w:r>
          </w:p>
        </w:tc>
        <w:tc>
          <w:tcPr>
            <w:tcW w:type="dxa" w:w="1704"/>
            <w:vAlign w:val="center"/>
          </w:tcPr>
          <w:p>
            <w:r>
              <w:rPr>
                <w:sz w:val="17"/>
              </w:rPr>
              <w:t>₹80,400</w:t>
            </w:r>
          </w:p>
        </w:tc>
      </w:tr>
      <w:tr>
        <w:tc>
          <w:tcPr>
            <w:tcW w:type="dxa" w:w="1704"/>
            <w:vAlign w:val="center"/>
          </w:tcPr>
          <w:p>
            <w:r>
              <w:rPr>
                <w:sz w:val="17"/>
              </w:rPr>
              <w:t>BA (PSC Coaching)</w:t>
            </w:r>
          </w:p>
        </w:tc>
        <w:tc>
          <w:tcPr>
            <w:tcW w:type="dxa" w:w="1704"/>
            <w:vAlign w:val="center"/>
          </w:tcPr>
          <w:p>
            <w:r>
              <w:rPr>
                <w:sz w:val="17"/>
              </w:rPr>
              <w:t>3 years / 6 sem</w:t>
            </w:r>
          </w:p>
        </w:tc>
        <w:tc>
          <w:tcPr>
            <w:tcW w:type="dxa" w:w="1704"/>
            <w:vAlign w:val="center"/>
          </w:tcPr>
          <w:p>
            <w:r>
              <w:rPr>
                <w:sz w:val="17"/>
              </w:rPr>
              <w:t>₹25,000</w:t>
            </w:r>
          </w:p>
        </w:tc>
        <w:tc>
          <w:tcPr>
            <w:tcW w:type="dxa" w:w="1704"/>
            <w:vAlign w:val="center"/>
          </w:tcPr>
          <w:p>
            <w:r>
              <w:rPr>
                <w:sz w:val="17"/>
              </w:rPr>
              <w:t>Prospectus/KALSEE ₹1,400; caution ₹3,000; uniform ₹4,950</w:t>
            </w:r>
          </w:p>
        </w:tc>
        <w:tc>
          <w:tcPr>
            <w:tcW w:type="dxa" w:w="1704"/>
            <w:vAlign w:val="center"/>
          </w:tcPr>
          <w:p>
            <w:r>
              <w:rPr>
                <w:sz w:val="17"/>
              </w:rPr>
              <w:t>₹1,500</w:t>
            </w:r>
          </w:p>
        </w:tc>
        <w:tc>
          <w:tcPr>
            <w:tcW w:type="dxa" w:w="1704"/>
            <w:vAlign w:val="center"/>
          </w:tcPr>
          <w:p>
            <w:r>
              <w:rPr>
                <w:sz w:val="17"/>
              </w:rPr>
              <w:t>₹1,68,350</w:t>
            </w:r>
          </w:p>
        </w:tc>
      </w:tr>
      <w:tr>
        <w:tc>
          <w:tcPr>
            <w:tcW w:type="dxa" w:w="1704"/>
            <w:vAlign w:val="center"/>
          </w:tcPr>
          <w:p>
            <w:r>
              <w:rPr>
                <w:sz w:val="17"/>
              </w:rPr>
              <w:t>MSW</w:t>
            </w:r>
          </w:p>
        </w:tc>
        <w:tc>
          <w:tcPr>
            <w:tcW w:type="dxa" w:w="1704"/>
            <w:vAlign w:val="center"/>
          </w:tcPr>
          <w:p>
            <w:r>
              <w:rPr>
                <w:sz w:val="17"/>
              </w:rPr>
              <w:t>2 years / 4 sem</w:t>
            </w:r>
          </w:p>
        </w:tc>
        <w:tc>
          <w:tcPr>
            <w:tcW w:type="dxa" w:w="1704"/>
            <w:vAlign w:val="center"/>
          </w:tcPr>
          <w:p>
            <w:r>
              <w:rPr>
                <w:sz w:val="17"/>
              </w:rPr>
              <w:t>₹17,500</w:t>
            </w:r>
          </w:p>
        </w:tc>
        <w:tc>
          <w:tcPr>
            <w:tcW w:type="dxa" w:w="1704"/>
            <w:vAlign w:val="center"/>
          </w:tcPr>
          <w:p>
            <w:r>
              <w:rPr>
                <w:sz w:val="17"/>
              </w:rPr>
              <w:t>Prospectus/KALSEE ₹1,400; caution ₹3,000</w:t>
            </w:r>
          </w:p>
        </w:tc>
        <w:tc>
          <w:tcPr>
            <w:tcW w:type="dxa" w:w="1704"/>
            <w:vAlign w:val="center"/>
          </w:tcPr>
          <w:p>
            <w:r>
              <w:rPr>
                <w:sz w:val="17"/>
              </w:rPr>
              <w:t>₹1,500</w:t>
            </w:r>
          </w:p>
        </w:tc>
        <w:tc>
          <w:tcPr>
            <w:tcW w:type="dxa" w:w="1704"/>
            <w:vAlign w:val="center"/>
          </w:tcPr>
          <w:p>
            <w:r>
              <w:rPr>
                <w:sz w:val="17"/>
              </w:rPr>
              <w:t>₹80,400</w:t>
            </w:r>
          </w:p>
        </w:tc>
      </w:tr>
      <w:tr>
        <w:tc>
          <w:tcPr>
            <w:tcW w:type="dxa" w:w="1704"/>
            <w:vAlign w:val="center"/>
          </w:tcPr>
          <w:p>
            <w:r>
              <w:rPr>
                <w:sz w:val="17"/>
              </w:rPr>
              <w:t>BSW with PSC Coaching</w:t>
            </w:r>
          </w:p>
        </w:tc>
        <w:tc>
          <w:tcPr>
            <w:tcW w:type="dxa" w:w="1704"/>
            <w:vAlign w:val="center"/>
          </w:tcPr>
          <w:p>
            <w:r>
              <w:rPr>
                <w:sz w:val="17"/>
              </w:rPr>
              <w:t>3 years / 6 sem</w:t>
            </w:r>
          </w:p>
        </w:tc>
        <w:tc>
          <w:tcPr>
            <w:tcW w:type="dxa" w:w="1704"/>
            <w:vAlign w:val="center"/>
          </w:tcPr>
          <w:p>
            <w:r>
              <w:rPr>
                <w:sz w:val="17"/>
              </w:rPr>
              <w:t>₹20,000</w:t>
            </w:r>
          </w:p>
        </w:tc>
        <w:tc>
          <w:tcPr>
            <w:tcW w:type="dxa" w:w="1704"/>
            <w:vAlign w:val="center"/>
          </w:tcPr>
          <w:p>
            <w:r>
              <w:rPr>
                <w:sz w:val="17"/>
              </w:rPr>
              <w:t>Prospectus/KALSEE ₹1,400; caution ₹3,000</w:t>
            </w:r>
          </w:p>
        </w:tc>
        <w:tc>
          <w:tcPr>
            <w:tcW w:type="dxa" w:w="1704"/>
            <w:vAlign w:val="center"/>
          </w:tcPr>
          <w:p>
            <w:r>
              <w:rPr>
                <w:sz w:val="17"/>
              </w:rPr>
              <w:t>₹1,500</w:t>
            </w:r>
          </w:p>
        </w:tc>
        <w:tc>
          <w:tcPr>
            <w:tcW w:type="dxa" w:w="1704"/>
            <w:vAlign w:val="center"/>
          </w:tcPr>
          <w:p>
            <w:r>
              <w:rPr>
                <w:sz w:val="17"/>
              </w:rPr>
              <w:t>₹1,33,400</w:t>
            </w:r>
          </w:p>
        </w:tc>
      </w:tr>
      <w:tr>
        <w:tc>
          <w:tcPr>
            <w:tcW w:type="dxa" w:w="1704"/>
            <w:vAlign w:val="center"/>
          </w:tcPr>
          <w:p>
            <w:r>
              <w:rPr>
                <w:sz w:val="17"/>
              </w:rPr>
              <w:t>MA (J &amp; MC) with PSC Coaching</w:t>
            </w:r>
          </w:p>
        </w:tc>
        <w:tc>
          <w:tcPr>
            <w:tcW w:type="dxa" w:w="1704"/>
            <w:vAlign w:val="center"/>
          </w:tcPr>
          <w:p>
            <w:r>
              <w:rPr>
                <w:sz w:val="17"/>
              </w:rPr>
              <w:t>2 years / 4 sem</w:t>
            </w:r>
          </w:p>
        </w:tc>
        <w:tc>
          <w:tcPr>
            <w:tcW w:type="dxa" w:w="1704"/>
            <w:vAlign w:val="center"/>
          </w:tcPr>
          <w:p>
            <w:r>
              <w:rPr>
                <w:sz w:val="17"/>
              </w:rPr>
              <w:t>₹27,500</w:t>
            </w:r>
          </w:p>
        </w:tc>
        <w:tc>
          <w:tcPr>
            <w:tcW w:type="dxa" w:w="1704"/>
            <w:vAlign w:val="center"/>
          </w:tcPr>
          <w:p>
            <w:r>
              <w:rPr>
                <w:sz w:val="17"/>
              </w:rPr>
              <w:t>Prospectus/KALSEE ₹1,400; caution ₹3,000</w:t>
            </w:r>
          </w:p>
        </w:tc>
        <w:tc>
          <w:tcPr>
            <w:tcW w:type="dxa" w:w="1704"/>
            <w:vAlign w:val="center"/>
          </w:tcPr>
          <w:p>
            <w:r>
              <w:rPr>
                <w:sz w:val="17"/>
              </w:rPr>
              <w:t>₹1,500</w:t>
            </w:r>
          </w:p>
        </w:tc>
        <w:tc>
          <w:tcPr>
            <w:tcW w:type="dxa" w:w="1704"/>
            <w:vAlign w:val="center"/>
          </w:tcPr>
          <w:p>
            <w:r>
              <w:rPr>
                <w:sz w:val="17"/>
              </w:rPr>
              <w:t>₹1,20,400</w:t>
            </w:r>
          </w:p>
        </w:tc>
      </w:tr>
      <w:tr>
        <w:tc>
          <w:tcPr>
            <w:tcW w:type="dxa" w:w="1704"/>
            <w:vAlign w:val="center"/>
          </w:tcPr>
          <w:p>
            <w:r>
              <w:rPr>
                <w:sz w:val="17"/>
              </w:rPr>
              <w:t>BA (J &amp; MC) with PSC Coaching</w:t>
            </w:r>
          </w:p>
        </w:tc>
        <w:tc>
          <w:tcPr>
            <w:tcW w:type="dxa" w:w="1704"/>
            <w:vAlign w:val="center"/>
          </w:tcPr>
          <w:p>
            <w:r>
              <w:rPr>
                <w:sz w:val="17"/>
              </w:rPr>
              <w:t>3 years / 6 sem</w:t>
            </w:r>
          </w:p>
        </w:tc>
        <w:tc>
          <w:tcPr>
            <w:tcW w:type="dxa" w:w="1704"/>
            <w:vAlign w:val="center"/>
          </w:tcPr>
          <w:p>
            <w:r>
              <w:rPr>
                <w:sz w:val="17"/>
              </w:rPr>
              <w:t>₹27,500</w:t>
            </w:r>
          </w:p>
        </w:tc>
        <w:tc>
          <w:tcPr>
            <w:tcW w:type="dxa" w:w="1704"/>
            <w:vAlign w:val="center"/>
          </w:tcPr>
          <w:p>
            <w:r>
              <w:rPr>
                <w:sz w:val="17"/>
              </w:rPr>
              <w:t>Prospectus/KALSEE ₹1,400; caution ₹3,000; uniform ₹4,950</w:t>
            </w:r>
          </w:p>
        </w:tc>
        <w:tc>
          <w:tcPr>
            <w:tcW w:type="dxa" w:w="1704"/>
            <w:vAlign w:val="center"/>
          </w:tcPr>
          <w:p>
            <w:r>
              <w:rPr>
                <w:sz w:val="17"/>
              </w:rPr>
              <w:t>₹1,500</w:t>
            </w:r>
          </w:p>
        </w:tc>
        <w:tc>
          <w:tcPr>
            <w:tcW w:type="dxa" w:w="1704"/>
            <w:vAlign w:val="center"/>
          </w:tcPr>
          <w:p>
            <w:r>
              <w:rPr>
                <w:sz w:val="17"/>
              </w:rPr>
              <w:t>₹1,78,400</w:t>
            </w:r>
          </w:p>
        </w:tc>
      </w:tr>
      <w:tr>
        <w:tc>
          <w:tcPr>
            <w:tcW w:type="dxa" w:w="1704"/>
            <w:vAlign w:val="center"/>
          </w:tcPr>
          <w:p>
            <w:r>
              <w:rPr>
                <w:sz w:val="17"/>
              </w:rPr>
              <w:t>MA Film Making</w:t>
            </w:r>
          </w:p>
        </w:tc>
        <w:tc>
          <w:tcPr>
            <w:tcW w:type="dxa" w:w="1704"/>
            <w:vAlign w:val="center"/>
          </w:tcPr>
          <w:p>
            <w:r>
              <w:rPr>
                <w:sz w:val="17"/>
              </w:rPr>
              <w:t>2 years / 4 sem</w:t>
            </w:r>
          </w:p>
        </w:tc>
        <w:tc>
          <w:tcPr>
            <w:tcW w:type="dxa" w:w="1704"/>
            <w:vAlign w:val="center"/>
          </w:tcPr>
          <w:p>
            <w:r>
              <w:rPr>
                <w:sz w:val="17"/>
              </w:rPr>
              <w:t>₹40,000</w:t>
            </w:r>
          </w:p>
        </w:tc>
        <w:tc>
          <w:tcPr>
            <w:tcW w:type="dxa" w:w="1704"/>
            <w:vAlign w:val="center"/>
          </w:tcPr>
          <w:p>
            <w:r>
              <w:rPr>
                <w:sz w:val="17"/>
              </w:rPr>
              <w:t>Prospectus/KALSEE ₹1,400; caution ₹3,000</w:t>
            </w:r>
          </w:p>
        </w:tc>
        <w:tc>
          <w:tcPr>
            <w:tcW w:type="dxa" w:w="1704"/>
            <w:vAlign w:val="center"/>
          </w:tcPr>
          <w:p>
            <w:r>
              <w:rPr>
                <w:sz w:val="17"/>
              </w:rPr>
              <w:t>₹1,500</w:t>
            </w:r>
          </w:p>
        </w:tc>
        <w:tc>
          <w:tcPr>
            <w:tcW w:type="dxa" w:w="1704"/>
            <w:vAlign w:val="center"/>
          </w:tcPr>
          <w:p>
            <w:r>
              <w:rPr>
                <w:sz w:val="17"/>
              </w:rPr>
              <w:t>₹1,70,400</w:t>
            </w:r>
          </w:p>
        </w:tc>
      </w:tr>
    </w:tbl>
    <w:p>
      <w:r>
        <w:t>Fee caution: Do not assume the Arts fee figures apply to other faculties. For a final fee quote, use the relevant faculty tab on the university’s live fee page or confirm with admissions. The website also offers separate sections for hostel fees, scholarships, transport and value additions.</w:t>
      </w:r>
    </w:p>
    <w:p>
      <w:pPr>
        <w:pStyle w:val="Heading1"/>
      </w:pPr>
      <w:r>
        <w:t>7. Internships &amp; Industry Exposure</w:t>
      </w:r>
    </w:p>
    <w:p>
      <w:pPr>
        <w:pStyle w:val="ListBullet"/>
      </w:pPr>
      <w:r>
        <w:t>The university explicitly promotes on-campus and off-campus internship opportunities and industrial visits.</w:t>
      </w:r>
    </w:p>
    <w:p>
      <w:pPr>
        <w:pStyle w:val="ListBullet"/>
      </w:pPr>
      <w:r>
        <w:t>The placement page states that internship programs are intended to give students practical exposure before graduation.</w:t>
      </w:r>
    </w:p>
    <w:p>
      <w:pPr>
        <w:pStyle w:val="ListBullet"/>
      </w:pPr>
      <w:r>
        <w:t>Examples displayed by the university include: Aditi Singh (BBA) — Aditya Birla Fashion Retail Ltd.; Maryam Nasiru (B.Pharm) — Artemis Hospital, Gurugram; Nayna Chakhiyar (B.Com B&amp;F) — Tata Steel Ltd.; Trupti Ranjan Sahu (MBA) — Aditya Birla Group.</w:t>
      </w:r>
    </w:p>
    <w:p>
      <w:pPr>
        <w:pStyle w:val="ListBullet"/>
      </w:pPr>
      <w:r>
        <w:t>The university also describes a 6-month internship/industry-exposure initiative in AI, Machine Learning, Robotics, Drones and Python through a Centre of Excellence collaboration.</w:t>
      </w:r>
    </w:p>
    <w:p>
      <w:pPr>
        <w:pStyle w:val="ListBullet"/>
      </w:pPr>
      <w:r>
        <w:t>Other industry-exposure mechanisms include industrial visits, workshops, masterclasses, guest lectures, hackathons, ideathons and value-added certification courses.</w:t>
      </w:r>
    </w:p>
    <w:p>
      <w:pPr>
        <w:pStyle w:val="ListBullet"/>
      </w:pPr>
      <w:r>
        <w:t>The Registrar’s page states that KU provides internships from the first year; this is a university statement and may vary by program/availability.</w:t>
      </w:r>
    </w:p>
    <w:p>
      <w:pPr>
        <w:pStyle w:val="Heading1"/>
      </w:pPr>
      <w:r>
        <w:t>8. Placements</w:t>
      </w:r>
    </w:p>
    <w:p>
      <w:pPr>
        <w:pStyle w:val="ListBullet"/>
      </w:pPr>
      <w:r>
        <w:t>The university’s current homepage reports 400+ recruitment partners.</w:t>
      </w:r>
    </w:p>
    <w:p>
      <w:pPr>
        <w:pStyle w:val="ListBullet"/>
      </w:pPr>
      <w:r>
        <w:t>The Training &amp; Placements page describes a Career and Corporate Centre, campus drives, career counselling, soft-skills development, language-lab support, bridge/remedial courses and competitive-exam coaching.</w:t>
      </w:r>
    </w:p>
    <w:p>
      <w:pPr>
        <w:pStyle w:val="ListBullet"/>
      </w:pPr>
      <w:r>
        <w:t>Campus Recruitment Training (CRT) is described as a 100-hour cycle covering attitude and aptitude, with mock interviews, role plays, case studies, practice and feedback.</w:t>
      </w:r>
    </w:p>
    <w:p>
      <w:pPr>
        <w:pStyle w:val="ListBullet"/>
      </w:pPr>
      <w:r>
        <w:t>The university highlights individual placement examples: LLM student Ankita Shrivastava — Cornerstone ₹33 LPA; B.Tech student Shubham Sharma — Oracle ₹29.98 LPA; MCA student Bidyasagar Pradhan — Ascendion ₹17.50 LPA; B.Sc. Fashion Designing student Khushi Rai — Air India ₹12 LPA.</w:t>
      </w:r>
    </w:p>
    <w:p>
      <w:pPr>
        <w:pStyle w:val="ListBullet"/>
      </w:pPr>
      <w:r>
        <w:t>Recruiters/logos shown on the current placement page include Infosys, Capgemini, Airtel, Amul, Cipla, Wipro, Adani, Bosch, Biocon, Apollo, Axis, Cognizant, Suzuki, Himalaya, Decathlon, Godrej, Genpact, HDFC, Jio, Justdial, LG, Nestle, SAIL, Tata Motors, Tech Mahindra, UltraTech, Cisco and IBM, among others.</w:t>
      </w:r>
    </w:p>
    <w:p>
      <w:pPr>
        <w:pStyle w:val="ListBullet"/>
      </w:pPr>
      <w:r>
        <w:t>The current placement page has dynamic counters that did not expose numeric values for average/highest package in the page text captured for this report. Individual package examples above are directly visible.</w:t>
      </w:r>
    </w:p>
    <w:p>
      <w:pPr>
        <w:pStyle w:val="Heading1"/>
      </w:pPr>
      <w:r>
        <w:t>9. Placement Data — How to Interpret It</w:t>
      </w:r>
    </w:p>
    <w:p>
      <w:pPr>
        <w:pStyle w:val="ListBullet"/>
      </w:pPr>
      <w:r>
        <w:t>The published ₹33 LPA and ₹29.98 LPA figures are individual/high-achiever examples, not a typical package for every student.</w:t>
      </w:r>
    </w:p>
    <w:p>
      <w:pPr>
        <w:pStyle w:val="ListBullet"/>
      </w:pPr>
      <w:r>
        <w:t>The university’s current public page does not provide a clean, static course-wise placement rate and median/average salary table in the captured content.</w:t>
      </w:r>
    </w:p>
    <w:p>
      <w:pPr>
        <w:pStyle w:val="ListBullet"/>
      </w:pPr>
      <w:r>
        <w:t>An older university career-development brochure indexed on the site reports 121 recruiters, 1,100+ students placed, 73.82% placement achieved, ₹10 LPA highest domestic CTC and ₹2.30 LPA average CTC for the period covered by that older document. These figures should not be treated as current 2026–27 outcomes.</w:t>
      </w:r>
    </w:p>
    <w:p>
      <w:pPr>
        <w:pStyle w:val="Heading1"/>
      </w:pPr>
      <w:r>
        <w:t>10. Website / Information Quality Notes</w:t>
      </w:r>
    </w:p>
    <w:p>
      <w:pPr>
        <w:pStyle w:val="ListBullet"/>
      </w:pPr>
      <w:r>
        <w:t>The site is actively presenting 2026–27 admissions and updated course pages.</w:t>
      </w:r>
    </w:p>
    <w:p>
      <w:pPr>
        <w:pStyle w:val="ListBullet"/>
      </w:pPr>
      <w:r>
        <w:t>Several pages use dynamic loading, especially course and fee sections; this limits direct extraction of the full catalog and all faculty-wise fees from a static crawl.</w:t>
      </w:r>
    </w:p>
    <w:p>
      <w:pPr>
        <w:pStyle w:val="ListBullet"/>
      </w:pPr>
      <w:r>
        <w:t>There is a timing inconsistency worth noting: the fee page includes a “Phase 4 Admission Closes on 30th June 2026” message, while the homepage and admissions pages still show “Admission Open 2026–27.” Since the review date is 19 September 2026, applicants should confirm the actual intake status directly with the university.</w:t>
      </w:r>
    </w:p>
    <w:p>
      <w:pPr>
        <w:pStyle w:val="ListBullet"/>
      </w:pPr>
      <w:r>
        <w:t>The website makes many institutional claims (program count, recruiters, research outputs, scholarships, placement examples). This report presents them as university-reported claims rather than independently audited results.</w:t>
      </w:r>
    </w:p>
    <w:p>
      <w:pPr>
        <w:pStyle w:val="Heading1"/>
      </w:pPr>
      <w:r>
        <w:t>11. Practical Applicant Checklist</w:t>
      </w:r>
    </w:p>
    <w:p>
      <w:pPr>
        <w:pStyle w:val="ListBullet"/>
      </w:pPr>
      <w:r>
        <w:t>Shortlist the exact program and specialization.</w:t>
      </w:r>
    </w:p>
    <w:p>
      <w:pPr>
        <w:pStyle w:val="ListBullet"/>
      </w:pPr>
      <w:r>
        <w:t>Check the program-specific eligibility and whether KALSEE or KAL-MAT applies.</w:t>
      </w:r>
    </w:p>
    <w:p>
      <w:pPr>
        <w:pStyle w:val="ListBullet"/>
      </w:pPr>
      <w:r>
        <w:t>Confirm the current 2026–27 application/closing date with admissions.</w:t>
      </w:r>
    </w:p>
    <w:p>
      <w:pPr>
        <w:pStyle w:val="ListBullet"/>
      </w:pPr>
      <w:r>
        <w:t>Request the complete written fee breakup, including hostel/transport if required.</w:t>
      </w:r>
    </w:p>
    <w:p>
      <w:pPr>
        <w:pStyle w:val="ListBullet"/>
      </w:pPr>
      <w:r>
        <w:t>Ask for the latest program-specific placement report: eligible students, placed students, median/average CTC, highest CTC, and recruiter list.</w:t>
      </w:r>
    </w:p>
    <w:p>
      <w:pPr>
        <w:pStyle w:val="ListBullet"/>
      </w:pPr>
      <w:r>
        <w:t>Ask whether internship is compulsory, paid/unpaid, guaranteed/assisted, and whether it is available from the first year for the chosen program.</w:t>
      </w:r>
    </w:p>
    <w:p>
      <w:pPr>
        <w:pStyle w:val="ListBullet"/>
      </w:pPr>
      <w:r>
        <w:t>Verify scholarship eligibility and whether the award applies to tuition only or other components.</w:t>
      </w:r>
    </w:p>
    <w:p>
      <w:pPr>
        <w:pStyle w:val="Heading1"/>
      </w:pPr>
      <w:r>
        <w:t>12. Official Sources</w:t>
      </w:r>
    </w:p>
    <w:p>
      <w:r>
        <w:rPr>
          <w:b/>
        </w:rPr>
        <w:t xml:space="preserve">Official homepage: </w:t>
      </w:r>
      <w:r>
        <w:t>https://kalingauniversity.ac.in/</w:t>
      </w:r>
    </w:p>
    <w:p>
      <w:r>
        <w:rPr>
          <w:b/>
        </w:rPr>
        <w:t xml:space="preserve">Admissions: </w:t>
      </w:r>
      <w:r>
        <w:t>https://kalingauniversity.ac.in/admissions?studyLevel=UG</w:t>
      </w:r>
    </w:p>
    <w:p>
      <w:r>
        <w:rPr>
          <w:b/>
        </w:rPr>
        <w:t xml:space="preserve">Admission procedure: </w:t>
      </w:r>
      <w:r>
        <w:t>https://kalingauniversity.ac.in/admission-procedure</w:t>
      </w:r>
    </w:p>
    <w:p>
      <w:r>
        <w:rPr>
          <w:b/>
        </w:rPr>
        <w:t xml:space="preserve">KALSEE: </w:t>
      </w:r>
      <w:r>
        <w:t>https://kalingauniversity.ac.in/kalsee</w:t>
      </w:r>
    </w:p>
    <w:p>
      <w:r>
        <w:rPr>
          <w:b/>
        </w:rPr>
        <w:t xml:space="preserve">Fee structure: </w:t>
      </w:r>
      <w:r>
        <w:t>https://kalingauniversity.ac.in/ku-fees</w:t>
      </w:r>
    </w:p>
    <w:p>
      <w:r>
        <w:rPr>
          <w:b/>
        </w:rPr>
        <w:t xml:space="preserve">Departments / faculties: </w:t>
      </w:r>
      <w:r>
        <w:t>https://kalingauniversity.ac.in/departments</w:t>
      </w:r>
    </w:p>
    <w:p>
      <w:r>
        <w:rPr>
          <w:b/>
        </w:rPr>
        <w:t xml:space="preserve">Training &amp; placements: </w:t>
      </w:r>
      <w:r>
        <w:t>https://kalingauniversity.ac.in/training-and-placements</w:t>
      </w:r>
    </w:p>
    <w:p>
      <w:r>
        <w:rPr>
          <w:b/>
        </w:rPr>
        <w:t xml:space="preserve">Campus life / internships: </w:t>
      </w:r>
      <w:r>
        <w:t>https://kalingauniversity.ac.in/campuslife</w:t>
      </w:r>
    </w:p>
    <w:p>
      <w:r>
        <w:rPr>
          <w:b/>
        </w:rPr>
        <w:t xml:space="preserve">Sitemap / course inventory: </w:t>
      </w:r>
      <w:r>
        <w:t>https://kalingauniversity.ac.in/html-sitemap</w:t>
      </w:r>
    </w:p>
    <w:p>
      <w:pPr>
        <w:pStyle w:val="Heading1"/>
      </w:pPr>
      <w:r>
        <w:t>Executive Summary</w:t>
      </w:r>
    </w:p>
    <w:p>
      <w:r>
        <w:t>Kalinga University’s website presents a broad private-university offering with 130+ programs across arts, commerce/management, education, hotel management, IT, law, pharmacy, science, technology and doctoral studies. The 2026–27 admission flow centers on KALSEE/KAL-MAT, followed by online admission formalities and fee payment. Internship and placement support is prominently integrated into the university’s career proposition, with 400+ recruitment partners claimed and several high-package individual examples published. The main data limitation is that the live fee/course pages rely on dynamic loading, so the document avoids inventing missing figures and instead records the directly visible 2026–27 fee table plus the broader program structure.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