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80059" w14:textId="2B5C63B6" w:rsidR="007C5836" w:rsidRPr="00707DE9" w:rsidRDefault="00707DE9" w:rsidP="00707DE9">
      <w:pPr>
        <w:pStyle w:val="Heading2"/>
        <w:spacing w:after="240"/>
        <w:rPr>
          <w:rFonts w:ascii="Aptos Display" w:hAnsi="Aptos Display" w:cstheme="majorHAnsi"/>
        </w:rPr>
      </w:pPr>
      <w:r w:rsidRPr="00665DBB">
        <w:rPr>
          <w:rFonts w:ascii="Aptos Display" w:hAnsi="Aptos Display" w:cstheme="majorHAnsi"/>
        </w:rPr>
        <w:t xml:space="preserve">Case </w:t>
      </w:r>
      <w:r>
        <w:rPr>
          <w:rFonts w:ascii="Aptos Display" w:hAnsi="Aptos Display" w:cstheme="majorHAnsi"/>
        </w:rPr>
        <w:t>4</w:t>
      </w:r>
      <w:r w:rsidR="007C5836" w:rsidRPr="007C5836">
        <w:t xml:space="preserve"> Drug Efficacy – A Real-World Perspective</w:t>
      </w:r>
    </w:p>
    <w:p w14:paraId="38B1FCFF" w14:textId="7EA38644" w:rsidR="007C5836" w:rsidRPr="007C5836" w:rsidRDefault="007C5836" w:rsidP="007C5836">
      <w:pPr>
        <w:rPr>
          <w:sz w:val="32"/>
          <w:szCs w:val="32"/>
        </w:rPr>
      </w:pPr>
      <w:r w:rsidRPr="007C5836">
        <w:rPr>
          <w:sz w:val="32"/>
          <w:szCs w:val="32"/>
        </w:rPr>
        <w:t>Introduction and Background</w:t>
      </w:r>
      <w:r>
        <w:rPr>
          <w:sz w:val="32"/>
          <w:szCs w:val="32"/>
        </w:rPr>
        <w:t>:</w:t>
      </w:r>
    </w:p>
    <w:p w14:paraId="1F4391FD" w14:textId="77777777" w:rsidR="007C5836" w:rsidRPr="007C5836" w:rsidRDefault="007C5836" w:rsidP="007C5836">
      <w:pPr>
        <w:jc w:val="both"/>
      </w:pPr>
      <w:proofErr w:type="spellStart"/>
      <w:r w:rsidRPr="007C5836">
        <w:rPr>
          <w:b/>
          <w:bCs/>
        </w:rPr>
        <w:t>LifeMed</w:t>
      </w:r>
      <w:proofErr w:type="spellEnd"/>
      <w:r w:rsidRPr="007C5836">
        <w:rPr>
          <w:b/>
          <w:bCs/>
        </w:rPr>
        <w:t xml:space="preserve"> Research</w:t>
      </w:r>
      <w:r w:rsidRPr="007C5836">
        <w:t xml:space="preserve">, a globally renowned pharmaceutical company, prides itself on its dedication to innovation and improving patient outcomes. At the helm of </w:t>
      </w:r>
      <w:proofErr w:type="spellStart"/>
      <w:r w:rsidRPr="007C5836">
        <w:t>LifeMed</w:t>
      </w:r>
      <w:proofErr w:type="spellEnd"/>
      <w:r w:rsidRPr="007C5836">
        <w:t xml:space="preserve"> Research are Dr. Eleanor Hayes, the visionary CEO, and Mr. Daniel Carter, the seasoned Chief Medical Officer (CMO), known for his strategic acumen and commitment to evidence-based decision-making.</w:t>
      </w:r>
    </w:p>
    <w:p w14:paraId="7E445818" w14:textId="77777777" w:rsidR="007C5836" w:rsidRPr="007C5836" w:rsidRDefault="007C5836" w:rsidP="007C5836">
      <w:pPr>
        <w:jc w:val="both"/>
      </w:pPr>
      <w:proofErr w:type="spellStart"/>
      <w:r w:rsidRPr="007C5836">
        <w:t>LifeMed</w:t>
      </w:r>
      <w:proofErr w:type="spellEnd"/>
      <w:r w:rsidRPr="007C5836">
        <w:t xml:space="preserve"> has been a pioneer in the development of asthma treatments, providing critical solutions to millions of patients worldwide. However, recent discussions within the company have highlighted a pressing challenge: the need for robust real-world evidence (RWE) to support drug efficacy beyond clinical trials.</w:t>
      </w:r>
    </w:p>
    <w:p w14:paraId="1EF491F9" w14:textId="77777777" w:rsidR="007C5836" w:rsidRPr="007C5836" w:rsidRDefault="007C5836" w:rsidP="007C5836">
      <w:pPr>
        <w:jc w:val="both"/>
      </w:pPr>
      <w:r w:rsidRPr="007C5836">
        <w:t>Dr. Hayes and Mr. Carter recognize that while randomized clinical trials (RCTs) are the gold standard for evaluating drug efficacy, they often fail to capture the complexities and variations seen in real-world patient populations. In clinical practice, patients are not assigned to treatment groups randomly, as in RCTs. Instead, treatment decisions are influenced by factors such as patient preferences, prior conditions, and physician recommendations. This non-randomized assignment introduces the risk of selection bias, making it challenging to compare the outcomes of different treatments accurately.</w:t>
      </w:r>
    </w:p>
    <w:p w14:paraId="2790BDAC" w14:textId="77777777" w:rsidR="007C5836" w:rsidRPr="007C5836" w:rsidRDefault="007C5836" w:rsidP="007C5836">
      <w:pPr>
        <w:jc w:val="both"/>
      </w:pPr>
      <w:r w:rsidRPr="007C5836">
        <w:t xml:space="preserve">One of </w:t>
      </w:r>
      <w:proofErr w:type="spellStart"/>
      <w:r w:rsidRPr="007C5836">
        <w:t>LifeMed’s</w:t>
      </w:r>
      <w:proofErr w:type="spellEnd"/>
      <w:r w:rsidRPr="007C5836">
        <w:t xml:space="preserve"> flagship asthma treatments, </w:t>
      </w:r>
      <w:proofErr w:type="spellStart"/>
      <w:r w:rsidRPr="007C5836">
        <w:rPr>
          <w:b/>
          <w:bCs/>
        </w:rPr>
        <w:t>Drug_D</w:t>
      </w:r>
      <w:proofErr w:type="spellEnd"/>
      <w:r w:rsidRPr="007C5836">
        <w:t xml:space="preserve">, has been widely prescribed, but it is now facing competition from a new alternative, </w:t>
      </w:r>
      <w:proofErr w:type="spellStart"/>
      <w:r w:rsidRPr="007C5836">
        <w:rPr>
          <w:b/>
          <w:bCs/>
        </w:rPr>
        <w:t>Drug_S</w:t>
      </w:r>
      <w:proofErr w:type="spellEnd"/>
      <w:r w:rsidRPr="007C5836">
        <w:t xml:space="preserve">. To better understand the efficacy of these drugs in real-world settings, </w:t>
      </w:r>
      <w:proofErr w:type="spellStart"/>
      <w:r w:rsidRPr="007C5836">
        <w:t>LifeMed</w:t>
      </w:r>
      <w:proofErr w:type="spellEnd"/>
      <w:r w:rsidRPr="007C5836">
        <w:t xml:space="preserve"> has launched a groundbreaking study. This initiative is spearheaded by </w:t>
      </w:r>
      <w:r w:rsidRPr="007C5836">
        <w:rPr>
          <w:b/>
          <w:bCs/>
        </w:rPr>
        <w:t>Dr. Olivia Bennett</w:t>
      </w:r>
      <w:r w:rsidRPr="007C5836">
        <w:t>, the company's Chief Data Scientist, who brings a wealth of expertise in advanced analytics and causal inference.</w:t>
      </w:r>
    </w:p>
    <w:p w14:paraId="76C93C82" w14:textId="732BCE4A" w:rsidR="007C5836" w:rsidRPr="007C5836" w:rsidRDefault="007C5836" w:rsidP="007C5836">
      <w:pPr>
        <w:jc w:val="both"/>
      </w:pPr>
      <w:r w:rsidRPr="007C5836">
        <w:t>In their first meeting to discuss this study, Dr. Hayes set the tone:</w:t>
      </w:r>
      <w:r>
        <w:t xml:space="preserve"> </w:t>
      </w:r>
      <w:r w:rsidRPr="007C5836">
        <w:rPr>
          <w:i/>
          <w:iCs/>
        </w:rPr>
        <w:t xml:space="preserve">"Olivia, the data we collect from this study is critical. It must reflect real-world usage and account for the complexities of patient selection. We need to provide the medical community with unbiased, actionable insights into the efficacy of </w:t>
      </w:r>
      <w:proofErr w:type="spellStart"/>
      <w:r w:rsidRPr="007C5836">
        <w:rPr>
          <w:i/>
          <w:iCs/>
        </w:rPr>
        <w:t>Drug_D</w:t>
      </w:r>
      <w:proofErr w:type="spellEnd"/>
      <w:r w:rsidRPr="007C5836">
        <w:rPr>
          <w:i/>
          <w:iCs/>
        </w:rPr>
        <w:t xml:space="preserve"> and </w:t>
      </w:r>
      <w:proofErr w:type="spellStart"/>
      <w:r w:rsidRPr="007C5836">
        <w:rPr>
          <w:i/>
          <w:iCs/>
        </w:rPr>
        <w:t>Drug_S</w:t>
      </w:r>
      <w:proofErr w:type="spellEnd"/>
      <w:r w:rsidRPr="007C5836">
        <w:rPr>
          <w:i/>
          <w:iCs/>
        </w:rPr>
        <w:t>."</w:t>
      </w:r>
    </w:p>
    <w:p w14:paraId="21233CF1" w14:textId="49CE9837" w:rsidR="007C5836" w:rsidRPr="007C5836" w:rsidRDefault="007C5836" w:rsidP="007C5836">
      <w:pPr>
        <w:jc w:val="both"/>
      </w:pPr>
      <w:r w:rsidRPr="007C5836">
        <w:t>Dr. Bennett nodded, listening intently as Mr. Carter added:</w:t>
      </w:r>
      <w:r>
        <w:t xml:space="preserve"> </w:t>
      </w:r>
      <w:r w:rsidRPr="007C5836">
        <w:rPr>
          <w:i/>
          <w:iCs/>
        </w:rPr>
        <w:t xml:space="preserve">"We’re looking at patients who were newly initiated on either </w:t>
      </w:r>
      <w:proofErr w:type="spellStart"/>
      <w:r w:rsidRPr="007C5836">
        <w:rPr>
          <w:i/>
          <w:iCs/>
        </w:rPr>
        <w:t>Drug_D</w:t>
      </w:r>
      <w:proofErr w:type="spellEnd"/>
      <w:r w:rsidRPr="007C5836">
        <w:rPr>
          <w:i/>
          <w:iCs/>
        </w:rPr>
        <w:t xml:space="preserve"> or </w:t>
      </w:r>
      <w:proofErr w:type="spellStart"/>
      <w:r w:rsidRPr="007C5836">
        <w:rPr>
          <w:i/>
          <w:iCs/>
        </w:rPr>
        <w:t>Drug_S</w:t>
      </w:r>
      <w:proofErr w:type="spellEnd"/>
      <w:r w:rsidRPr="007C5836">
        <w:rPr>
          <w:i/>
          <w:iCs/>
        </w:rPr>
        <w:t xml:space="preserve"> after having used other asthma treatments previously. The goal is to determine which drug reduces the number of asthma exacerbations in the first year of use. However, given the non-randomized nature of the data, we can’t assume zero selection bias. That’s where your expertise will be crucial."</w:t>
      </w:r>
    </w:p>
    <w:p w14:paraId="5FE5AAD0" w14:textId="7928DF9A" w:rsidR="007C5836" w:rsidRPr="007C5836" w:rsidRDefault="007C5836" w:rsidP="007C5836">
      <w:pPr>
        <w:jc w:val="both"/>
      </w:pPr>
      <w:r w:rsidRPr="007C5836">
        <w:t>Dr. Bennett replied confidently:</w:t>
      </w:r>
      <w:r>
        <w:t xml:space="preserve"> </w:t>
      </w:r>
      <w:r w:rsidRPr="007C5836">
        <w:rPr>
          <w:i/>
          <w:iCs/>
        </w:rPr>
        <w:t>"I understand. We’ll employ advanced statistical techniques to adjust for potential biases and ensure that our comparisons are as fair and accurate as possible."</w:t>
      </w:r>
    </w:p>
    <w:p w14:paraId="33E01E41" w14:textId="77777777" w:rsidR="007C5836" w:rsidRPr="007C5836" w:rsidRDefault="007C5836" w:rsidP="007C5836">
      <w:pPr>
        <w:jc w:val="both"/>
      </w:pPr>
      <w:r w:rsidRPr="007C5836">
        <w:t xml:space="preserve">Dr. Bennett and her team began by assembling a real-world dataset of asthma patients who initiated treatment with either </w:t>
      </w:r>
      <w:proofErr w:type="spellStart"/>
      <w:r w:rsidRPr="007C5836">
        <w:t>Drug_D</w:t>
      </w:r>
      <w:proofErr w:type="spellEnd"/>
      <w:r w:rsidRPr="007C5836">
        <w:t xml:space="preserve"> or </w:t>
      </w:r>
      <w:proofErr w:type="spellStart"/>
      <w:r w:rsidRPr="007C5836">
        <w:t>Drug_S</w:t>
      </w:r>
      <w:proofErr w:type="spellEnd"/>
      <w:r w:rsidRPr="007C5836">
        <w:t>. The dataset was rich with pre-treatment and post-treatment information, allowing for a comprehensive analysis of patient characteristics and outcomes.</w:t>
      </w:r>
    </w:p>
    <w:p w14:paraId="05A547B3" w14:textId="2DBE8922" w:rsidR="007C5836" w:rsidRDefault="007C5836" w:rsidP="00B05D3B">
      <w:pPr>
        <w:jc w:val="both"/>
      </w:pPr>
    </w:p>
    <w:p w14:paraId="09633584" w14:textId="77777777" w:rsidR="0006600B" w:rsidRDefault="0006600B" w:rsidP="00B05D3B">
      <w:pPr>
        <w:jc w:val="both"/>
      </w:pPr>
    </w:p>
    <w:p w14:paraId="4932D1AD" w14:textId="77777777" w:rsidR="0006600B" w:rsidRPr="007C5836" w:rsidRDefault="0006600B" w:rsidP="00B05D3B">
      <w:pPr>
        <w:jc w:val="both"/>
      </w:pPr>
    </w:p>
    <w:p w14:paraId="30BC5F37" w14:textId="77777777" w:rsidR="007C5836" w:rsidRPr="007C5836" w:rsidRDefault="007C5836" w:rsidP="00B05D3B">
      <w:pPr>
        <w:jc w:val="both"/>
        <w:rPr>
          <w:sz w:val="32"/>
          <w:szCs w:val="32"/>
        </w:rPr>
      </w:pPr>
      <w:r w:rsidRPr="007C5836">
        <w:rPr>
          <w:sz w:val="32"/>
          <w:szCs w:val="32"/>
        </w:rPr>
        <w:t>The Challenge</w:t>
      </w:r>
    </w:p>
    <w:p w14:paraId="459D9BDE" w14:textId="77777777" w:rsidR="007C5836" w:rsidRPr="007C5836" w:rsidRDefault="007C5836" w:rsidP="00B05D3B">
      <w:pPr>
        <w:jc w:val="both"/>
      </w:pPr>
      <w:r w:rsidRPr="007C5836">
        <w:rPr>
          <w:b/>
          <w:bCs/>
        </w:rPr>
        <w:t>Objective</w:t>
      </w:r>
      <w:r w:rsidRPr="007C5836">
        <w:t>:</w:t>
      </w:r>
      <w:r w:rsidRPr="007C5836">
        <w:br/>
        <w:t xml:space="preserve">To evaluate the real-world efficacy of </w:t>
      </w:r>
      <w:proofErr w:type="spellStart"/>
      <w:r w:rsidRPr="007C5836">
        <w:t>Drug_D</w:t>
      </w:r>
      <w:proofErr w:type="spellEnd"/>
      <w:r w:rsidRPr="007C5836">
        <w:t xml:space="preserve"> and </w:t>
      </w:r>
      <w:proofErr w:type="spellStart"/>
      <w:r w:rsidRPr="007C5836">
        <w:t>Drug_S</w:t>
      </w:r>
      <w:proofErr w:type="spellEnd"/>
      <w:r w:rsidRPr="007C5836">
        <w:t xml:space="preserve"> by </w:t>
      </w:r>
      <w:proofErr w:type="spellStart"/>
      <w:r w:rsidRPr="007C5836">
        <w:t>analyzing</w:t>
      </w:r>
      <w:proofErr w:type="spellEnd"/>
      <w:r w:rsidRPr="007C5836">
        <w:t xml:space="preserve"> patient outcomes while accounting for selection bias. The goal is to provide unbiased, actionable insights into which drug is more effective in reducing asthma exacerbations in the first year of treatment.</w:t>
      </w:r>
    </w:p>
    <w:p w14:paraId="4A717A26" w14:textId="77777777" w:rsidR="007C5836" w:rsidRPr="007C5836" w:rsidRDefault="007C5836" w:rsidP="00B05D3B">
      <w:pPr>
        <w:jc w:val="both"/>
      </w:pPr>
      <w:r w:rsidRPr="007C5836">
        <w:rPr>
          <w:b/>
          <w:bCs/>
        </w:rPr>
        <w:t>Scope</w:t>
      </w:r>
      <w:r w:rsidRPr="007C5836">
        <w:t>:</w:t>
      </w:r>
    </w:p>
    <w:p w14:paraId="7E67F039" w14:textId="77777777" w:rsidR="007C5836" w:rsidRPr="007C5836" w:rsidRDefault="007C5836" w:rsidP="00B05D3B">
      <w:pPr>
        <w:numPr>
          <w:ilvl w:val="0"/>
          <w:numId w:val="3"/>
        </w:numPr>
        <w:jc w:val="both"/>
      </w:pPr>
      <w:r w:rsidRPr="007C5836">
        <w:t>Address the challenges of non-randomized treatment assignment.</w:t>
      </w:r>
    </w:p>
    <w:p w14:paraId="7477B48A" w14:textId="77777777" w:rsidR="007C5836" w:rsidRPr="007C5836" w:rsidRDefault="007C5836" w:rsidP="00B05D3B">
      <w:pPr>
        <w:numPr>
          <w:ilvl w:val="0"/>
          <w:numId w:val="3"/>
        </w:numPr>
        <w:jc w:val="both"/>
      </w:pPr>
      <w:proofErr w:type="spellStart"/>
      <w:r w:rsidRPr="007C5836">
        <w:t>Analyze</w:t>
      </w:r>
      <w:proofErr w:type="spellEnd"/>
      <w:r w:rsidRPr="007C5836">
        <w:t xml:space="preserve"> key pre-treatment variables to adjust for selection bias.</w:t>
      </w:r>
    </w:p>
    <w:p w14:paraId="2F55F976" w14:textId="77777777" w:rsidR="007C5836" w:rsidRPr="007C5836" w:rsidRDefault="007C5836" w:rsidP="00B05D3B">
      <w:pPr>
        <w:numPr>
          <w:ilvl w:val="0"/>
          <w:numId w:val="3"/>
        </w:numPr>
        <w:jc w:val="both"/>
      </w:pPr>
      <w:r w:rsidRPr="007C5836">
        <w:t xml:space="preserve">Compare the post-treatment outcomes of </w:t>
      </w:r>
      <w:proofErr w:type="spellStart"/>
      <w:r w:rsidRPr="007C5836">
        <w:t>Drug_D</w:t>
      </w:r>
      <w:proofErr w:type="spellEnd"/>
      <w:r w:rsidRPr="007C5836">
        <w:t xml:space="preserve"> and </w:t>
      </w:r>
      <w:proofErr w:type="spellStart"/>
      <w:r w:rsidRPr="007C5836">
        <w:t>Drug_S</w:t>
      </w:r>
      <w:proofErr w:type="spellEnd"/>
      <w:r w:rsidRPr="007C5836">
        <w:t xml:space="preserve"> fairly and accurately.</w:t>
      </w:r>
    </w:p>
    <w:p w14:paraId="6833F1B2" w14:textId="77777777" w:rsidR="000D2462" w:rsidRDefault="007C5836" w:rsidP="000D2462">
      <w:pPr>
        <w:jc w:val="both"/>
      </w:pPr>
      <w:r w:rsidRPr="007C5836">
        <w:rPr>
          <w:b/>
          <w:bCs/>
        </w:rPr>
        <w:t>Expected Output</w:t>
      </w:r>
      <w:r w:rsidRPr="007C5836">
        <w:t>:</w:t>
      </w:r>
    </w:p>
    <w:p w14:paraId="64CDFC91" w14:textId="328D0CE1" w:rsidR="007C5836" w:rsidRPr="007C5836" w:rsidRDefault="007C5836" w:rsidP="000D2462">
      <w:pPr>
        <w:pStyle w:val="ListParagraph"/>
        <w:numPr>
          <w:ilvl w:val="0"/>
          <w:numId w:val="8"/>
        </w:numPr>
        <w:jc w:val="both"/>
      </w:pPr>
      <w:r w:rsidRPr="007C5836">
        <w:t xml:space="preserve">A detailed comparison of the efficacy of </w:t>
      </w:r>
      <w:proofErr w:type="spellStart"/>
      <w:r w:rsidRPr="007C5836">
        <w:t>Drug_D</w:t>
      </w:r>
      <w:proofErr w:type="spellEnd"/>
      <w:r w:rsidRPr="007C5836">
        <w:t xml:space="preserve"> and </w:t>
      </w:r>
      <w:proofErr w:type="spellStart"/>
      <w:r w:rsidRPr="007C5836">
        <w:t>Drug_S</w:t>
      </w:r>
      <w:proofErr w:type="spellEnd"/>
      <w:r w:rsidRPr="007C5836">
        <w:t>, adjusted for confounding variables.</w:t>
      </w:r>
    </w:p>
    <w:p w14:paraId="53F8290D" w14:textId="77777777" w:rsidR="007C5836" w:rsidRPr="007C5836" w:rsidRDefault="007C5836" w:rsidP="00B05D3B">
      <w:pPr>
        <w:jc w:val="both"/>
      </w:pPr>
      <w:r w:rsidRPr="007C5836">
        <w:t xml:space="preserve">As </w:t>
      </w:r>
      <w:proofErr w:type="spellStart"/>
      <w:r w:rsidRPr="007C5836">
        <w:t>LifeMed</w:t>
      </w:r>
      <w:proofErr w:type="spellEnd"/>
      <w:r w:rsidRPr="007C5836">
        <w:t xml:space="preserve"> Research moves forward with this study, the company remains steadfast in its mission to improve patient outcomes through innovation and evidence-based medicine.</w:t>
      </w:r>
    </w:p>
    <w:p w14:paraId="26112D02" w14:textId="77777777" w:rsidR="0008405A" w:rsidRPr="001C06EF" w:rsidRDefault="0008405A" w:rsidP="001C06EF">
      <w:pPr>
        <w:jc w:val="both"/>
        <w:rPr>
          <w:b/>
          <w:bCs/>
        </w:rPr>
      </w:pPr>
      <w:r w:rsidRPr="001C06EF">
        <w:rPr>
          <w:b/>
          <w:bCs/>
        </w:rPr>
        <w:t>Assumptions may be made as necessary to solve the problem and should be stated clearly.</w:t>
      </w:r>
    </w:p>
    <w:p w14:paraId="01033A04" w14:textId="77777777" w:rsidR="007C5836" w:rsidRDefault="007C5836"/>
    <w:p w14:paraId="7A329D62" w14:textId="77777777" w:rsidR="007C5836" w:rsidRPr="007C5836" w:rsidRDefault="007C5836" w:rsidP="00B05D3B">
      <w:pPr>
        <w:jc w:val="both"/>
        <w:rPr>
          <w:sz w:val="32"/>
          <w:szCs w:val="32"/>
        </w:rPr>
      </w:pPr>
      <w:r w:rsidRPr="007C5836">
        <w:rPr>
          <w:sz w:val="32"/>
          <w:szCs w:val="32"/>
        </w:rPr>
        <w:t xml:space="preserve">Data Set Variables: </w:t>
      </w:r>
    </w:p>
    <w:p w14:paraId="02CCB3CA" w14:textId="77777777" w:rsidR="007C5836" w:rsidRDefault="007C5836" w:rsidP="00B05D3B">
      <w:pPr>
        <w:jc w:val="both"/>
      </w:pPr>
      <w:r>
        <w:t>The variables are divided into the following groups:</w:t>
      </w:r>
    </w:p>
    <w:p w14:paraId="7793042C" w14:textId="77777777" w:rsidR="007C5836" w:rsidRDefault="007C5836" w:rsidP="00B05D3B">
      <w:pPr>
        <w:pStyle w:val="ListParagraph"/>
        <w:numPr>
          <w:ilvl w:val="0"/>
          <w:numId w:val="5"/>
        </w:numPr>
        <w:spacing w:line="360" w:lineRule="auto"/>
        <w:jc w:val="both"/>
      </w:pPr>
      <w:r>
        <w:t xml:space="preserve">identity: </w:t>
      </w:r>
      <w:proofErr w:type="spellStart"/>
      <w:r>
        <w:t>patient_id</w:t>
      </w:r>
      <w:proofErr w:type="spellEnd"/>
    </w:p>
    <w:p w14:paraId="736C7A58" w14:textId="77777777" w:rsidR="007C5836" w:rsidRDefault="007C5836" w:rsidP="00B05D3B">
      <w:pPr>
        <w:pStyle w:val="ListParagraph"/>
        <w:numPr>
          <w:ilvl w:val="0"/>
          <w:numId w:val="5"/>
        </w:numPr>
        <w:spacing w:line="360" w:lineRule="auto"/>
        <w:jc w:val="both"/>
      </w:pPr>
      <w:r>
        <w:t xml:space="preserve">pre-index demographics and comorbidities: </w:t>
      </w:r>
      <w:proofErr w:type="spellStart"/>
      <w:r>
        <w:t>index_age</w:t>
      </w:r>
      <w:proofErr w:type="spellEnd"/>
      <w:r>
        <w:t xml:space="preserve">, female, </w:t>
      </w:r>
      <w:proofErr w:type="spellStart"/>
      <w:r>
        <w:t>acute_bronchitis</w:t>
      </w:r>
      <w:proofErr w:type="spellEnd"/>
      <w:r>
        <w:t xml:space="preserve">, </w:t>
      </w:r>
      <w:proofErr w:type="spellStart"/>
      <w:r>
        <w:t>acute_laryngitis</w:t>
      </w:r>
      <w:proofErr w:type="spellEnd"/>
      <w:r>
        <w:t xml:space="preserve">, </w:t>
      </w:r>
      <w:proofErr w:type="spellStart"/>
      <w:r>
        <w:t>gerd</w:t>
      </w:r>
      <w:proofErr w:type="spellEnd"/>
      <w:r>
        <w:t xml:space="preserve">, pneumonia, rhinitis, sinusitis </w:t>
      </w:r>
    </w:p>
    <w:p w14:paraId="18BD728F" w14:textId="77777777" w:rsidR="007C5836" w:rsidRDefault="007C5836" w:rsidP="00B05D3B">
      <w:pPr>
        <w:pStyle w:val="ListParagraph"/>
        <w:numPr>
          <w:ilvl w:val="0"/>
          <w:numId w:val="5"/>
        </w:numPr>
        <w:spacing w:line="360" w:lineRule="auto"/>
        <w:jc w:val="both"/>
      </w:pPr>
      <w:r>
        <w:t xml:space="preserve">pre-index usage: </w:t>
      </w:r>
      <w:proofErr w:type="spellStart"/>
      <w:r>
        <w:t>previous_asthma_drugs</w:t>
      </w:r>
      <w:proofErr w:type="spellEnd"/>
      <w:r>
        <w:t xml:space="preserve">, </w:t>
      </w:r>
      <w:proofErr w:type="spellStart"/>
      <w:r>
        <w:t>pre_asthma_charg</w:t>
      </w:r>
      <w:proofErr w:type="spellEnd"/>
      <w:r>
        <w:t xml:space="preserve">, </w:t>
      </w:r>
      <w:proofErr w:type="spellStart"/>
      <w:r>
        <w:t>pre_asthma_days</w:t>
      </w:r>
      <w:proofErr w:type="spellEnd"/>
      <w:r>
        <w:t xml:space="preserve">, </w:t>
      </w:r>
      <w:proofErr w:type="spellStart"/>
      <w:r>
        <w:t>pre_asthma_pharma_charge</w:t>
      </w:r>
      <w:proofErr w:type="spellEnd"/>
      <w:r>
        <w:t xml:space="preserve">, </w:t>
      </w:r>
      <w:proofErr w:type="spellStart"/>
      <w:r>
        <w:t>total_pre_charge</w:t>
      </w:r>
      <w:proofErr w:type="spellEnd"/>
      <w:r>
        <w:t xml:space="preserve">, </w:t>
      </w:r>
      <w:proofErr w:type="spellStart"/>
      <w:r>
        <w:t>log_charges</w:t>
      </w:r>
      <w:proofErr w:type="spellEnd"/>
      <w:r>
        <w:t>=log(</w:t>
      </w:r>
      <w:proofErr w:type="spellStart"/>
      <w:r>
        <w:t>total_pre_index_charge</w:t>
      </w:r>
      <w:proofErr w:type="spellEnd"/>
      <w:r>
        <w:t xml:space="preserve">), </w:t>
      </w:r>
      <w:proofErr w:type="spellStart"/>
      <w:r>
        <w:t>log_asthma_charge</w:t>
      </w:r>
      <w:proofErr w:type="spellEnd"/>
      <w:r>
        <w:t>=log(</w:t>
      </w:r>
      <w:proofErr w:type="spellStart"/>
      <w:r>
        <w:t>pre_asthma_pharma_charge</w:t>
      </w:r>
      <w:proofErr w:type="spellEnd"/>
      <w:r>
        <w:t>)</w:t>
      </w:r>
    </w:p>
    <w:p w14:paraId="5718BE72" w14:textId="77777777" w:rsidR="007C5836" w:rsidRDefault="007C5836" w:rsidP="00B05D3B">
      <w:pPr>
        <w:pStyle w:val="ListParagraph"/>
        <w:numPr>
          <w:ilvl w:val="0"/>
          <w:numId w:val="5"/>
        </w:numPr>
        <w:spacing w:line="360" w:lineRule="auto"/>
        <w:jc w:val="both"/>
      </w:pPr>
      <w:r>
        <w:t xml:space="preserve">drug identifier: </w:t>
      </w:r>
      <w:proofErr w:type="spellStart"/>
      <w:r>
        <w:t>drug_s</w:t>
      </w:r>
      <w:proofErr w:type="spellEnd"/>
      <w:r>
        <w:t xml:space="preserve">=1 or </w:t>
      </w:r>
      <w:proofErr w:type="spellStart"/>
      <w:r>
        <w:t>drug_s</w:t>
      </w:r>
      <w:proofErr w:type="spellEnd"/>
      <w:r>
        <w:t xml:space="preserve">=0 </w:t>
      </w:r>
    </w:p>
    <w:p w14:paraId="7B66DCE5" w14:textId="42E7F116" w:rsidR="007C5836" w:rsidRDefault="007C5836" w:rsidP="00B05D3B">
      <w:pPr>
        <w:pStyle w:val="ListParagraph"/>
        <w:numPr>
          <w:ilvl w:val="0"/>
          <w:numId w:val="5"/>
        </w:numPr>
        <w:spacing w:line="360" w:lineRule="auto"/>
        <w:jc w:val="both"/>
      </w:pPr>
      <w:r>
        <w:t>post-index measurement (this is the outcome of interest.): post_index_exacerbations_365</w:t>
      </w:r>
    </w:p>
    <w:p w14:paraId="34353F45" w14:textId="77777777" w:rsidR="007C5836" w:rsidRDefault="007C5836" w:rsidP="007C5836">
      <w:r>
        <w:t> </w:t>
      </w:r>
    </w:p>
    <w:p w14:paraId="79C8FA20" w14:textId="77777777" w:rsidR="007C5836" w:rsidRDefault="007C5836" w:rsidP="00B05D3B">
      <w:pPr>
        <w:jc w:val="both"/>
      </w:pPr>
      <w:r>
        <w:t>Here are our variables of interest:</w:t>
      </w:r>
    </w:p>
    <w:p w14:paraId="5917CE78" w14:textId="77777777" w:rsidR="00B05D3B" w:rsidRDefault="007C5836" w:rsidP="00B05D3B">
      <w:pPr>
        <w:jc w:val="both"/>
      </w:pPr>
      <w:r>
        <w:t>In general, pre-index refers to activity or characteristics of the patient that existed before they were assigned to one of the drug groups. Post-index refers to measurements of activity after the drug assignment. In this case the post-index measurement is the number of exacerbations in the first year after starting the study.</w:t>
      </w:r>
    </w:p>
    <w:p w14:paraId="7914D813" w14:textId="77777777" w:rsidR="00B05D3B" w:rsidRDefault="007C5836" w:rsidP="00B05D3B">
      <w:pPr>
        <w:pStyle w:val="ListParagraph"/>
        <w:numPr>
          <w:ilvl w:val="0"/>
          <w:numId w:val="6"/>
        </w:numPr>
        <w:spacing w:line="360" w:lineRule="auto"/>
        <w:jc w:val="both"/>
      </w:pPr>
      <w:proofErr w:type="spellStart"/>
      <w:r>
        <w:t>acute_bronchitis</w:t>
      </w:r>
      <w:proofErr w:type="spellEnd"/>
      <w:r>
        <w:t>: Indicator (0 or 1) if the patient had a diagnosis in the previous year.</w:t>
      </w:r>
    </w:p>
    <w:p w14:paraId="2F121C96" w14:textId="77777777" w:rsidR="00B05D3B" w:rsidRDefault="007C5836" w:rsidP="00B05D3B">
      <w:pPr>
        <w:pStyle w:val="ListParagraph"/>
        <w:numPr>
          <w:ilvl w:val="0"/>
          <w:numId w:val="6"/>
        </w:numPr>
        <w:spacing w:line="360" w:lineRule="auto"/>
        <w:jc w:val="both"/>
      </w:pPr>
      <w:proofErr w:type="spellStart"/>
      <w:r>
        <w:lastRenderedPageBreak/>
        <w:t>acute_laryngitis</w:t>
      </w:r>
      <w:proofErr w:type="spellEnd"/>
      <w:r>
        <w:t>: Indicator (0 or 1) if the patient had a diagnosis in the previous year.</w:t>
      </w:r>
    </w:p>
    <w:p w14:paraId="1351E044" w14:textId="77777777" w:rsidR="00B05D3B" w:rsidRDefault="007C5836" w:rsidP="00B05D3B">
      <w:pPr>
        <w:pStyle w:val="ListParagraph"/>
        <w:numPr>
          <w:ilvl w:val="0"/>
          <w:numId w:val="6"/>
        </w:numPr>
        <w:spacing w:line="360" w:lineRule="auto"/>
        <w:jc w:val="both"/>
      </w:pPr>
      <w:r>
        <w:t>female: Indicator (0 or 1).</w:t>
      </w:r>
    </w:p>
    <w:p w14:paraId="7EB0ADC0" w14:textId="77777777" w:rsidR="00B05D3B" w:rsidRDefault="007C5836" w:rsidP="00B05D3B">
      <w:pPr>
        <w:pStyle w:val="ListParagraph"/>
        <w:numPr>
          <w:ilvl w:val="0"/>
          <w:numId w:val="6"/>
        </w:numPr>
        <w:spacing w:line="360" w:lineRule="auto"/>
        <w:jc w:val="both"/>
      </w:pPr>
      <w:proofErr w:type="spellStart"/>
      <w:r>
        <w:t>gerd</w:t>
      </w:r>
      <w:proofErr w:type="spellEnd"/>
      <w:r>
        <w:t>: Indicator (0 or 1) if the patient had a diagnosis in the previous year.</w:t>
      </w:r>
    </w:p>
    <w:p w14:paraId="4917BA2E" w14:textId="77777777" w:rsidR="00B05D3B" w:rsidRDefault="007C5836" w:rsidP="00B05D3B">
      <w:pPr>
        <w:pStyle w:val="ListParagraph"/>
        <w:numPr>
          <w:ilvl w:val="0"/>
          <w:numId w:val="6"/>
        </w:numPr>
        <w:spacing w:line="360" w:lineRule="auto"/>
        <w:jc w:val="both"/>
      </w:pPr>
      <w:r>
        <w:t>pneumonia: Indicator (0 or 1) if the patient had a diagnosis in the previous year.</w:t>
      </w:r>
    </w:p>
    <w:p w14:paraId="7FE1670D" w14:textId="77777777" w:rsidR="00B05D3B" w:rsidRDefault="007C5836" w:rsidP="00B05D3B">
      <w:pPr>
        <w:pStyle w:val="ListParagraph"/>
        <w:numPr>
          <w:ilvl w:val="0"/>
          <w:numId w:val="6"/>
        </w:numPr>
        <w:spacing w:line="360" w:lineRule="auto"/>
        <w:jc w:val="both"/>
      </w:pPr>
      <w:r>
        <w:t>rhinitis: Indicator (0 or 1) if the patient had a diagnosis in the previous year.</w:t>
      </w:r>
    </w:p>
    <w:p w14:paraId="130A38E2" w14:textId="77777777" w:rsidR="00B05D3B" w:rsidRDefault="007C5836" w:rsidP="00B05D3B">
      <w:pPr>
        <w:pStyle w:val="ListParagraph"/>
        <w:numPr>
          <w:ilvl w:val="0"/>
          <w:numId w:val="6"/>
        </w:numPr>
        <w:spacing w:line="360" w:lineRule="auto"/>
        <w:jc w:val="both"/>
      </w:pPr>
      <w:r>
        <w:t>sinusitis: Indicator (0 or 1) if the patient had a diagnosis in the previous year.</w:t>
      </w:r>
    </w:p>
    <w:p w14:paraId="6BC0E98A" w14:textId="77777777" w:rsidR="00B05D3B" w:rsidRDefault="007C5836" w:rsidP="00B05D3B">
      <w:pPr>
        <w:pStyle w:val="ListParagraph"/>
        <w:numPr>
          <w:ilvl w:val="0"/>
          <w:numId w:val="6"/>
        </w:numPr>
        <w:spacing w:line="360" w:lineRule="auto"/>
        <w:jc w:val="both"/>
      </w:pPr>
      <w:r>
        <w:t>total_pre_index_cannisters_365: Note that this is a truncated distribution due to the patient selection criteria.</w:t>
      </w:r>
    </w:p>
    <w:p w14:paraId="19A02D22" w14:textId="77777777" w:rsidR="00B05D3B" w:rsidRDefault="007C5836" w:rsidP="00B05D3B">
      <w:pPr>
        <w:pStyle w:val="ListParagraph"/>
        <w:numPr>
          <w:ilvl w:val="0"/>
          <w:numId w:val="6"/>
        </w:numPr>
        <w:spacing w:line="360" w:lineRule="auto"/>
        <w:jc w:val="both"/>
      </w:pPr>
      <w:proofErr w:type="spellStart"/>
      <w:r>
        <w:t>upper_respiratory_infection</w:t>
      </w:r>
      <w:proofErr w:type="spellEnd"/>
      <w:r>
        <w:t>: Indicator (0 or 1) if the patient had a diagnosis in the previous year.</w:t>
      </w:r>
    </w:p>
    <w:p w14:paraId="1C1E0764" w14:textId="77777777" w:rsidR="00B05D3B" w:rsidRDefault="007C5836" w:rsidP="00B05D3B">
      <w:pPr>
        <w:pStyle w:val="ListParagraph"/>
        <w:numPr>
          <w:ilvl w:val="0"/>
          <w:numId w:val="6"/>
        </w:numPr>
        <w:spacing w:line="360" w:lineRule="auto"/>
        <w:jc w:val="both"/>
      </w:pPr>
      <w:proofErr w:type="spellStart"/>
      <w:r>
        <w:t>index_age</w:t>
      </w:r>
      <w:proofErr w:type="spellEnd"/>
      <w:r>
        <w:t>: Patient’s age in years on day on which treatment started.</w:t>
      </w:r>
    </w:p>
    <w:p w14:paraId="742358EC" w14:textId="77777777" w:rsidR="00B05D3B" w:rsidRDefault="007C5836" w:rsidP="00B05D3B">
      <w:pPr>
        <w:pStyle w:val="ListParagraph"/>
        <w:numPr>
          <w:ilvl w:val="0"/>
          <w:numId w:val="6"/>
        </w:numPr>
        <w:spacing w:line="360" w:lineRule="auto"/>
        <w:jc w:val="both"/>
      </w:pPr>
      <w:proofErr w:type="spellStart"/>
      <w:r>
        <w:t>pre_asthma_charge</w:t>
      </w:r>
      <w:proofErr w:type="spellEnd"/>
      <w:r>
        <w:t>: Total asthma non-pharmaceutical related charges in 6 months before index date.</w:t>
      </w:r>
    </w:p>
    <w:p w14:paraId="201DEF8F" w14:textId="77777777" w:rsidR="00B05D3B" w:rsidRDefault="007C5836" w:rsidP="00B05D3B">
      <w:pPr>
        <w:pStyle w:val="ListParagraph"/>
        <w:numPr>
          <w:ilvl w:val="0"/>
          <w:numId w:val="6"/>
        </w:numPr>
        <w:spacing w:line="360" w:lineRule="auto"/>
        <w:jc w:val="both"/>
      </w:pPr>
      <w:proofErr w:type="spellStart"/>
      <w:r>
        <w:t>pre_asthma_days</w:t>
      </w:r>
      <w:proofErr w:type="spellEnd"/>
      <w:r>
        <w:t>: Total days with asthma treatment in 1 year before index date.</w:t>
      </w:r>
    </w:p>
    <w:p w14:paraId="41F49EE8" w14:textId="77777777" w:rsidR="00B05D3B" w:rsidRDefault="007C5836" w:rsidP="00B05D3B">
      <w:pPr>
        <w:pStyle w:val="ListParagraph"/>
        <w:numPr>
          <w:ilvl w:val="0"/>
          <w:numId w:val="6"/>
        </w:numPr>
        <w:spacing w:line="360" w:lineRule="auto"/>
        <w:jc w:val="both"/>
      </w:pPr>
      <w:proofErr w:type="spellStart"/>
      <w:r>
        <w:t>pre_asthma_pharma_charge</w:t>
      </w:r>
      <w:proofErr w:type="spellEnd"/>
      <w:r>
        <w:t>: Total asthma-related pharma charges in 1 year before index date</w:t>
      </w:r>
    </w:p>
    <w:p w14:paraId="6B5DCAFE" w14:textId="77777777" w:rsidR="00B05D3B" w:rsidRDefault="007C5836" w:rsidP="00B05D3B">
      <w:pPr>
        <w:pStyle w:val="ListParagraph"/>
        <w:numPr>
          <w:ilvl w:val="0"/>
          <w:numId w:val="6"/>
        </w:numPr>
        <w:spacing w:line="360" w:lineRule="auto"/>
        <w:jc w:val="both"/>
      </w:pPr>
      <w:r>
        <w:t>total_pre_index_cannisters_365: Total SABA (Short Acting Beta Agonist) canisters in 1 year before index date. SABA is given to provide fast relief from asthma. Greater use is an indicator of more severe asthma.</w:t>
      </w:r>
    </w:p>
    <w:p w14:paraId="013BF3D1" w14:textId="77777777" w:rsidR="00B05D3B" w:rsidRDefault="007C5836" w:rsidP="00B05D3B">
      <w:pPr>
        <w:pStyle w:val="ListParagraph"/>
        <w:numPr>
          <w:ilvl w:val="0"/>
          <w:numId w:val="6"/>
        </w:numPr>
        <w:spacing w:line="360" w:lineRule="auto"/>
        <w:jc w:val="both"/>
      </w:pPr>
      <w:proofErr w:type="spellStart"/>
      <w:r>
        <w:t>total_pre_index_charge</w:t>
      </w:r>
      <w:proofErr w:type="spellEnd"/>
      <w:r>
        <w:t>: Total charges in 1 year before index date.</w:t>
      </w:r>
    </w:p>
    <w:p w14:paraId="5CCEFE83" w14:textId="77777777" w:rsidR="00B05D3B" w:rsidRDefault="007C5836" w:rsidP="00B05D3B">
      <w:pPr>
        <w:pStyle w:val="ListParagraph"/>
        <w:numPr>
          <w:ilvl w:val="0"/>
          <w:numId w:val="6"/>
        </w:numPr>
        <w:spacing w:line="360" w:lineRule="auto"/>
        <w:jc w:val="both"/>
      </w:pPr>
      <w:proofErr w:type="spellStart"/>
      <w:r>
        <w:t>log_charges</w:t>
      </w:r>
      <w:proofErr w:type="spellEnd"/>
      <w:r>
        <w:t xml:space="preserve">: Log of </w:t>
      </w:r>
      <w:proofErr w:type="spellStart"/>
      <w:r>
        <w:t>total_pre_index_charge</w:t>
      </w:r>
      <w:proofErr w:type="spellEnd"/>
      <w:r>
        <w:t>.</w:t>
      </w:r>
    </w:p>
    <w:p w14:paraId="53915747" w14:textId="77777777" w:rsidR="00B05D3B" w:rsidRDefault="007C5836" w:rsidP="00B05D3B">
      <w:pPr>
        <w:pStyle w:val="ListParagraph"/>
        <w:numPr>
          <w:ilvl w:val="0"/>
          <w:numId w:val="6"/>
        </w:numPr>
        <w:spacing w:line="360" w:lineRule="auto"/>
        <w:jc w:val="both"/>
      </w:pPr>
      <w:proofErr w:type="spellStart"/>
      <w:r>
        <w:t>log_asthma_charge</w:t>
      </w:r>
      <w:proofErr w:type="spellEnd"/>
      <w:r>
        <w:t xml:space="preserve">: Log of </w:t>
      </w:r>
      <w:proofErr w:type="spellStart"/>
      <w:r>
        <w:t>pre_asthma_charge</w:t>
      </w:r>
      <w:proofErr w:type="spellEnd"/>
      <w:r>
        <w:t>.</w:t>
      </w:r>
    </w:p>
    <w:p w14:paraId="00EBAB16" w14:textId="0F796F9D" w:rsidR="007C5836" w:rsidRDefault="007C5836" w:rsidP="00B05D3B">
      <w:pPr>
        <w:pStyle w:val="ListParagraph"/>
        <w:numPr>
          <w:ilvl w:val="0"/>
          <w:numId w:val="6"/>
        </w:numPr>
        <w:spacing w:line="360" w:lineRule="auto"/>
        <w:jc w:val="both"/>
      </w:pPr>
      <w:r>
        <w:t>post_index_exacerbations365: Outcome of interest. Exacerbations in the year after initiating therapy.</w:t>
      </w:r>
    </w:p>
    <w:p w14:paraId="74CC3C4C" w14:textId="77777777" w:rsidR="00B05D3B" w:rsidRDefault="00B05D3B" w:rsidP="00B05D3B">
      <w:pPr>
        <w:spacing w:line="360" w:lineRule="auto"/>
        <w:jc w:val="both"/>
      </w:pPr>
    </w:p>
    <w:p w14:paraId="28847C6F" w14:textId="77777777" w:rsidR="00B05D3B" w:rsidRPr="00A42B5C" w:rsidRDefault="00B05D3B" w:rsidP="00B05D3B">
      <w:pPr>
        <w:pStyle w:val="xmsonormal"/>
        <w:jc w:val="both"/>
        <w:rPr>
          <w:kern w:val="2"/>
          <w:lang w:eastAsia="en-US"/>
          <w14:ligatures w14:val="standardContextual"/>
        </w:rPr>
      </w:pPr>
      <w:r w:rsidRPr="00A42B5C">
        <w:rPr>
          <w:kern w:val="2"/>
          <w:lang w:eastAsia="en-US"/>
          <w14:ligatures w14:val="standardContextual"/>
        </w:rPr>
        <w:t xml:space="preserve">The case should cover the following area with project code/ workflow, </w:t>
      </w:r>
      <w:r>
        <w:rPr>
          <w:kern w:val="2"/>
          <w:lang w:eastAsia="en-US"/>
          <w14:ligatures w14:val="standardContextual"/>
        </w:rPr>
        <w:t xml:space="preserve">PDF </w:t>
      </w:r>
      <w:r w:rsidRPr="00A42B5C">
        <w:rPr>
          <w:kern w:val="2"/>
          <w:lang w:eastAsia="en-US"/>
          <w14:ligatures w14:val="standardContextual"/>
        </w:rPr>
        <w:t>document and short PPT for final presentation.</w:t>
      </w:r>
    </w:p>
    <w:p w14:paraId="7DA66CCD" w14:textId="77777777" w:rsidR="00B05D3B" w:rsidRPr="00A42B5C" w:rsidRDefault="00B05D3B" w:rsidP="00B05D3B">
      <w:pPr>
        <w:pStyle w:val="xmsonormal"/>
      </w:pPr>
      <w:r w:rsidRPr="00A42B5C">
        <w:rPr>
          <w:lang w:val="en-US"/>
        </w:rPr>
        <w:t> </w:t>
      </w:r>
    </w:p>
    <w:tbl>
      <w:tblPr>
        <w:tblW w:w="0" w:type="auto"/>
        <w:jc w:val="center"/>
        <w:tblCellMar>
          <w:left w:w="0" w:type="dxa"/>
          <w:right w:w="0" w:type="dxa"/>
        </w:tblCellMar>
        <w:tblLook w:val="04A0" w:firstRow="1" w:lastRow="0" w:firstColumn="1" w:lastColumn="0" w:noHBand="0" w:noVBand="1"/>
      </w:tblPr>
      <w:tblGrid>
        <w:gridCol w:w="979"/>
        <w:gridCol w:w="5017"/>
      </w:tblGrid>
      <w:tr w:rsidR="00B05D3B" w:rsidRPr="00A42B5C" w14:paraId="20FF0DA2" w14:textId="77777777" w:rsidTr="00565B02">
        <w:trPr>
          <w:trHeight w:val="563"/>
          <w:jc w:val="center"/>
        </w:trPr>
        <w:tc>
          <w:tcPr>
            <w:tcW w:w="979" w:type="dxa"/>
            <w:tcBorders>
              <w:top w:val="single" w:sz="8" w:space="0" w:color="000000"/>
              <w:left w:val="single" w:sz="8" w:space="0" w:color="000000"/>
              <w:bottom w:val="single" w:sz="8" w:space="0" w:color="000000"/>
              <w:right w:val="single" w:sz="8" w:space="0" w:color="000000"/>
            </w:tcBorders>
            <w:hideMark/>
          </w:tcPr>
          <w:p w14:paraId="74A8F828" w14:textId="77777777" w:rsidR="00B05D3B" w:rsidRPr="00A42B5C" w:rsidRDefault="00B05D3B" w:rsidP="00565B02">
            <w:pPr>
              <w:pStyle w:val="xtableparagraph"/>
              <w:ind w:left="147" w:right="141"/>
              <w:jc w:val="center"/>
              <w:rPr>
                <w:rFonts w:ascii="Calibri" w:hAnsi="Calibri" w:cs="Calibri"/>
              </w:rPr>
            </w:pPr>
            <w:r w:rsidRPr="00A42B5C">
              <w:rPr>
                <w:rFonts w:ascii="Calibri" w:hAnsi="Calibri" w:cs="Calibri"/>
                <w:b/>
                <w:bCs/>
                <w:sz w:val="24"/>
                <w:szCs w:val="24"/>
                <w:lang w:val="en-US"/>
              </w:rPr>
              <w:t>Sr.</w:t>
            </w:r>
            <w:r w:rsidRPr="00A42B5C">
              <w:rPr>
                <w:rFonts w:ascii="Calibri" w:hAnsi="Calibri" w:cs="Calibri"/>
                <w:b/>
                <w:bCs/>
                <w:spacing w:val="-3"/>
                <w:sz w:val="24"/>
                <w:szCs w:val="24"/>
                <w:lang w:val="en-US"/>
              </w:rPr>
              <w:t xml:space="preserve"> </w:t>
            </w:r>
            <w:r w:rsidRPr="00A42B5C">
              <w:rPr>
                <w:rFonts w:ascii="Calibri" w:hAnsi="Calibri" w:cs="Calibri"/>
                <w:b/>
                <w:bCs/>
                <w:sz w:val="24"/>
                <w:szCs w:val="24"/>
                <w:lang w:val="en-US"/>
              </w:rPr>
              <w:t>No</w:t>
            </w:r>
          </w:p>
        </w:tc>
        <w:tc>
          <w:tcPr>
            <w:tcW w:w="5017" w:type="dxa"/>
            <w:tcBorders>
              <w:top w:val="single" w:sz="8" w:space="0" w:color="000000"/>
              <w:left w:val="nil"/>
              <w:bottom w:val="single" w:sz="8" w:space="0" w:color="000000"/>
              <w:right w:val="single" w:sz="8" w:space="0" w:color="000000"/>
            </w:tcBorders>
            <w:hideMark/>
          </w:tcPr>
          <w:p w14:paraId="11450C8C" w14:textId="77777777" w:rsidR="00B05D3B" w:rsidRPr="00A42B5C" w:rsidRDefault="00B05D3B" w:rsidP="00565B02">
            <w:pPr>
              <w:pStyle w:val="xtableparagraph"/>
              <w:ind w:left="2069" w:right="2056"/>
              <w:jc w:val="center"/>
              <w:rPr>
                <w:rFonts w:ascii="Calibri" w:hAnsi="Calibri" w:cs="Calibri"/>
              </w:rPr>
            </w:pPr>
            <w:r w:rsidRPr="00A42B5C">
              <w:rPr>
                <w:rFonts w:ascii="Calibri" w:hAnsi="Calibri" w:cs="Calibri"/>
                <w:b/>
                <w:bCs/>
                <w:sz w:val="24"/>
                <w:szCs w:val="24"/>
                <w:lang w:val="en-US"/>
              </w:rPr>
              <w:t>Method</w:t>
            </w:r>
          </w:p>
        </w:tc>
      </w:tr>
      <w:tr w:rsidR="00B05D3B" w:rsidRPr="00A42B5C" w14:paraId="593B6846" w14:textId="77777777" w:rsidTr="00565B02">
        <w:trPr>
          <w:trHeight w:val="261"/>
          <w:jc w:val="center"/>
        </w:trPr>
        <w:tc>
          <w:tcPr>
            <w:tcW w:w="979" w:type="dxa"/>
            <w:tcBorders>
              <w:top w:val="nil"/>
              <w:left w:val="single" w:sz="8" w:space="0" w:color="000000"/>
              <w:bottom w:val="single" w:sz="8" w:space="0" w:color="000000"/>
              <w:right w:val="single" w:sz="8" w:space="0" w:color="000000"/>
            </w:tcBorders>
            <w:hideMark/>
          </w:tcPr>
          <w:p w14:paraId="73BAD139" w14:textId="77777777" w:rsidR="00B05D3B" w:rsidRPr="00A42B5C" w:rsidRDefault="00B05D3B" w:rsidP="00565B02">
            <w:pPr>
              <w:pStyle w:val="xtableparagraph"/>
              <w:ind w:left="8"/>
              <w:jc w:val="center"/>
              <w:rPr>
                <w:rFonts w:ascii="Calibri" w:hAnsi="Calibri" w:cs="Calibri"/>
              </w:rPr>
            </w:pPr>
            <w:r w:rsidRPr="00A42B5C">
              <w:rPr>
                <w:rFonts w:ascii="Calibri" w:hAnsi="Calibri" w:cs="Calibri"/>
                <w:sz w:val="24"/>
                <w:szCs w:val="24"/>
                <w:lang w:val="en-US"/>
              </w:rPr>
              <w:t>1</w:t>
            </w:r>
          </w:p>
        </w:tc>
        <w:tc>
          <w:tcPr>
            <w:tcW w:w="5017" w:type="dxa"/>
            <w:tcBorders>
              <w:top w:val="nil"/>
              <w:left w:val="nil"/>
              <w:bottom w:val="single" w:sz="8" w:space="0" w:color="000000"/>
              <w:right w:val="single" w:sz="8" w:space="0" w:color="000000"/>
            </w:tcBorders>
            <w:hideMark/>
          </w:tcPr>
          <w:p w14:paraId="60F95B96" w14:textId="77777777" w:rsidR="00B05D3B" w:rsidRPr="00A42B5C" w:rsidRDefault="00B05D3B" w:rsidP="00565B02">
            <w:pPr>
              <w:pStyle w:val="xtableparagraph"/>
              <w:spacing w:line="304" w:lineRule="atLeast"/>
              <w:ind w:right="788"/>
              <w:rPr>
                <w:rFonts w:ascii="Calibri" w:hAnsi="Calibri" w:cs="Calibri"/>
              </w:rPr>
            </w:pPr>
            <w:r>
              <w:rPr>
                <w:rFonts w:ascii="Calibri" w:hAnsi="Calibri" w:cs="Calibri"/>
                <w:color w:val="000000"/>
                <w:sz w:val="24"/>
                <w:szCs w:val="24"/>
                <w:lang w:val="en-US"/>
              </w:rPr>
              <w:t>Identification of Business Problem</w:t>
            </w:r>
            <w:r w:rsidRPr="00A42B5C">
              <w:rPr>
                <w:rFonts w:ascii="Calibri" w:hAnsi="Calibri" w:cs="Calibri"/>
                <w:color w:val="000000"/>
                <w:sz w:val="24"/>
                <w:szCs w:val="24"/>
                <w:lang w:val="en-US"/>
              </w:rPr>
              <w:t xml:space="preserve"> </w:t>
            </w:r>
          </w:p>
        </w:tc>
      </w:tr>
      <w:tr w:rsidR="00B05D3B" w:rsidRPr="00A42B5C" w14:paraId="2EAC41A5" w14:textId="77777777" w:rsidTr="00565B02">
        <w:trPr>
          <w:trHeight w:val="283"/>
          <w:jc w:val="center"/>
        </w:trPr>
        <w:tc>
          <w:tcPr>
            <w:tcW w:w="979" w:type="dxa"/>
            <w:tcBorders>
              <w:top w:val="nil"/>
              <w:left w:val="single" w:sz="8" w:space="0" w:color="000000"/>
              <w:bottom w:val="single" w:sz="8" w:space="0" w:color="000000"/>
              <w:right w:val="single" w:sz="8" w:space="0" w:color="000000"/>
            </w:tcBorders>
            <w:hideMark/>
          </w:tcPr>
          <w:p w14:paraId="571C3D04" w14:textId="77777777" w:rsidR="00B05D3B" w:rsidRPr="00A42B5C" w:rsidRDefault="00B05D3B" w:rsidP="00565B02">
            <w:pPr>
              <w:pStyle w:val="xtableparagraph"/>
              <w:spacing w:line="263" w:lineRule="atLeast"/>
              <w:ind w:left="8"/>
              <w:jc w:val="center"/>
              <w:rPr>
                <w:rFonts w:ascii="Calibri" w:hAnsi="Calibri" w:cs="Calibri"/>
              </w:rPr>
            </w:pPr>
            <w:r w:rsidRPr="00A42B5C">
              <w:rPr>
                <w:rFonts w:ascii="Calibri" w:hAnsi="Calibri" w:cs="Calibri"/>
                <w:sz w:val="24"/>
                <w:szCs w:val="24"/>
                <w:lang w:val="en-US"/>
              </w:rPr>
              <w:t>2</w:t>
            </w:r>
          </w:p>
        </w:tc>
        <w:tc>
          <w:tcPr>
            <w:tcW w:w="5017" w:type="dxa"/>
            <w:tcBorders>
              <w:top w:val="nil"/>
              <w:left w:val="nil"/>
              <w:bottom w:val="single" w:sz="8" w:space="0" w:color="000000"/>
              <w:right w:val="single" w:sz="8" w:space="0" w:color="000000"/>
            </w:tcBorders>
            <w:hideMark/>
          </w:tcPr>
          <w:p w14:paraId="715D9865" w14:textId="77777777" w:rsidR="00B05D3B" w:rsidRPr="00A42B5C" w:rsidRDefault="00B05D3B" w:rsidP="00565B02">
            <w:pPr>
              <w:pStyle w:val="xtableparagraph"/>
              <w:spacing w:line="263" w:lineRule="atLeast"/>
              <w:rPr>
                <w:rFonts w:ascii="Calibri" w:hAnsi="Calibri" w:cs="Calibri"/>
              </w:rPr>
            </w:pPr>
            <w:r w:rsidRPr="00A42B5C">
              <w:rPr>
                <w:rFonts w:ascii="Calibri" w:hAnsi="Calibri" w:cs="Calibri"/>
                <w:color w:val="000000"/>
                <w:sz w:val="24"/>
                <w:szCs w:val="24"/>
                <w:lang w:val="en-US"/>
              </w:rPr>
              <w:t xml:space="preserve">Data Preparation and Availability             </w:t>
            </w:r>
          </w:p>
        </w:tc>
      </w:tr>
      <w:tr w:rsidR="00B05D3B" w:rsidRPr="00A42B5C" w14:paraId="12642986" w14:textId="77777777" w:rsidTr="00565B02">
        <w:trPr>
          <w:trHeight w:val="283"/>
          <w:jc w:val="center"/>
        </w:trPr>
        <w:tc>
          <w:tcPr>
            <w:tcW w:w="979" w:type="dxa"/>
            <w:tcBorders>
              <w:top w:val="nil"/>
              <w:left w:val="single" w:sz="8" w:space="0" w:color="000000"/>
              <w:bottom w:val="single" w:sz="8" w:space="0" w:color="000000"/>
              <w:right w:val="single" w:sz="8" w:space="0" w:color="000000"/>
            </w:tcBorders>
            <w:hideMark/>
          </w:tcPr>
          <w:p w14:paraId="215F2099" w14:textId="77777777" w:rsidR="00B05D3B" w:rsidRPr="00A42B5C" w:rsidRDefault="00B05D3B" w:rsidP="00565B02">
            <w:pPr>
              <w:pStyle w:val="xtableparagraph"/>
              <w:spacing w:line="263" w:lineRule="atLeast"/>
              <w:ind w:left="8"/>
              <w:jc w:val="center"/>
              <w:rPr>
                <w:rFonts w:ascii="Calibri" w:hAnsi="Calibri" w:cs="Calibri"/>
              </w:rPr>
            </w:pPr>
            <w:r w:rsidRPr="00A42B5C">
              <w:rPr>
                <w:rFonts w:ascii="Calibri" w:hAnsi="Calibri" w:cs="Calibri"/>
                <w:sz w:val="24"/>
                <w:szCs w:val="24"/>
                <w:lang w:val="en-US"/>
              </w:rPr>
              <w:t>3</w:t>
            </w:r>
          </w:p>
        </w:tc>
        <w:tc>
          <w:tcPr>
            <w:tcW w:w="5017" w:type="dxa"/>
            <w:tcBorders>
              <w:top w:val="nil"/>
              <w:left w:val="nil"/>
              <w:bottom w:val="single" w:sz="8" w:space="0" w:color="000000"/>
              <w:right w:val="single" w:sz="8" w:space="0" w:color="000000"/>
            </w:tcBorders>
            <w:hideMark/>
          </w:tcPr>
          <w:p w14:paraId="59725643" w14:textId="77777777" w:rsidR="00B05D3B" w:rsidRPr="00A42B5C" w:rsidRDefault="00B05D3B" w:rsidP="00565B02">
            <w:pPr>
              <w:pStyle w:val="xtableparagraph"/>
              <w:spacing w:line="263" w:lineRule="atLeast"/>
              <w:rPr>
                <w:rFonts w:ascii="Calibri" w:hAnsi="Calibri" w:cs="Calibri"/>
              </w:rPr>
            </w:pPr>
            <w:r w:rsidRPr="00A42B5C">
              <w:rPr>
                <w:rFonts w:ascii="Calibri" w:hAnsi="Calibri" w:cs="Calibri"/>
                <w:color w:val="000000"/>
                <w:sz w:val="24"/>
                <w:szCs w:val="24"/>
                <w:lang w:val="en-US"/>
              </w:rPr>
              <w:t xml:space="preserve">Proposed Approach             </w:t>
            </w:r>
          </w:p>
        </w:tc>
      </w:tr>
      <w:tr w:rsidR="00B05D3B" w:rsidRPr="00A42B5C" w14:paraId="03F68A60" w14:textId="77777777" w:rsidTr="00565B02">
        <w:trPr>
          <w:trHeight w:val="283"/>
          <w:jc w:val="center"/>
        </w:trPr>
        <w:tc>
          <w:tcPr>
            <w:tcW w:w="979" w:type="dxa"/>
            <w:tcBorders>
              <w:top w:val="nil"/>
              <w:left w:val="single" w:sz="8" w:space="0" w:color="000000"/>
              <w:bottom w:val="single" w:sz="8" w:space="0" w:color="000000"/>
              <w:right w:val="single" w:sz="8" w:space="0" w:color="000000"/>
            </w:tcBorders>
            <w:hideMark/>
          </w:tcPr>
          <w:p w14:paraId="2799C3B6" w14:textId="77777777" w:rsidR="00B05D3B" w:rsidRPr="00A42B5C" w:rsidRDefault="00B05D3B" w:rsidP="00565B02">
            <w:pPr>
              <w:pStyle w:val="xtableparagraph"/>
              <w:spacing w:line="263" w:lineRule="atLeast"/>
              <w:ind w:left="8"/>
              <w:jc w:val="center"/>
              <w:rPr>
                <w:rFonts w:ascii="Calibri" w:hAnsi="Calibri" w:cs="Calibri"/>
              </w:rPr>
            </w:pPr>
            <w:r w:rsidRPr="00A42B5C">
              <w:rPr>
                <w:rFonts w:ascii="Calibri" w:hAnsi="Calibri" w:cs="Calibri"/>
                <w:sz w:val="24"/>
                <w:szCs w:val="24"/>
                <w:lang w:val="en-US"/>
              </w:rPr>
              <w:t>4</w:t>
            </w:r>
          </w:p>
        </w:tc>
        <w:tc>
          <w:tcPr>
            <w:tcW w:w="5017" w:type="dxa"/>
            <w:tcBorders>
              <w:top w:val="nil"/>
              <w:left w:val="nil"/>
              <w:bottom w:val="single" w:sz="8" w:space="0" w:color="000000"/>
              <w:right w:val="single" w:sz="8" w:space="0" w:color="000000"/>
            </w:tcBorders>
            <w:hideMark/>
          </w:tcPr>
          <w:p w14:paraId="50F5E246" w14:textId="77777777" w:rsidR="00B05D3B" w:rsidRPr="00A42B5C" w:rsidRDefault="00B05D3B" w:rsidP="00565B02">
            <w:pPr>
              <w:pStyle w:val="xtableparagraph"/>
              <w:spacing w:line="263" w:lineRule="atLeast"/>
              <w:rPr>
                <w:rFonts w:ascii="Calibri" w:hAnsi="Calibri" w:cs="Calibri"/>
              </w:rPr>
            </w:pPr>
            <w:r w:rsidRPr="00A42B5C">
              <w:rPr>
                <w:rFonts w:ascii="Calibri" w:hAnsi="Calibri" w:cs="Calibri"/>
                <w:color w:val="000000"/>
                <w:sz w:val="24"/>
                <w:szCs w:val="24"/>
                <w:lang w:val="en-US"/>
              </w:rPr>
              <w:t>Data Analysis</w:t>
            </w:r>
          </w:p>
        </w:tc>
      </w:tr>
      <w:tr w:rsidR="00B05D3B" w:rsidRPr="00A42B5C" w14:paraId="5B374DE0" w14:textId="77777777" w:rsidTr="00565B02">
        <w:trPr>
          <w:trHeight w:val="283"/>
          <w:jc w:val="center"/>
        </w:trPr>
        <w:tc>
          <w:tcPr>
            <w:tcW w:w="979" w:type="dxa"/>
            <w:tcBorders>
              <w:top w:val="nil"/>
              <w:left w:val="single" w:sz="8" w:space="0" w:color="000000"/>
              <w:bottom w:val="single" w:sz="8" w:space="0" w:color="000000"/>
              <w:right w:val="single" w:sz="8" w:space="0" w:color="000000"/>
            </w:tcBorders>
            <w:hideMark/>
          </w:tcPr>
          <w:p w14:paraId="24272A6B" w14:textId="77777777" w:rsidR="00B05D3B" w:rsidRPr="00A42B5C" w:rsidRDefault="00B05D3B" w:rsidP="00565B02">
            <w:pPr>
              <w:pStyle w:val="xtableparagraph"/>
              <w:spacing w:line="263" w:lineRule="atLeast"/>
              <w:ind w:left="8"/>
              <w:jc w:val="center"/>
              <w:rPr>
                <w:rFonts w:ascii="Calibri" w:hAnsi="Calibri" w:cs="Calibri"/>
              </w:rPr>
            </w:pPr>
            <w:r w:rsidRPr="00A42B5C">
              <w:rPr>
                <w:rFonts w:ascii="Calibri" w:hAnsi="Calibri" w:cs="Calibri"/>
                <w:sz w:val="24"/>
                <w:szCs w:val="24"/>
                <w:lang w:val="en-US"/>
              </w:rPr>
              <w:t>5</w:t>
            </w:r>
          </w:p>
        </w:tc>
        <w:tc>
          <w:tcPr>
            <w:tcW w:w="5017" w:type="dxa"/>
            <w:tcBorders>
              <w:top w:val="nil"/>
              <w:left w:val="nil"/>
              <w:bottom w:val="single" w:sz="8" w:space="0" w:color="000000"/>
              <w:right w:val="single" w:sz="8" w:space="0" w:color="000000"/>
            </w:tcBorders>
            <w:hideMark/>
          </w:tcPr>
          <w:p w14:paraId="0D92FE6D" w14:textId="77777777" w:rsidR="00B05D3B" w:rsidRPr="00F33916" w:rsidRDefault="00B05D3B" w:rsidP="00565B02">
            <w:pPr>
              <w:pStyle w:val="xtableparagraph"/>
              <w:spacing w:line="263" w:lineRule="atLeast"/>
              <w:rPr>
                <w:rFonts w:ascii="Calibri" w:hAnsi="Calibri" w:cs="Calibri"/>
                <w:color w:val="000000"/>
                <w:sz w:val="24"/>
                <w:szCs w:val="24"/>
                <w:lang w:val="en-US"/>
              </w:rPr>
            </w:pPr>
            <w:r w:rsidRPr="00F33916">
              <w:rPr>
                <w:rFonts w:ascii="Calibri" w:hAnsi="Calibri" w:cs="Calibri"/>
                <w:color w:val="000000"/>
                <w:sz w:val="24"/>
                <w:szCs w:val="24"/>
                <w:lang w:val="en-US"/>
              </w:rPr>
              <w:t>Conclusion and Findings</w:t>
            </w:r>
          </w:p>
        </w:tc>
      </w:tr>
    </w:tbl>
    <w:p w14:paraId="27833B20" w14:textId="77777777" w:rsidR="00B05D3B" w:rsidRDefault="00B05D3B" w:rsidP="00B05D3B">
      <w:pPr>
        <w:spacing w:line="360" w:lineRule="auto"/>
        <w:jc w:val="both"/>
      </w:pPr>
    </w:p>
    <w:sectPr w:rsidR="00B05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7558"/>
    <w:multiLevelType w:val="multilevel"/>
    <w:tmpl w:val="1600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01532"/>
    <w:multiLevelType w:val="hybridMultilevel"/>
    <w:tmpl w:val="AE56AD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9B56545"/>
    <w:multiLevelType w:val="multilevel"/>
    <w:tmpl w:val="8B58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74C12"/>
    <w:multiLevelType w:val="multilevel"/>
    <w:tmpl w:val="8AA8B95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F06E6"/>
    <w:multiLevelType w:val="multilevel"/>
    <w:tmpl w:val="AD924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B268C7"/>
    <w:multiLevelType w:val="hybridMultilevel"/>
    <w:tmpl w:val="BAEC93AA"/>
    <w:lvl w:ilvl="0" w:tplc="40090015">
      <w:start w:val="1"/>
      <w:numFmt w:val="upp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F525BC6"/>
    <w:multiLevelType w:val="hybridMultilevel"/>
    <w:tmpl w:val="EA624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061B98"/>
    <w:multiLevelType w:val="hybridMultilevel"/>
    <w:tmpl w:val="BBA2ED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52794523">
    <w:abstractNumId w:val="0"/>
  </w:num>
  <w:num w:numId="2" w16cid:durableId="184027673">
    <w:abstractNumId w:val="2"/>
  </w:num>
  <w:num w:numId="3" w16cid:durableId="1397973546">
    <w:abstractNumId w:val="3"/>
  </w:num>
  <w:num w:numId="4" w16cid:durableId="1797328084">
    <w:abstractNumId w:val="4"/>
  </w:num>
  <w:num w:numId="5" w16cid:durableId="2005011307">
    <w:abstractNumId w:val="5"/>
  </w:num>
  <w:num w:numId="6" w16cid:durableId="579600759">
    <w:abstractNumId w:val="7"/>
  </w:num>
  <w:num w:numId="7" w16cid:durableId="1270814581">
    <w:abstractNumId w:val="1"/>
  </w:num>
  <w:num w:numId="8" w16cid:durableId="9435348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36"/>
    <w:rsid w:val="0006600B"/>
    <w:rsid w:val="0008405A"/>
    <w:rsid w:val="000D2462"/>
    <w:rsid w:val="001C06EF"/>
    <w:rsid w:val="002A6707"/>
    <w:rsid w:val="002C7F12"/>
    <w:rsid w:val="00334BA4"/>
    <w:rsid w:val="00457849"/>
    <w:rsid w:val="005B1661"/>
    <w:rsid w:val="006D1F80"/>
    <w:rsid w:val="00707DE9"/>
    <w:rsid w:val="007C5836"/>
    <w:rsid w:val="00B05D3B"/>
    <w:rsid w:val="00C52B4F"/>
    <w:rsid w:val="00D449BC"/>
    <w:rsid w:val="00E4439C"/>
    <w:rsid w:val="00E94642"/>
    <w:rsid w:val="00EB3946"/>
    <w:rsid w:val="00F81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4313"/>
  <w15:chartTrackingRefBased/>
  <w15:docId w15:val="{9577E8BA-D36A-4D7C-AA96-E4DEA831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8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58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8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8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8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8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8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8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8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8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58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8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8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8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8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8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8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836"/>
    <w:rPr>
      <w:rFonts w:eastAsiaTheme="majorEastAsia" w:cstheme="majorBidi"/>
      <w:color w:val="272727" w:themeColor="text1" w:themeTint="D8"/>
    </w:rPr>
  </w:style>
  <w:style w:type="paragraph" w:styleId="Title">
    <w:name w:val="Title"/>
    <w:basedOn w:val="Normal"/>
    <w:next w:val="Normal"/>
    <w:link w:val="TitleChar"/>
    <w:uiPriority w:val="10"/>
    <w:qFormat/>
    <w:rsid w:val="007C58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8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8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8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836"/>
    <w:pPr>
      <w:spacing w:before="160"/>
      <w:jc w:val="center"/>
    </w:pPr>
    <w:rPr>
      <w:i/>
      <w:iCs/>
      <w:color w:val="404040" w:themeColor="text1" w:themeTint="BF"/>
    </w:rPr>
  </w:style>
  <w:style w:type="character" w:customStyle="1" w:styleId="QuoteChar">
    <w:name w:val="Quote Char"/>
    <w:basedOn w:val="DefaultParagraphFont"/>
    <w:link w:val="Quote"/>
    <w:uiPriority w:val="29"/>
    <w:rsid w:val="007C5836"/>
    <w:rPr>
      <w:i/>
      <w:iCs/>
      <w:color w:val="404040" w:themeColor="text1" w:themeTint="BF"/>
    </w:rPr>
  </w:style>
  <w:style w:type="paragraph" w:styleId="ListParagraph">
    <w:name w:val="List Paragraph"/>
    <w:basedOn w:val="Normal"/>
    <w:uiPriority w:val="34"/>
    <w:qFormat/>
    <w:rsid w:val="007C5836"/>
    <w:pPr>
      <w:ind w:left="720"/>
      <w:contextualSpacing/>
    </w:pPr>
  </w:style>
  <w:style w:type="character" w:styleId="IntenseEmphasis">
    <w:name w:val="Intense Emphasis"/>
    <w:basedOn w:val="DefaultParagraphFont"/>
    <w:uiPriority w:val="21"/>
    <w:qFormat/>
    <w:rsid w:val="007C5836"/>
    <w:rPr>
      <w:i/>
      <w:iCs/>
      <w:color w:val="0F4761" w:themeColor="accent1" w:themeShade="BF"/>
    </w:rPr>
  </w:style>
  <w:style w:type="paragraph" w:styleId="IntenseQuote">
    <w:name w:val="Intense Quote"/>
    <w:basedOn w:val="Normal"/>
    <w:next w:val="Normal"/>
    <w:link w:val="IntenseQuoteChar"/>
    <w:uiPriority w:val="30"/>
    <w:qFormat/>
    <w:rsid w:val="007C58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836"/>
    <w:rPr>
      <w:i/>
      <w:iCs/>
      <w:color w:val="0F4761" w:themeColor="accent1" w:themeShade="BF"/>
    </w:rPr>
  </w:style>
  <w:style w:type="character" w:styleId="IntenseReference">
    <w:name w:val="Intense Reference"/>
    <w:basedOn w:val="DefaultParagraphFont"/>
    <w:uiPriority w:val="32"/>
    <w:qFormat/>
    <w:rsid w:val="007C5836"/>
    <w:rPr>
      <w:b/>
      <w:bCs/>
      <w:smallCaps/>
      <w:color w:val="0F4761" w:themeColor="accent1" w:themeShade="BF"/>
      <w:spacing w:val="5"/>
    </w:rPr>
  </w:style>
  <w:style w:type="paragraph" w:customStyle="1" w:styleId="xmsonormal">
    <w:name w:val="x_msonormal"/>
    <w:basedOn w:val="Normal"/>
    <w:rsid w:val="00B05D3B"/>
    <w:pPr>
      <w:spacing w:after="0" w:line="240" w:lineRule="auto"/>
    </w:pPr>
    <w:rPr>
      <w:rFonts w:ascii="Calibri" w:hAnsi="Calibri" w:cs="Calibri"/>
      <w:kern w:val="0"/>
      <w:lang w:eastAsia="en-IN"/>
      <w14:ligatures w14:val="none"/>
    </w:rPr>
  </w:style>
  <w:style w:type="paragraph" w:customStyle="1" w:styleId="xtableparagraph">
    <w:name w:val="x_tableparagraph"/>
    <w:basedOn w:val="Normal"/>
    <w:rsid w:val="00B05D3B"/>
    <w:pPr>
      <w:autoSpaceDE w:val="0"/>
      <w:autoSpaceDN w:val="0"/>
      <w:spacing w:after="0" w:line="281" w:lineRule="atLeast"/>
      <w:ind w:left="107"/>
    </w:pPr>
    <w:rPr>
      <w:rFonts w:ascii="Cambria" w:hAnsi="Cambria" w:cs="Aptos"/>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7717">
      <w:bodyDiv w:val="1"/>
      <w:marLeft w:val="0"/>
      <w:marRight w:val="0"/>
      <w:marTop w:val="0"/>
      <w:marBottom w:val="0"/>
      <w:divBdr>
        <w:top w:val="none" w:sz="0" w:space="0" w:color="auto"/>
        <w:left w:val="none" w:sz="0" w:space="0" w:color="auto"/>
        <w:bottom w:val="none" w:sz="0" w:space="0" w:color="auto"/>
        <w:right w:val="none" w:sz="0" w:space="0" w:color="auto"/>
      </w:divBdr>
    </w:div>
    <w:div w:id="393629769">
      <w:bodyDiv w:val="1"/>
      <w:marLeft w:val="0"/>
      <w:marRight w:val="0"/>
      <w:marTop w:val="0"/>
      <w:marBottom w:val="0"/>
      <w:divBdr>
        <w:top w:val="none" w:sz="0" w:space="0" w:color="auto"/>
        <w:left w:val="none" w:sz="0" w:space="0" w:color="auto"/>
        <w:bottom w:val="none" w:sz="0" w:space="0" w:color="auto"/>
        <w:right w:val="none" w:sz="0" w:space="0" w:color="auto"/>
      </w:divBdr>
    </w:div>
    <w:div w:id="1574584982">
      <w:bodyDiv w:val="1"/>
      <w:marLeft w:val="0"/>
      <w:marRight w:val="0"/>
      <w:marTop w:val="0"/>
      <w:marBottom w:val="0"/>
      <w:divBdr>
        <w:top w:val="none" w:sz="0" w:space="0" w:color="auto"/>
        <w:left w:val="none" w:sz="0" w:space="0" w:color="auto"/>
        <w:bottom w:val="none" w:sz="0" w:space="0" w:color="auto"/>
        <w:right w:val="none" w:sz="0" w:space="0" w:color="auto"/>
      </w:divBdr>
    </w:div>
    <w:div w:id="190710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9bdc032-edda-4138-8ca0-bf68948a1cba" xsi:nil="true"/>
    <lcf76f155ced4ddcb4097134ff3c332f xmlns="b524b207-cdfd-4be5-9d36-c33bff3dd1d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33B4B6D108574AB17351D2C82E4A67" ma:contentTypeVersion="17" ma:contentTypeDescription="Create a new document." ma:contentTypeScope="" ma:versionID="59f1791ab61c26ec109087593a8d38ec">
  <xsd:schema xmlns:xsd="http://www.w3.org/2001/XMLSchema" xmlns:xs="http://www.w3.org/2001/XMLSchema" xmlns:p="http://schemas.microsoft.com/office/2006/metadata/properties" xmlns:ns2="b524b207-cdfd-4be5-9d36-c33bff3dd1d3" xmlns:ns3="89bdc032-edda-4138-8ca0-bf68948a1cba" targetNamespace="http://schemas.microsoft.com/office/2006/metadata/properties" ma:root="true" ma:fieldsID="6dea094c9090c52b9e721355a83b1855" ns2:_="" ns3:_="">
    <xsd:import namespace="b524b207-cdfd-4be5-9d36-c33bff3dd1d3"/>
    <xsd:import namespace="89bdc032-edda-4138-8ca0-bf68948a1c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24b207-cdfd-4be5-9d36-c33bff3dd1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b5cb970-4136-48ae-b37c-e849b55a91e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dc032-edda-4138-8ca0-bf68948a1c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0e2fc4c3-45a9-4811-bd84-01951a8384f0}" ma:internalName="TaxCatchAll" ma:showField="CatchAllData" ma:web="89bdc032-edda-4138-8ca0-bf68948a1c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534F99-5BE0-4792-9653-C6630F7919E6}">
  <ds:schemaRefs>
    <ds:schemaRef ds:uri="http://schemas.microsoft.com/office/2006/metadata/properties"/>
    <ds:schemaRef ds:uri="http://schemas.microsoft.com/office/infopath/2007/PartnerControls"/>
    <ds:schemaRef ds:uri="89bdc032-edda-4138-8ca0-bf68948a1cba"/>
    <ds:schemaRef ds:uri="b524b207-cdfd-4be5-9d36-c33bff3dd1d3"/>
  </ds:schemaRefs>
</ds:datastoreItem>
</file>

<file path=customXml/itemProps2.xml><?xml version="1.0" encoding="utf-8"?>
<ds:datastoreItem xmlns:ds="http://schemas.openxmlformats.org/officeDocument/2006/customXml" ds:itemID="{4BD05106-8D38-4DD3-A636-DFE51B32A7DB}">
  <ds:schemaRefs>
    <ds:schemaRef ds:uri="http://schemas.microsoft.com/sharepoint/v3/contenttype/forms"/>
  </ds:schemaRefs>
</ds:datastoreItem>
</file>

<file path=customXml/itemProps3.xml><?xml version="1.0" encoding="utf-8"?>
<ds:datastoreItem xmlns:ds="http://schemas.openxmlformats.org/officeDocument/2006/customXml" ds:itemID="{D6E52683-3565-4D91-B76E-05EC686B1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24b207-cdfd-4be5-9d36-c33bff3dd1d3"/>
    <ds:schemaRef ds:uri="89bdc032-edda-4138-8ca0-bf68948a1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Royson  Almeida</dc:creator>
  <cp:keywords/>
  <dc:description/>
  <cp:lastModifiedBy>Royson  Almeida</cp:lastModifiedBy>
  <cp:revision>10</cp:revision>
  <dcterms:created xsi:type="dcterms:W3CDTF">2025-01-27T05:47:00Z</dcterms:created>
  <dcterms:modified xsi:type="dcterms:W3CDTF">2025-02-13T11:21:00Z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0x010100CE33B4B6D108574AB17351D2C82E4A67</vt:lpwstr>
  </property>
  <property fmtid="{D5CDD505-2E9C-101B-9397-08002B2CF9AE}" pid="3" name="MediaServiceImageTags">
    <vt:lpwstr/>
  </property>
</Properties>
</file>