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sz w:val="40"/>
          <w:szCs w:val="40"/>
        </w:rPr>
        <w:t xml:space="preserve">Photovoltaic Power Prediction on Large-Scale Spatiotemporal Data</w:t>
      </w:r>
    </w:p>
    <w:p>
      <w:pPr>
        <w:spacing w:after="400"/>
        <w:jc w:val="center"/>
      </w:pPr>
      <w:r>
        <w:rPr>
          <w:i/>
          <w:iCs/>
          <w:sz w:val="24"/>
          <w:szCs w:val="24"/>
        </w:rPr>
        <w:t xml:space="preserve">ECE571 Machine Learning Course Project</w:t>
      </w:r>
    </w:p>
    <w:p>
      <w:pPr>
        <w:pStyle w:val="Heading1"/>
        <w:spacing w:after="100" w:before="200"/>
      </w:pPr>
      <w:r>
        <w:t xml:space="preserve">1. Abstract</w:t>
      </w:r>
    </w:p>
    <w:p>
      <w:pPr>
        <w:spacing w:after="100" w:line="252" w:lineRule="auto"/>
        <w:jc w:val="both"/>
      </w:pPr>
      <w:r>
        <w:rPr>
          <w:b w:val="false"/>
          <w:bCs w:val="false"/>
        </w:rPr>
        <w:t xml:space="preserve">Photovoltaic (PV) power output is intermittent and weather-dependent, which makes it a natural testbed for exploring different machine learning paradigms on the same underlying problem. This project uses a multi-year irradiance, weather, and PV-output dataset covering five U.S. cities (Amherst MA, Davis CA, Huron SD, Santa Barbara CA, and La Jolla CA) to work through five ML paradigms in sequence: supervised classification, supervised regression, dimension reduction, semi-supervised learning, and transfer learning. Classical models (logistic regression, random forests, gradient boosting) and deep models (multi-layer perceptrons, a GRU, and an autoencoder) were compared directly against each other under a consistent chronological train/test protocol designed to prevent data leakage. The strongest result was same-city Output Power regression for Davis (RMSE = 15.17 kW, R² = 0.953). Two paradigms produced genuinely mixed results rather than uniform success: dimension reduction reduced downstream performance at every tested compression level, and semi-supervised pseudo-labeling produced a small negative gain at every labeled-data fraction tested. Transfer learning, in contrast, clearly helped — a Davis-pretrained model fine-tuned on just 10 Amherst samples cut RMSE by 21.4% versus training on those same 10 samples alone. The most interesting finding came from diagnosing why an early version of the transfer experiment actually hurt performance: an overly conservative fine-tuning learning rate, not a fundamental limitation of transfer learning, was the cause, and correcting it reversed the result entirely. Overall, the project demonstrates that whether an advanced ML technique helps a given problem is an empirical question that has to be tested directly, not assumed.</w:t>
      </w:r>
    </w:p>
    <w:p>
      <w:pPr>
        <w:pStyle w:val="Heading1"/>
        <w:spacing w:after="100" w:before="200"/>
      </w:pPr>
      <w:r>
        <w:t xml:space="preserve">2. Introduction and Motivation</w:t>
      </w:r>
    </w:p>
    <w:p>
      <w:pPr>
        <w:spacing w:after="100" w:line="252" w:lineRule="auto"/>
        <w:jc w:val="both"/>
      </w:pPr>
      <w:r>
        <w:rPr>
          <w:b w:val="false"/>
          <w:bCs w:val="false"/>
        </w:rPr>
        <w:t xml:space="preserve">Solar photovoltaic generation is one of the fastest-growing sources of electricity, but it is also one of the hardest to plan around. Unlike a fossil-fuel plant, a PV installation cannot be turned up on demand — its output is set by the weather. This intermittency creates real operational problems: grid operators need to know how much power to expect over the next hours or days to schedule other generation and reserves; battery storage systems need forecasts to decide when to charge and discharge; and utilities planning a new installation with little or no historical data need some way to estimate what it will produce. All three are, at their core, machine learning problems — relating weather and irradiance conditions to electrical output, sometimes with plenty of historical data and sometimes with very little.</w:t>
      </w:r>
    </w:p>
    <w:p>
      <w:pPr>
        <w:spacing w:after="100" w:line="252" w:lineRule="auto"/>
        <w:jc w:val="both"/>
      </w:pPr>
      <w:r>
        <w:rPr>
          <w:b w:val="false"/>
          <w:bCs w:val="false"/>
        </w:rPr>
        <w:t xml:space="preserve">This project uses a real dataset of irradiance, weather, and measured PV Output Power across five U.S. cities to explore this family of problems, broken into five distinct ML paradigms rather than a single end-to-end pipeline, so each can be tested cleanly against its own appropriate baseline:</w:t>
      </w:r>
    </w:p>
    <w:p>
      <w:pPr>
        <w:spacing w:after="80" w:line="252" w:lineRule="auto"/>
        <w:ind w:left="360" w:hanging="360"/>
      </w:pPr>
      <w:r>
        <w:rPr>
          <w:b w:val="false"/>
          <w:bCs w:val="false"/>
        </w:rPr>
        <w:t xml:space="preserve">1. </w:t>
      </w:r>
      <w:r>
        <w:rPr>
          <w:b/>
          <w:bCs/>
        </w:rPr>
        <w:t xml:space="preserve">Supervised Classification</w:t>
      </w:r>
      <w:r>
        <w:rPr>
          <w:b w:val="false"/>
          <w:bCs w:val="false"/>
        </w:rPr>
        <w:t xml:space="preserve"> — can weather features predict a</w:t>
      </w:r>
    </w:p>
    <w:p>
      <w:pPr>
        <w:spacing w:after="100" w:line="252" w:lineRule="auto"/>
        <w:jc w:val="both"/>
      </w:pPr>
      <w:r>
        <w:rPr>
          <w:b w:val="false"/>
          <w:bCs w:val="false"/>
        </w:rPr>
        <w:t xml:space="preserve">   discrete sky condition or generation level?</w:t>
      </w:r>
    </w:p>
    <w:p>
      <w:pPr>
        <w:spacing w:after="80" w:line="252" w:lineRule="auto"/>
        <w:ind w:left="360" w:hanging="360"/>
      </w:pPr>
      <w:r>
        <w:rPr>
          <w:b w:val="false"/>
          <w:bCs w:val="false"/>
        </w:rPr>
        <w:t xml:space="preserve">2. </w:t>
      </w:r>
      <w:r>
        <w:rPr>
          <w:b/>
          <w:bCs/>
        </w:rPr>
        <w:t xml:space="preserve">Supervised Regression</w:t>
      </w:r>
      <w:r>
        <w:rPr>
          <w:b w:val="false"/>
          <w:bCs w:val="false"/>
        </w:rPr>
        <w:t xml:space="preserve"> (the project's core task) — how</w:t>
      </w:r>
    </w:p>
    <w:p>
      <w:pPr>
        <w:spacing w:after="100" w:line="252" w:lineRule="auto"/>
        <w:jc w:val="both"/>
      </w:pPr>
      <w:r>
        <w:rPr>
          <w:b w:val="false"/>
          <w:bCs w:val="false"/>
        </w:rPr>
        <w:t xml:space="preserve">   accurately can continuous Output Power be predicted, same-city,    across cities, and as a short-term forecast?</w:t>
      </w:r>
    </w:p>
    <w:p>
      <w:pPr>
        <w:spacing w:after="80" w:line="252" w:lineRule="auto"/>
        <w:ind w:left="360" w:hanging="360"/>
      </w:pPr>
      <w:r>
        <w:rPr>
          <w:b w:val="false"/>
          <w:bCs w:val="false"/>
        </w:rPr>
        <w:t xml:space="preserve">3. </w:t>
      </w:r>
      <w:r>
        <w:rPr>
          <w:b/>
          <w:bCs/>
        </w:rPr>
        <w:t xml:space="preserve">Dimension Reduction</w:t>
      </w:r>
      <w:r>
        <w:rPr>
          <w:b w:val="false"/>
          <w:bCs w:val="false"/>
        </w:rPr>
        <w:t xml:space="preserve"> — can the feature space be compressed</w:t>
      </w:r>
    </w:p>
    <w:p>
      <w:pPr>
        <w:spacing w:after="100" w:line="252" w:lineRule="auto"/>
        <w:jc w:val="both"/>
      </w:pPr>
      <w:r>
        <w:rPr>
          <w:b w:val="false"/>
          <w:bCs w:val="false"/>
        </w:rPr>
        <w:t xml:space="preserve">   without losing the information the earlier tasks depend on?</w:t>
      </w:r>
    </w:p>
    <w:p>
      <w:pPr>
        <w:spacing w:after="80" w:line="252" w:lineRule="auto"/>
        <w:ind w:left="360" w:hanging="360"/>
      </w:pPr>
      <w:r>
        <w:rPr>
          <w:b w:val="false"/>
          <w:bCs w:val="false"/>
        </w:rPr>
        <w:t xml:space="preserve">4. </w:t>
      </w:r>
      <w:r>
        <w:rPr>
          <w:b/>
          <w:bCs/>
        </w:rPr>
        <w:t xml:space="preserve">Semi-Supervised Learning</w:t>
      </w:r>
      <w:r>
        <w:rPr>
          <w:b w:val="false"/>
          <w:bCs w:val="false"/>
        </w:rPr>
        <w:t xml:space="preserve"> — how much does having a large pool of</w:t>
      </w:r>
    </w:p>
    <w:p>
      <w:pPr>
        <w:spacing w:after="100" w:line="252" w:lineRule="auto"/>
        <w:jc w:val="both"/>
      </w:pPr>
      <w:r>
        <w:rPr>
          <w:b w:val="false"/>
          <w:bCs w:val="false"/>
        </w:rPr>
        <w:t xml:space="preserve">   unlabeled weather data help when only a few labels are available?</w:t>
      </w:r>
    </w:p>
    <w:p>
      <w:pPr>
        <w:spacing w:after="80" w:line="252" w:lineRule="auto"/>
        <w:ind w:left="360" w:hanging="360"/>
      </w:pPr>
      <w:r>
        <w:rPr>
          <w:b w:val="false"/>
          <w:bCs w:val="false"/>
        </w:rPr>
        <w:t xml:space="preserve">5. </w:t>
      </w:r>
      <w:r>
        <w:rPr>
          <w:b/>
          <w:bCs/>
        </w:rPr>
        <w:t xml:space="preserve">Transfer Learning</w:t>
      </w:r>
      <w:r>
        <w:rPr>
          <w:b w:val="false"/>
          <w:bCs w:val="false"/>
        </w:rPr>
        <w:t xml:space="preserve"> — can a model trained on a data-rich city</w:t>
      </w:r>
    </w:p>
    <w:p>
      <w:pPr>
        <w:spacing w:after="100" w:line="252" w:lineRule="auto"/>
        <w:jc w:val="both"/>
      </w:pPr>
      <w:r>
        <w:rPr>
          <w:b w:val="false"/>
          <w:bCs w:val="false"/>
        </w:rPr>
        <w:t xml:space="preserve">   (Davis) help a data-poor city (Amherst)?</w:t>
      </w:r>
    </w:p>
    <w:p>
      <w:pPr>
        <w:spacing w:after="100" w:line="252" w:lineRule="auto"/>
        <w:jc w:val="both"/>
      </w:pPr>
      <w:r>
        <w:rPr>
          <w:b w:val="false"/>
          <w:bCs w:val="false"/>
        </w:rPr>
        <w:t xml:space="preserve">The project's goal is not simply to produce the best possible number on each task, but to test, honestly, which of these five paradigms actually help for this kind of data — and to explain why, in each case, using the course's own methods and vocabulary.</w:t>
      </w:r>
    </w:p>
    <w:p>
      <w:pPr>
        <w:pStyle w:val="Heading1"/>
        <w:spacing w:after="100" w:before="200"/>
      </w:pPr>
      <w:r>
        <w:t xml:space="preserve">3. Dataset and Problem Formulation</w:t>
      </w:r>
    </w:p>
    <w:p>
      <w:pPr>
        <w:spacing w:after="100" w:line="252" w:lineRule="auto"/>
        <w:jc w:val="both"/>
      </w:pPr>
      <w:r>
        <w:rPr>
          <w:b w:val="false"/>
          <w:bCs w:val="false"/>
        </w:rPr>
        <w:t xml:space="preserve">The dataset comes from a single Excel workbook with 9 sheets covering 5 cities: </w:t>
      </w:r>
      <w:r>
        <w:rPr>
          <w:b/>
          <w:bCs/>
        </w:rPr>
        <w:t xml:space="preserve">Amherst, MA</w:t>
      </w:r>
      <w:r>
        <w:rPr>
          <w:b w:val="false"/>
          <w:bCs w:val="false"/>
        </w:rPr>
        <w:t xml:space="preserve"> (2018–2020, 12,056 rows), </w:t>
      </w:r>
      <w:r>
        <w:rPr>
          <w:b/>
          <w:bCs/>
        </w:rPr>
        <w:t xml:space="preserve">Davis, CA</w:t>
      </w:r>
      <w:r>
        <w:rPr>
          <w:b w:val="false"/>
          <w:bCs w:val="false"/>
        </w:rPr>
        <w:t xml:space="preserve"> (2011–2016, 24,112 rows), </w:t>
      </w:r>
      <w:r>
        <w:rPr>
          <w:b/>
          <w:bCs/>
        </w:rPr>
        <w:t xml:space="preserve">Huron, SD</w:t>
      </w:r>
      <w:r>
        <w:rPr>
          <w:b w:val="false"/>
          <w:bCs w:val="false"/>
        </w:rPr>
        <w:t xml:space="preserve"> (2011–2016, 24,112 rows), </w:t>
      </w:r>
      <w:r>
        <w:rPr>
          <w:b/>
          <w:bCs/>
        </w:rPr>
        <w:t xml:space="preserve">Santa Barbara, CA</w:t>
      </w:r>
      <w:r>
        <w:rPr>
          <w:b w:val="false"/>
          <w:bCs w:val="false"/>
        </w:rPr>
        <w:t xml:space="preserve"> (2011–2016, 24,112 rows), and </w:t>
      </w:r>
      <w:r>
        <w:rPr>
          <w:b/>
          <w:bCs/>
        </w:rPr>
        <w:t xml:space="preserve">La Jolla, CA</w:t>
      </w:r>
      <w:r>
        <w:rPr>
          <w:b w:val="false"/>
          <w:bCs w:val="false"/>
        </w:rPr>
        <w:t xml:space="preserve"> (2011–2016, 24,112 rows). Four of the nine sheets are exact 2014–2016 subsets of the corresponding six-year sheets, used for a 3-year vs. 6-year data-volume comparison in Problem 2. Readings are taken every 30 minutes across an 11-sample daytime window (10:00–15:00), giving roughly 12,000–24,000 rows per city depending on how many years of history that city has.</w:t>
      </w:r>
    </w:p>
    <w:p>
      <w:pPr>
        <w:spacing w:after="100" w:line="252" w:lineRule="auto"/>
        <w:jc w:val="both"/>
      </w:pPr>
      <w:r>
        <w:rPr>
          <w:b w:val="false"/>
          <w:bCs w:val="false"/>
        </w:rPr>
        <w:t xml:space="preserve">Each row contains 22 columns: irradiance measurements (GHI, DNI, DHI, and their theoretical clear-sky equivalents), weather variables (Temperature, Relative Humidity, Wind Speed, Wind Direction, Dew Point, Pressure, Surface Albedo, Precipitable Water), a categorical Cloud Type code, Solar Zenith Angle, and the target variable, </w:t>
      </w:r>
      <w:r>
        <w:rPr>
          <w:b/>
          <w:bCs/>
        </w:rPr>
        <w:t xml:space="preserve">Output Power</w:t>
      </w:r>
      <w:r>
        <w:rPr>
          <w:b w:val="false"/>
          <w:bCs w:val="false"/>
        </w:rPr>
        <w:t xml:space="preserve">, measured in kW. Missing data is minimal: the only gap in the entire workbook is 4 rows of missing Output Power in the Amherst sheet (2020-07-06, four consecutive 30-minute readings).</w:t>
      </w:r>
    </w:p>
    <w:p>
      <w:pPr>
        <w:spacing w:after="100" w:line="252" w:lineRule="auto"/>
        <w:jc w:val="both"/>
      </w:pPr>
      <w:r>
        <w:rPr>
          <w:b/>
          <w:bCs/>
        </w:rPr>
        <w:t xml:space="preserve">The central challenge running through this project is that Output Power has a different physical scale in every city</w:t>
      </w:r>
      <w:r>
        <w:rPr>
          <w:b w:val="false"/>
          <w:bCs w:val="false"/>
        </w:rPr>
        <w:t xml:space="preserve"> — Davis's average output (164.0 kW) is roughly 2.7 times Amherst's (60.9 kW) and 3.3 times Huron's (50.1 kW), reflecting different plant capacities, not different weather quality (Figure 1). This scale difference turns out to matter enormously for Problems 2 and 5, both of which involve comparing or transferring information across cities.</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1.</w:t>
      </w:r>
      <w:r>
        <w:rPr>
          <w:b w:val="false"/>
          <w:bCs w:val="false"/>
        </w:rPr>
        <w:t xml:space="preserve"> Output Power distribution by city. Davis's plant produces roughly 2.7–3.5× the average output of the other four cities — the scale mismatch that drives the cross-city and transfer-learning findings in Sections 6 and 9.</w:t>
      </w:r>
    </w:p>
    <w:p>
      <w:pPr>
        <w:pStyle w:val="Heading1"/>
        <w:spacing w:after="100" w:before="200"/>
      </w:pPr>
      <w:r>
        <w:t xml:space="preserve">4. Experimental Methodology</w:t>
      </w:r>
    </w:p>
    <w:p>
      <w:pPr>
        <w:spacing w:after="100" w:line="252" w:lineRule="auto"/>
        <w:jc w:val="both"/>
      </w:pPr>
      <w:r>
        <w:rPr>
          <w:b/>
          <w:bCs/>
        </w:rPr>
        <w:t xml:space="preserve">Preprocessing and feature engineering.</w:t>
      </w:r>
      <w:r>
        <w:rPr>
          <w:b w:val="false"/>
          <w:bCs w:val="false"/>
        </w:rPr>
        <w:t xml:space="preserve"> Two engineered features are used throughout: the </w:t>
      </w:r>
      <w:r>
        <w:rPr>
          <w:b/>
          <w:bCs/>
        </w:rPr>
        <w:t xml:space="preserve">Clear-Sky Index</w:t>
      </w:r>
      <w:r>
        <w:rPr>
          <w:b w:val="false"/>
          <w:bCs w:val="false"/>
        </w:rPr>
        <w:t xml:space="preserve"> (`k = GHI / Clearsky GHI`, with safe handling of any zero-denominator rows) and </w:t>
      </w:r>
      <w:r>
        <w:rPr>
          <w:b/>
          <w:bCs/>
        </w:rPr>
        <w:t xml:space="preserve">cyclical time encodings</w:t>
      </w:r>
      <w:r>
        <w:rPr>
          <w:b w:val="false"/>
          <w:bCs w:val="false"/>
        </w:rPr>
        <w:t xml:space="preserve"> (sine/cosine transforms of hour-of-day, month, and day-of-year, so that, for example, 23:00 and 00:00 are close together rather than maximally far apart as raw integers would make them). </w:t>
      </w:r>
      <w:r>
        <w:rPr>
          <w:b/>
          <w:bCs/>
        </w:rPr>
        <w:t xml:space="preserve">Cloud Type is a categorical code, not a continuous quantity</w:t>
      </w:r>
      <w:r>
        <w:rPr>
          <w:b w:val="false"/>
          <w:bCs w:val="false"/>
        </w:rPr>
        <w:t xml:space="preserve"> (code 7 is not "more" than code 3), and is one-hot encoded everywhere it is used. All numeric features are standardized (zero mean, unit variance).</w:t>
      </w:r>
    </w:p>
    <w:p>
      <w:pPr>
        <w:spacing w:after="100" w:line="252" w:lineRule="auto"/>
        <w:jc w:val="both"/>
      </w:pPr>
      <w:r>
        <w:rPr>
          <w:b/>
          <w:bCs/>
        </w:rPr>
        <w:t xml:space="preserve">Leakage prevention.</w:t>
      </w:r>
      <w:r>
        <w:rPr>
          <w:b w:val="false"/>
          <w:bCs w:val="false"/>
        </w:rPr>
        <w:t xml:space="preserve"> Every scaler and encoder is fit on training data only and then applied, unchanged, to the corresponding test data — never the reverse, and never on combined data. </w:t>
      </w:r>
      <w:r>
        <w:rPr>
          <w:b/>
          <w:bCs/>
        </w:rPr>
        <w:t xml:space="preserve">Randomly shuffling the time series before splitting would be an invalid experimental setup for this problem</w:t>
      </w:r>
      <w:r>
        <w:rPr>
          <w:b w:val="false"/>
          <w:bCs w:val="false"/>
        </w:rPr>
        <w:t xml:space="preserve">, because it would let a model trained on, say, next Tuesday's readings predict last Monday's — a form of information leakage from the future into the past that would make every reported metric optimistic and meaningless for genuine forecasting. Every same-city experiment in this project therefore uses a </w:t>
      </w:r>
      <w:r>
        <w:rPr>
          <w:b/>
          <w:bCs/>
        </w:rPr>
        <w:t xml:space="preserve">chronological 80/20 split</w:t>
      </w:r>
      <w:r>
        <w:rPr>
          <w:b w:val="false"/>
          <w:bCs w:val="false"/>
        </w:rPr>
        <w:t xml:space="preserve">: the first 80% of a city's timestamps, in order, form the training set, and the last 20% form the test set, which is touched only for final evaluation.</w:t>
      </w:r>
    </w:p>
    <w:p>
      <w:pPr>
        <w:spacing w:after="100" w:line="252" w:lineRule="auto"/>
        <w:jc w:val="both"/>
      </w:pPr>
      <w:r>
        <w:rPr>
          <w:b/>
          <w:bCs/>
        </w:rPr>
        <w:t xml:space="preserve">Cross-city experiments</w:t>
      </w:r>
      <w:r>
        <w:rPr>
          <w:b w:val="false"/>
          <w:bCs w:val="false"/>
        </w:rPr>
        <w:t xml:space="preserve"> (Problems 2 and 5) go further: a model is trained entirely on the source city and evaluated directly on a completely separate target city, with zero rows from the target city involved in fitting anything (not even a scaler).</w:t>
      </w:r>
    </w:p>
    <w:p>
      <w:pPr>
        <w:spacing w:after="100" w:line="252" w:lineRule="auto"/>
        <w:jc w:val="both"/>
      </w:pPr>
      <w:r>
        <w:rPr>
          <w:b/>
          <w:bCs/>
        </w:rPr>
        <w:t xml:space="preserve">Random seeds</w:t>
      </w:r>
      <w:r>
        <w:rPr>
          <w:b w:val="false"/>
          <w:bCs w:val="false"/>
        </w:rPr>
        <w:t xml:space="preserve"> `42`, `123`, and `2026` were used for every randomized experiment (model initialization, few-shot sampling), and results are reported as </w:t>
      </w:r>
      <w:r>
        <w:rPr>
          <w:b/>
          <w:bCs/>
        </w:rPr>
        <w:t xml:space="preserve">mean ± standard deviation across all three seeds</w:t>
      </w:r>
      <w:r>
        <w:rPr>
          <w:b w:val="false"/>
          <w:bCs w:val="false"/>
        </w:rPr>
        <w:t xml:space="preserve"> wherever three-seed data is available. Where a small hyperparameter search was needed, it used a </w:t>
      </w:r>
      <w:r>
        <w:rPr>
          <w:b/>
          <w:bCs/>
        </w:rPr>
        <w:t xml:space="preserve">chronological inner validation split of the training data only</w:t>
      </w:r>
      <w:r>
        <w:rPr>
          <w:b w:val="false"/>
          <w:bCs w:val="false"/>
        </w:rPr>
        <w:t xml:space="preserve"> — the last 20% of the training period, never the real test set — so that model-selection decisions never see the same data used for final evaluation.</w:t>
      </w:r>
    </w:p>
    <w:p>
      <w:pPr>
        <w:pStyle w:val="Heading1"/>
        <w:spacing w:after="100" w:before="200"/>
      </w:pPr>
      <w:r>
        <w:t xml:space="preserve">5. Problem 1 — Supervised Classification</w:t>
      </w:r>
    </w:p>
    <w:p>
      <w:pPr>
        <w:spacing w:after="100" w:line="252" w:lineRule="auto"/>
        <w:jc w:val="both"/>
      </w:pPr>
      <w:r>
        <w:rPr>
          <w:b w:val="false"/>
          <w:bCs w:val="false"/>
        </w:rPr>
        <w:t xml:space="preserve">Two classification tasks were built on top of the same feature set. </w:t>
      </w:r>
      <w:r>
        <w:rPr>
          <w:b/>
          <w:bCs/>
        </w:rPr>
        <w:t xml:space="preserve">Sky-condition classification</w:t>
      </w:r>
      <w:r>
        <w:rPr>
          <w:b w:val="false"/>
          <w:bCs w:val="false"/>
        </w:rPr>
        <w:t xml:space="preserve"> assigns each row to one of three classes — Clear, Partly Cloudy, or Overcast — based on thresholding the Clear-Sky Index (Clear: k ≥ 0.85; Partly Cloudy: 0.4 ≤ k &lt; 0.85; Overcast: k &lt; 0.4). </w:t>
      </w:r>
      <w:r>
        <w:rPr>
          <w:b/>
          <w:bCs/>
        </w:rPr>
        <w:t xml:space="preserve">Generation-regime classification</w:t>
      </w:r>
      <w:r>
        <w:rPr>
          <w:b w:val="false"/>
          <w:bCs w:val="false"/>
        </w:rPr>
        <w:t xml:space="preserve"> assigns each row to Low, Medium, or High Output Power using per-city terciles computed from training data only.</w:t>
      </w:r>
    </w:p>
    <w:p>
      <w:pPr>
        <w:spacing w:after="100" w:line="252" w:lineRule="auto"/>
        <w:jc w:val="both"/>
      </w:pPr>
      <w:r>
        <w:rPr>
          <w:b w:val="false"/>
          <w:bCs w:val="false"/>
        </w:rPr>
        <w:t xml:space="preserve">Because the sky-condition label is </w:t>
      </w:r>
      <w:r>
        <w:rPr>
          <w:b w:val="false"/>
          <w:bCs w:val="false"/>
          <w:i/>
          <w:iCs/>
        </w:rPr>
        <w:t xml:space="preserve">defined</w:t>
      </w:r>
      <w:r>
        <w:rPr>
          <w:b w:val="false"/>
          <w:bCs w:val="false"/>
        </w:rPr>
        <w:t xml:space="preserve"> by GHI and Clearsky GHI, </w:t>
      </w:r>
      <w:r>
        <w:rPr>
          <w:b/>
          <w:bCs/>
        </w:rPr>
        <w:t xml:space="preserve">both columns were excluded from the classifier's inputs</w:t>
      </w:r>
      <w:r>
        <w:rPr>
          <w:b w:val="false"/>
          <w:bCs w:val="false"/>
        </w:rPr>
        <w:t xml:space="preserve"> — using them would let the model see the answer directly rather than learn a genuine weather-to-sky-condition relationship. Solar Zenith Angle, DHI, and DNI were also excluded, since together they can approximately reconstruct GHI — a tested, not just theoretical, concern: including them pushed accuracy from around 0.74–0.81 up to roughly 0.98, confirming the leak was real.</w:t>
      </w:r>
    </w:p>
    <w:p>
      <w:pPr>
        <w:spacing w:after="100" w:line="252" w:lineRule="auto"/>
        <w:jc w:val="both"/>
      </w:pPr>
      <w:r>
        <w:rPr>
          <w:b w:val="false"/>
          <w:bCs w:val="false"/>
        </w:rPr>
        <w:t xml:space="preserve">Five classical models (majority-class baseline, logistic regression, decision tree, random forest, gradient boosting) and one neural network (a small feed-forward MLP) were compared, along with tuned and class-weighted variants of several of them.</w:t>
      </w:r>
    </w:p>
    <w:p>
      <w:pPr>
        <w:pStyle w:val="Heading2"/>
        <w:spacing w:after="60" w:before="140"/>
      </w:pPr>
      <w:r>
        <w:t xml:space="preserve">Results</w:t>
      </w:r>
    </w:p>
    <w:p>
      <w:pPr>
        <w:spacing w:after="100" w:line="252" w:lineRule="auto"/>
        <w:jc w:val="both"/>
      </w:pPr>
      <w:r>
        <w:rPr>
          <w:b/>
          <w:bCs/>
        </w:rPr>
        <w:t xml:space="preserve">Table 1. Problem 1 classification results (Davis, sky-condition, mean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20"/>
              <w:left w:type="dxa" w:w="80"/>
              <w:bottom w:type="dxa" w:w="20"/>
              <w:right w:type="dxa" w:w="80"/>
            </w:tcMar>
          </w:tcPr>
          <w:p>
            <w:pPr>
              <w:spacing w:after="0" w:line="240" w:lineRule="auto"/>
            </w:pPr>
            <w:r>
              <w:rPr>
                <w:b/>
                <w:bCs/>
              </w:rPr>
              <w:t xml:space="preserve">Method</w:t>
            </w:r>
          </w:p>
        </w:tc>
        <w:tc>
          <w:tcPr>
            <w:tcW w:type="dxa" w:w="2250"/>
            <w:shd w:fill="D9E2F3" w:val="clear"/>
            <w:tcMar>
              <w:top w:type="dxa" w:w="20"/>
              <w:left w:type="dxa" w:w="80"/>
              <w:bottom w:type="dxa" w:w="20"/>
              <w:right w:type="dxa" w:w="80"/>
            </w:tcMar>
          </w:tcPr>
          <w:p>
            <w:pPr>
              <w:spacing w:after="0" w:line="240" w:lineRule="auto"/>
            </w:pPr>
            <w:r>
              <w:rPr>
                <w:b/>
                <w:bCs/>
              </w:rPr>
              <w:t xml:space="preserve">Accuracy</w:t>
            </w:r>
          </w:p>
        </w:tc>
        <w:tc>
          <w:tcPr>
            <w:tcW w:type="dxa" w:w="2250"/>
            <w:shd w:fill="D9E2F3" w:val="clear"/>
            <w:tcMar>
              <w:top w:type="dxa" w:w="20"/>
              <w:left w:type="dxa" w:w="80"/>
              <w:bottom w:type="dxa" w:w="20"/>
              <w:right w:type="dxa" w:w="80"/>
            </w:tcMar>
          </w:tcPr>
          <w:p>
            <w:pPr>
              <w:spacing w:after="0" w:line="240" w:lineRule="auto"/>
            </w:pPr>
            <w:r>
              <w:rPr>
                <w:b/>
                <w:bCs/>
              </w:rPr>
              <w:t xml:space="preserve">Balanced Accuracy</w:t>
            </w:r>
          </w:p>
        </w:tc>
        <w:tc>
          <w:tcPr>
            <w:tcW w:type="dxa" w:w="2250"/>
            <w:shd w:fill="D9E2F3" w:val="clear"/>
            <w:tcMar>
              <w:top w:type="dxa" w:w="20"/>
              <w:left w:type="dxa" w:w="80"/>
              <w:bottom w:type="dxa" w:w="20"/>
              <w:right w:type="dxa" w:w="80"/>
            </w:tcMar>
          </w:tcPr>
          <w:p>
            <w:pPr>
              <w:spacing w:after="0" w:line="240" w:lineRule="auto"/>
            </w:pPr>
            <w:r>
              <w:rPr>
                <w:b/>
                <w:bCs/>
              </w:rPr>
              <w:t xml:space="preserve">Macro F1</w:t>
            </w:r>
          </w:p>
        </w:tc>
      </w:tr>
      <w:tr>
        <w:tc>
          <w:tcPr>
            <w:tcW w:type="dxa" w:w="2250"/>
            <w:tcMar>
              <w:top w:type="dxa" w:w="20"/>
              <w:left w:type="dxa" w:w="80"/>
              <w:bottom w:type="dxa" w:w="20"/>
              <w:right w:type="dxa" w:w="80"/>
            </w:tcMar>
          </w:tcPr>
          <w:p>
            <w:pPr>
              <w:spacing w:after="0" w:line="240" w:lineRule="auto"/>
            </w:pPr>
            <w:r>
              <w:rPr>
                <w:b w:val="false"/>
                <w:bCs w:val="false"/>
              </w:rPr>
              <w:t xml:space="preserve">Majority baseline</w:t>
            </w:r>
          </w:p>
        </w:tc>
        <w:tc>
          <w:tcPr>
            <w:tcW w:type="dxa" w:w="2250"/>
            <w:tcMar>
              <w:top w:type="dxa" w:w="20"/>
              <w:left w:type="dxa" w:w="80"/>
              <w:bottom w:type="dxa" w:w="20"/>
              <w:right w:type="dxa" w:w="80"/>
            </w:tcMar>
          </w:tcPr>
          <w:p>
            <w:pPr>
              <w:spacing w:after="0" w:line="240" w:lineRule="auto"/>
            </w:pPr>
            <w:r>
              <w:rPr>
                <w:b w:val="false"/>
                <w:bCs w:val="false"/>
              </w:rPr>
              <w:t xml:space="preserve">0.704</w:t>
            </w:r>
          </w:p>
        </w:tc>
        <w:tc>
          <w:tcPr>
            <w:tcW w:type="dxa" w:w="2250"/>
            <w:tcMar>
              <w:top w:type="dxa" w:w="20"/>
              <w:left w:type="dxa" w:w="80"/>
              <w:bottom w:type="dxa" w:w="20"/>
              <w:right w:type="dxa" w:w="80"/>
            </w:tcMar>
          </w:tcPr>
          <w:p>
            <w:pPr>
              <w:spacing w:after="0" w:line="240" w:lineRule="auto"/>
            </w:pPr>
            <w:r>
              <w:rPr>
                <w:b w:val="false"/>
                <w:bCs w:val="false"/>
              </w:rPr>
              <w:t xml:space="preserve">0.333</w:t>
            </w:r>
          </w:p>
        </w:tc>
        <w:tc>
          <w:tcPr>
            <w:tcW w:type="dxa" w:w="2250"/>
            <w:tcMar>
              <w:top w:type="dxa" w:w="20"/>
              <w:left w:type="dxa" w:w="80"/>
              <w:bottom w:type="dxa" w:w="20"/>
              <w:right w:type="dxa" w:w="80"/>
            </w:tcMar>
          </w:tcPr>
          <w:p>
            <w:pPr>
              <w:spacing w:after="0" w:line="240" w:lineRule="auto"/>
            </w:pPr>
            <w:r>
              <w:rPr>
                <w:b w:val="false"/>
                <w:bCs w:val="false"/>
              </w:rPr>
              <w:t xml:space="preserve">0.275</w:t>
            </w:r>
          </w:p>
        </w:tc>
      </w:tr>
      <w:tr>
        <w:tc>
          <w:tcPr>
            <w:tcW w:type="dxa" w:w="2250"/>
            <w:tcMar>
              <w:top w:type="dxa" w:w="20"/>
              <w:left w:type="dxa" w:w="80"/>
              <w:bottom w:type="dxa" w:w="20"/>
              <w:right w:type="dxa" w:w="80"/>
            </w:tcMar>
          </w:tcPr>
          <w:p>
            <w:pPr>
              <w:spacing w:after="0" w:line="240" w:lineRule="auto"/>
            </w:pPr>
            <w:r>
              <w:rPr>
                <w:b w:val="false"/>
                <w:bCs w:val="false"/>
              </w:rPr>
              <w:t xml:space="preserve">Decision tree</w:t>
            </w:r>
          </w:p>
        </w:tc>
        <w:tc>
          <w:tcPr>
            <w:tcW w:type="dxa" w:w="2250"/>
            <w:tcMar>
              <w:top w:type="dxa" w:w="20"/>
              <w:left w:type="dxa" w:w="80"/>
              <w:bottom w:type="dxa" w:w="20"/>
              <w:right w:type="dxa" w:w="80"/>
            </w:tcMar>
          </w:tcPr>
          <w:p>
            <w:pPr>
              <w:spacing w:after="0" w:line="240" w:lineRule="auto"/>
            </w:pPr>
            <w:r>
              <w:rPr>
                <w:b w:val="false"/>
                <w:bCs w:val="false"/>
              </w:rPr>
              <w:t xml:space="preserve">—</w:t>
            </w:r>
          </w:p>
        </w:tc>
        <w:tc>
          <w:tcPr>
            <w:tcW w:type="dxa" w:w="2250"/>
            <w:tcMar>
              <w:top w:type="dxa" w:w="20"/>
              <w:left w:type="dxa" w:w="80"/>
              <w:bottom w:type="dxa" w:w="20"/>
              <w:right w:type="dxa" w:w="80"/>
            </w:tcMar>
          </w:tcPr>
          <w:p>
            <w:pPr>
              <w:spacing w:after="0" w:line="240" w:lineRule="auto"/>
            </w:pPr>
            <w:r>
              <w:rPr>
                <w:b w:val="false"/>
                <w:bCs w:val="false"/>
              </w:rPr>
              <w:t xml:space="preserve">0.697</w:t>
            </w:r>
          </w:p>
        </w:tc>
        <w:tc>
          <w:tcPr>
            <w:tcW w:type="dxa" w:w="2250"/>
            <w:tcMar>
              <w:top w:type="dxa" w:w="20"/>
              <w:left w:type="dxa" w:w="80"/>
              <w:bottom w:type="dxa" w:w="20"/>
              <w:right w:type="dxa" w:w="80"/>
            </w:tcMar>
          </w:tcPr>
          <w:p>
            <w:pPr>
              <w:spacing w:after="0" w:line="240" w:lineRule="auto"/>
            </w:pPr>
            <w:r>
              <w:rPr>
                <w:b w:val="false"/>
                <w:bCs w:val="false"/>
              </w:rPr>
              <w:t xml:space="preserve">—</w:t>
            </w:r>
          </w:p>
        </w:tc>
      </w:tr>
      <w:tr>
        <w:tc>
          <w:tcPr>
            <w:tcW w:type="dxa" w:w="2250"/>
            <w:tcMar>
              <w:top w:type="dxa" w:w="20"/>
              <w:left w:type="dxa" w:w="80"/>
              <w:bottom w:type="dxa" w:w="20"/>
              <w:right w:type="dxa" w:w="80"/>
            </w:tcMar>
          </w:tcPr>
          <w:p>
            <w:pPr>
              <w:spacing w:after="0" w:line="240" w:lineRule="auto"/>
            </w:pPr>
            <w:r>
              <w:rPr>
                <w:b w:val="false"/>
                <w:bCs w:val="false"/>
              </w:rPr>
              <w:t xml:space="preserve">Random forest</w:t>
            </w:r>
          </w:p>
        </w:tc>
        <w:tc>
          <w:tcPr>
            <w:tcW w:type="dxa" w:w="2250"/>
            <w:tcMar>
              <w:top w:type="dxa" w:w="20"/>
              <w:left w:type="dxa" w:w="80"/>
              <w:bottom w:type="dxa" w:w="20"/>
              <w:right w:type="dxa" w:w="80"/>
            </w:tcMar>
          </w:tcPr>
          <w:p>
            <w:pPr>
              <w:spacing w:after="0" w:line="240" w:lineRule="auto"/>
            </w:pPr>
            <w:r>
              <w:rPr>
                <w:b w:val="false"/>
                <w:bCs w:val="false"/>
              </w:rPr>
              <w:t xml:space="preserve">—</w:t>
            </w:r>
          </w:p>
        </w:tc>
        <w:tc>
          <w:tcPr>
            <w:tcW w:type="dxa" w:w="2250"/>
            <w:tcMar>
              <w:top w:type="dxa" w:w="20"/>
              <w:left w:type="dxa" w:w="80"/>
              <w:bottom w:type="dxa" w:w="20"/>
              <w:right w:type="dxa" w:w="80"/>
            </w:tcMar>
          </w:tcPr>
          <w:p>
            <w:pPr>
              <w:spacing w:after="0" w:line="240" w:lineRule="auto"/>
            </w:pPr>
            <w:r>
              <w:rPr>
                <w:b w:val="false"/>
                <w:bCs w:val="false"/>
              </w:rPr>
              <w:t xml:space="preserve">0.743</w:t>
            </w:r>
          </w:p>
        </w:tc>
        <w:tc>
          <w:tcPr>
            <w:tcW w:type="dxa" w:w="2250"/>
            <w:tcMar>
              <w:top w:type="dxa" w:w="20"/>
              <w:left w:type="dxa" w:w="80"/>
              <w:bottom w:type="dxa" w:w="20"/>
              <w:right w:type="dxa" w:w="80"/>
            </w:tcMar>
          </w:tcPr>
          <w:p>
            <w:pPr>
              <w:spacing w:after="0" w:line="240" w:lineRule="auto"/>
            </w:pPr>
            <w:r>
              <w:rPr>
                <w:b w:val="false"/>
                <w:bCs w:val="false"/>
              </w:rPr>
              <w:t xml:space="preserve">—</w:t>
            </w:r>
          </w:p>
        </w:tc>
      </w:tr>
      <w:tr>
        <w:tc>
          <w:tcPr>
            <w:tcW w:type="dxa" w:w="2250"/>
            <w:tcMar>
              <w:top w:type="dxa" w:w="20"/>
              <w:left w:type="dxa" w:w="80"/>
              <w:bottom w:type="dxa" w:w="20"/>
              <w:right w:type="dxa" w:w="80"/>
            </w:tcMar>
          </w:tcPr>
          <w:p>
            <w:pPr>
              <w:spacing w:after="0" w:line="240" w:lineRule="auto"/>
            </w:pPr>
            <w:r>
              <w:rPr>
                <w:b w:val="false"/>
                <w:bCs w:val="false"/>
              </w:rPr>
              <w:t xml:space="preserve">Gradient boosting</w:t>
            </w:r>
          </w:p>
        </w:tc>
        <w:tc>
          <w:tcPr>
            <w:tcW w:type="dxa" w:w="2250"/>
            <w:tcMar>
              <w:top w:type="dxa" w:w="20"/>
              <w:left w:type="dxa" w:w="80"/>
              <w:bottom w:type="dxa" w:w="20"/>
              <w:right w:type="dxa" w:w="80"/>
            </w:tcMar>
          </w:tcPr>
          <w:p>
            <w:pPr>
              <w:spacing w:after="0" w:line="240" w:lineRule="auto"/>
            </w:pPr>
            <w:r>
              <w:rPr>
                <w:b w:val="false"/>
                <w:bCs w:val="false"/>
              </w:rPr>
              <w:t xml:space="preserve">—</w:t>
            </w:r>
          </w:p>
        </w:tc>
        <w:tc>
          <w:tcPr>
            <w:tcW w:type="dxa" w:w="2250"/>
            <w:tcMar>
              <w:top w:type="dxa" w:w="20"/>
              <w:left w:type="dxa" w:w="80"/>
              <w:bottom w:type="dxa" w:w="20"/>
              <w:right w:type="dxa" w:w="80"/>
            </w:tcMar>
          </w:tcPr>
          <w:p>
            <w:pPr>
              <w:spacing w:after="0" w:line="240" w:lineRule="auto"/>
            </w:pPr>
            <w:r>
              <w:rPr>
                <w:b w:val="false"/>
                <w:bCs w:val="false"/>
              </w:rPr>
              <w:t xml:space="preserve">0.752</w:t>
            </w:r>
          </w:p>
        </w:tc>
        <w:tc>
          <w:tcPr>
            <w:tcW w:type="dxa" w:w="2250"/>
            <w:tcMar>
              <w:top w:type="dxa" w:w="20"/>
              <w:left w:type="dxa" w:w="80"/>
              <w:bottom w:type="dxa" w:w="20"/>
              <w:right w:type="dxa" w:w="80"/>
            </w:tcMar>
          </w:tcPr>
          <w:p>
            <w:pPr>
              <w:spacing w:after="0" w:line="240" w:lineRule="auto"/>
            </w:pPr>
            <w:r>
              <w:rPr>
                <w:b w:val="false"/>
                <w:bCs w:val="false"/>
              </w:rPr>
              <w:t xml:space="preserve">—</w:t>
            </w:r>
          </w:p>
        </w:tc>
      </w:tr>
      <w:tr>
        <w:tc>
          <w:tcPr>
            <w:tcW w:type="dxa" w:w="2250"/>
            <w:tcMar>
              <w:top w:type="dxa" w:w="20"/>
              <w:left w:type="dxa" w:w="80"/>
              <w:bottom w:type="dxa" w:w="20"/>
              <w:right w:type="dxa" w:w="80"/>
            </w:tcMar>
          </w:tcPr>
          <w:p>
            <w:pPr>
              <w:spacing w:after="0" w:line="240" w:lineRule="auto"/>
            </w:pPr>
            <w:r>
              <w:rPr>
                <w:b w:val="false"/>
                <w:bCs w:val="false"/>
              </w:rPr>
              <w:t xml:space="preserve">MLP</w:t>
            </w:r>
          </w:p>
        </w:tc>
        <w:tc>
          <w:tcPr>
            <w:tcW w:type="dxa" w:w="2250"/>
            <w:tcMar>
              <w:top w:type="dxa" w:w="20"/>
              <w:left w:type="dxa" w:w="80"/>
              <w:bottom w:type="dxa" w:w="20"/>
              <w:right w:type="dxa" w:w="80"/>
            </w:tcMar>
          </w:tcPr>
          <w:p>
            <w:pPr>
              <w:spacing w:after="0" w:line="240" w:lineRule="auto"/>
            </w:pPr>
            <w:r>
              <w:rPr>
                <w:b w:val="false"/>
                <w:bCs w:val="false"/>
              </w:rPr>
              <w:t xml:space="preserve">—</w:t>
            </w:r>
          </w:p>
        </w:tc>
        <w:tc>
          <w:tcPr>
            <w:tcW w:type="dxa" w:w="2250"/>
            <w:tcMar>
              <w:top w:type="dxa" w:w="20"/>
              <w:left w:type="dxa" w:w="80"/>
              <w:bottom w:type="dxa" w:w="20"/>
              <w:right w:type="dxa" w:w="80"/>
            </w:tcMar>
          </w:tcPr>
          <w:p>
            <w:pPr>
              <w:spacing w:after="0" w:line="240" w:lineRule="auto"/>
            </w:pPr>
            <w:r>
              <w:rPr>
                <w:b w:val="false"/>
                <w:bCs w:val="false"/>
              </w:rPr>
              <w:t xml:space="preserve">0.755</w:t>
            </w:r>
          </w:p>
        </w:tc>
        <w:tc>
          <w:tcPr>
            <w:tcW w:type="dxa" w:w="2250"/>
            <w:tcMar>
              <w:top w:type="dxa" w:w="20"/>
              <w:left w:type="dxa" w:w="80"/>
              <w:bottom w:type="dxa" w:w="20"/>
              <w:right w:type="dxa" w:w="80"/>
            </w:tcMar>
          </w:tcPr>
          <w:p>
            <w:pPr>
              <w:spacing w:after="0" w:line="240" w:lineRule="auto"/>
            </w:pPr>
            <w:r>
              <w:rPr>
                <w:b w:val="false"/>
                <w:bCs w:val="false"/>
              </w:rPr>
              <w:t xml:space="preserve">—</w:t>
            </w:r>
          </w:p>
        </w:tc>
      </w:tr>
      <w:tr>
        <w:tc>
          <w:tcPr>
            <w:tcW w:type="dxa" w:w="2250"/>
            <w:tcMar>
              <w:top w:type="dxa" w:w="20"/>
              <w:left w:type="dxa" w:w="80"/>
              <w:bottom w:type="dxa" w:w="20"/>
              <w:right w:type="dxa" w:w="80"/>
            </w:tcMar>
          </w:tcPr>
          <w:p>
            <w:pPr>
              <w:spacing w:after="0" w:line="240" w:lineRule="auto"/>
            </w:pPr>
            <w:r>
              <w:rPr>
                <w:b/>
                <w:bCs/>
              </w:rPr>
              <w:t xml:space="preserve">Logistic regression (balanced weight)</w:t>
            </w:r>
          </w:p>
        </w:tc>
        <w:tc>
          <w:tcPr>
            <w:tcW w:type="dxa" w:w="2250"/>
            <w:tcMar>
              <w:top w:type="dxa" w:w="20"/>
              <w:left w:type="dxa" w:w="80"/>
              <w:bottom w:type="dxa" w:w="20"/>
              <w:right w:type="dxa" w:w="80"/>
            </w:tcMar>
          </w:tcPr>
          <w:p>
            <w:pPr>
              <w:spacing w:after="0" w:line="240" w:lineRule="auto"/>
            </w:pPr>
            <w:r>
              <w:rPr>
                <w:b/>
                <w:bCs/>
              </w:rPr>
              <w:t xml:space="preserve">0.831</w:t>
            </w:r>
          </w:p>
        </w:tc>
        <w:tc>
          <w:tcPr>
            <w:tcW w:type="dxa" w:w="2250"/>
            <w:tcMar>
              <w:top w:type="dxa" w:w="20"/>
              <w:left w:type="dxa" w:w="80"/>
              <w:bottom w:type="dxa" w:w="20"/>
              <w:right w:type="dxa" w:w="80"/>
            </w:tcMar>
          </w:tcPr>
          <w:p>
            <w:pPr>
              <w:spacing w:after="0" w:line="240" w:lineRule="auto"/>
            </w:pPr>
            <w:r>
              <w:rPr>
                <w:b/>
                <w:bCs/>
              </w:rPr>
              <w:t xml:space="preserve">0.772</w:t>
            </w:r>
          </w:p>
        </w:tc>
        <w:tc>
          <w:tcPr>
            <w:tcW w:type="dxa" w:w="2250"/>
            <w:tcMar>
              <w:top w:type="dxa" w:w="20"/>
              <w:left w:type="dxa" w:w="80"/>
              <w:bottom w:type="dxa" w:w="20"/>
              <w:right w:type="dxa" w:w="80"/>
            </w:tcMar>
          </w:tcPr>
          <w:p>
            <w:pPr>
              <w:spacing w:after="0" w:line="240" w:lineRule="auto"/>
            </w:pPr>
            <w:r>
              <w:rPr>
                <w:b/>
                <w:bCs/>
              </w:rPr>
              <w:t xml:space="preserve">0.720</w:t>
            </w:r>
          </w:p>
        </w:tc>
      </w:tr>
    </w:tbl>
    <w:p>
      <w:pPr>
        <w:spacing w:after="150"/>
      </w:pPr>
    </w:p>
    <w:p>
      <w:pPr>
        <w:spacing w:after="100" w:line="252" w:lineRule="auto"/>
        <w:jc w:val="both"/>
      </w:pPr>
      <w:r>
        <w:rPr>
          <w:b w:val="false"/>
          <w:bCs w:val="false"/>
          <w:i/>
          <w:iCs/>
        </w:rPr>
        <w:t xml:space="preserve">Full per-model table: `results/problem1/problem1_results.csv`.</w:t>
      </w:r>
    </w:p>
    <w:p>
      <w:pPr>
        <w:spacing w:after="100" w:line="252" w:lineRule="auto"/>
        <w:jc w:val="both"/>
      </w:pPr>
      <w:r>
        <w:rPr>
          <w:b w:val="false"/>
          <w:bCs w:val="false"/>
        </w:rPr>
        <w:t xml:space="preserve">The </w:t>
      </w:r>
      <w:r>
        <w:rPr>
          <w:b/>
          <w:bCs/>
        </w:rPr>
        <w:t xml:space="preserve">best model was logistic regression with balanced class weighting</w:t>
      </w:r>
      <w:r>
        <w:rPr>
          <w:b w:val="false"/>
          <w:bCs w:val="false"/>
        </w:rPr>
        <w:t xml:space="preserve"> (balanced accuracy 0.772, macro F1 0.720) — notably not an ensemble or a neural network. This is plausible given the feature set: once GHI-family columns are excluded, the remaining predictors (mainly Cloud Type and general weather variables) relate to sky-condition fairly directly, so a well-regularized linear model does not lose much by not modeling complex interactions, while gaining from lower variance on a moderately sized training set.</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2.</w:t>
      </w:r>
      <w:r>
        <w:rPr>
          <w:b w:val="false"/>
          <w:bCs w:val="false"/>
        </w:rPr>
        <w:t xml:space="preserve"> Confusion matrix, best Davis sky-condition model (logistic regression, balanced weight). Per-class F1: Clear 0.946, Partly Cloudy 0.566, Overcast 0.648.</w:t>
      </w:r>
    </w:p>
    <w:p>
      <w:pPr>
        <w:spacing w:after="100" w:line="252" w:lineRule="auto"/>
        <w:jc w:val="both"/>
      </w:pPr>
      <w:r>
        <w:rPr>
          <w:b/>
          <w:bCs/>
        </w:rPr>
        <w:t xml:space="preserve">Clear conditions were easiest to identify</w:t>
      </w:r>
      <w:r>
        <w:rPr>
          <w:b w:val="false"/>
          <w:bCs w:val="false"/>
        </w:rPr>
        <w:t xml:space="preserve"> (F1 = 0.946, recall 0.897) and are also the majority class (72% of rows). </w:t>
      </w:r>
      <w:r>
        <w:rPr>
          <w:b/>
          <w:bCs/>
        </w:rPr>
        <w:t xml:space="preserve">Partly Cloudy was hardest</w:t>
      </w:r>
      <w:r>
        <w:rPr>
          <w:b w:val="false"/>
          <w:bCs w:val="false"/>
        </w:rPr>
        <w:t xml:space="preserve"> (F1 = 0.566) — it sits between the other two classes on the Clear-Sky Index scale and is confused with both neighbors, rather than having one dominant failure mode, the expected pattern for a threshold-defined middle category with two decision boundaries to get right instead of one. Class imbalance also plays a role — Overcast is the rarest class (535 of 4,823 test rows), part of why balanced accuracy, not raw accuracy, was used as the primary metric; always predicting "Clear" would already reach 70% raw accuracy while being useless.</w:t>
      </w:r>
    </w:p>
    <w:p>
      <w:pPr>
        <w:pStyle w:val="Heading1"/>
        <w:spacing w:after="100" w:before="200"/>
      </w:pPr>
      <w:r>
        <w:t xml:space="preserve">6. Problem 2 — Supervised Regression</w:t>
      </w:r>
    </w:p>
    <w:p>
      <w:pPr>
        <w:spacing w:after="100" w:line="252" w:lineRule="auto"/>
        <w:jc w:val="both"/>
      </w:pPr>
      <w:r>
        <w:rPr>
          <w:b w:val="false"/>
          <w:bCs w:val="false"/>
        </w:rPr>
        <w:t xml:space="preserve">Problem 2, the project's core task, predicts continuous Output Power (kW) using the full weather and irradiance feature set (GHI, DNI, DHI, Cloud Type, and the rest — no leakage restriction applies here, since Output Power is not derived from a fixed rule applied to these columns). Three settings were tested: </w:t>
      </w:r>
      <w:r>
        <w:rPr>
          <w:b/>
          <w:bCs/>
        </w:rPr>
        <w:t xml:space="preserve">same-city</w:t>
      </w:r>
      <w:r>
        <w:rPr>
          <w:b w:val="false"/>
          <w:bCs w:val="false"/>
        </w:rPr>
        <w:t xml:space="preserve"> regression, </w:t>
      </w:r>
      <w:r>
        <w:rPr>
          <w:b/>
          <w:bCs/>
        </w:rPr>
        <w:t xml:space="preserve">cross-city zero-shot</w:t>
      </w:r>
      <w:r>
        <w:rPr>
          <w:b w:val="false"/>
          <w:bCs w:val="false"/>
        </w:rPr>
        <w:t xml:space="preserve"> transfer (Davis → Huron / Santa Barbara / La Jolla), and </w:t>
      </w:r>
      <w:r>
        <w:rPr>
          <w:b/>
          <w:bCs/>
        </w:rPr>
        <w:t xml:space="preserve">sequence forecasting</w:t>
      </w:r>
      <w:r>
        <w:rPr>
          <w:b w:val="false"/>
          <w:bCs w:val="false"/>
        </w:rPr>
        <w:t xml:space="preserve"> using the previous K=12 readings (≈6 hours) to predict the next one.</w:t>
      </w:r>
    </w:p>
    <w:p>
      <w:pPr>
        <w:pStyle w:val="Heading2"/>
        <w:spacing w:after="60" w:before="140"/>
      </w:pPr>
      <w:r>
        <w:t xml:space="preserve">Results</w:t>
      </w:r>
    </w:p>
    <w:p>
      <w:pPr>
        <w:spacing w:after="100" w:line="252" w:lineRule="auto"/>
        <w:jc w:val="both"/>
      </w:pPr>
      <w:r>
        <w:rPr>
          <w:b/>
          <w:bCs/>
        </w:rPr>
        <w:t xml:space="preserve">Table 2. Problem 2 regression results (mean ± std across 3 seeds where applicable).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Method</w:t>
            </w:r>
          </w:p>
        </w:tc>
        <w:tc>
          <w:tcPr>
            <w:tcW w:type="dxa" w:w="1800"/>
            <w:shd w:fill="D9E2F3" w:val="clear"/>
            <w:tcMar>
              <w:top w:type="dxa" w:w="20"/>
              <w:left w:type="dxa" w:w="80"/>
              <w:bottom w:type="dxa" w:w="20"/>
              <w:right w:type="dxa" w:w="80"/>
            </w:tcMar>
          </w:tcPr>
          <w:p>
            <w:pPr>
              <w:spacing w:after="0" w:line="240" w:lineRule="auto"/>
            </w:pPr>
            <w:r>
              <w:rPr>
                <w:b/>
                <w:bCs/>
              </w:rPr>
              <w:t xml:space="preserve">Dataset</w:t>
            </w:r>
          </w:p>
        </w:tc>
        <w:tc>
          <w:tcPr>
            <w:tcW w:type="dxa" w:w="1800"/>
            <w:shd w:fill="D9E2F3" w:val="clear"/>
            <w:tcMar>
              <w:top w:type="dxa" w:w="20"/>
              <w:left w:type="dxa" w:w="80"/>
              <w:bottom w:type="dxa" w:w="20"/>
              <w:right w:type="dxa" w:w="80"/>
            </w:tcMar>
          </w:tcPr>
          <w:p>
            <w:pPr>
              <w:spacing w:after="0" w:line="240" w:lineRule="auto"/>
            </w:pPr>
            <w:r>
              <w:rPr>
                <w:b/>
                <w:bCs/>
              </w:rPr>
              <w:t xml:space="preserve">RMSE (kW)</w:t>
            </w:r>
          </w:p>
        </w:tc>
        <w:tc>
          <w:tcPr>
            <w:tcW w:type="dxa" w:w="1800"/>
            <w:shd w:fill="D9E2F3" w:val="clear"/>
            <w:tcMar>
              <w:top w:type="dxa" w:w="20"/>
              <w:left w:type="dxa" w:w="80"/>
              <w:bottom w:type="dxa" w:w="20"/>
              <w:right w:type="dxa" w:w="80"/>
            </w:tcMar>
          </w:tcPr>
          <w:p>
            <w:pPr>
              <w:spacing w:after="0" w:line="240" w:lineRule="auto"/>
            </w:pPr>
            <w:r>
              <w:rPr>
                <w:b/>
                <w:bCs/>
              </w:rPr>
              <w:t xml:space="preserve">MAE (kW)</w:t>
            </w:r>
          </w:p>
        </w:tc>
        <w:tc>
          <w:tcPr>
            <w:tcW w:type="dxa" w:w="1800"/>
            <w:shd w:fill="D9E2F3" w:val="clear"/>
            <w:tcMar>
              <w:top w:type="dxa" w:w="20"/>
              <w:left w:type="dxa" w:w="80"/>
              <w:bottom w:type="dxa" w:w="20"/>
              <w:right w:type="dxa" w:w="80"/>
            </w:tcMar>
          </w:tcPr>
          <w:p>
            <w:pPr>
              <w:spacing w:after="0" w:line="240" w:lineRule="auto"/>
            </w:pPr>
            <w:r>
              <w:rPr>
                <w:b/>
                <w:bCs/>
              </w:rPr>
              <w:t xml:space="preserve">nRMSE</w:t>
            </w:r>
          </w:p>
        </w:tc>
      </w:tr>
      <w:tr>
        <w:tc>
          <w:tcPr>
            <w:tcW w:type="dxa" w:w="1800"/>
            <w:tcMar>
              <w:top w:type="dxa" w:w="20"/>
              <w:left w:type="dxa" w:w="80"/>
              <w:bottom w:type="dxa" w:w="20"/>
              <w:right w:type="dxa" w:w="80"/>
            </w:tcMar>
          </w:tcPr>
          <w:p>
            <w:pPr>
              <w:spacing w:after="0" w:line="240" w:lineRule="auto"/>
            </w:pPr>
            <w:r>
              <w:rPr>
                <w:b/>
                <w:bCs/>
              </w:rPr>
              <w:t xml:space="preserve">Gradient boosting</w:t>
            </w:r>
          </w:p>
        </w:tc>
        <w:tc>
          <w:tcPr>
            <w:tcW w:type="dxa" w:w="1800"/>
            <w:tcMar>
              <w:top w:type="dxa" w:w="20"/>
              <w:left w:type="dxa" w:w="80"/>
              <w:bottom w:type="dxa" w:w="20"/>
              <w:right w:type="dxa" w:w="80"/>
            </w:tcMar>
          </w:tcPr>
          <w:p>
            <w:pPr>
              <w:spacing w:after="0" w:line="240" w:lineRule="auto"/>
            </w:pPr>
            <w:r>
              <w:rPr>
                <w:b/>
                <w:bCs/>
              </w:rPr>
              <w:t xml:space="preserve">Davis (same-city)</w:t>
            </w:r>
          </w:p>
        </w:tc>
        <w:tc>
          <w:tcPr>
            <w:tcW w:type="dxa" w:w="1800"/>
            <w:tcMar>
              <w:top w:type="dxa" w:w="20"/>
              <w:left w:type="dxa" w:w="80"/>
              <w:bottom w:type="dxa" w:w="20"/>
              <w:right w:type="dxa" w:w="80"/>
            </w:tcMar>
          </w:tcPr>
          <w:p>
            <w:pPr>
              <w:spacing w:after="0" w:line="240" w:lineRule="auto"/>
            </w:pPr>
            <w:r>
              <w:rPr>
                <w:b/>
                <w:bCs/>
              </w:rPr>
              <w:t xml:space="preserve">15.17 ± 0.0</w:t>
            </w:r>
          </w:p>
        </w:tc>
        <w:tc>
          <w:tcPr>
            <w:tcW w:type="dxa" w:w="1800"/>
            <w:tcMar>
              <w:top w:type="dxa" w:w="20"/>
              <w:left w:type="dxa" w:w="80"/>
              <w:bottom w:type="dxa" w:w="20"/>
              <w:right w:type="dxa" w:w="80"/>
            </w:tcMar>
          </w:tcPr>
          <w:p>
            <w:pPr>
              <w:spacing w:after="0" w:line="240" w:lineRule="auto"/>
            </w:pPr>
            <w:r>
              <w:rPr>
                <w:b/>
                <w:bCs/>
              </w:rPr>
              <w:t xml:space="preserve">8.31</w:t>
            </w:r>
          </w:p>
        </w:tc>
        <w:tc>
          <w:tcPr>
            <w:tcW w:type="dxa" w:w="1800"/>
            <w:tcMar>
              <w:top w:type="dxa" w:w="20"/>
              <w:left w:type="dxa" w:w="80"/>
              <w:bottom w:type="dxa" w:w="20"/>
              <w:right w:type="dxa" w:w="80"/>
            </w:tcMar>
          </w:tcPr>
          <w:p>
            <w:pPr>
              <w:spacing w:after="0" w:line="240" w:lineRule="auto"/>
            </w:pPr>
            <w:r>
              <w:rPr>
                <w:b/>
                <w:bCs/>
              </w:rPr>
              <w:t xml:space="preserve">0.0600</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(tuned)</w:t>
            </w:r>
          </w:p>
        </w:tc>
        <w:tc>
          <w:tcPr>
            <w:tcW w:type="dxa" w:w="1800"/>
            <w:tcMar>
              <w:top w:type="dxa" w:w="20"/>
              <w:left w:type="dxa" w:w="80"/>
              <w:bottom w:type="dxa" w:w="20"/>
              <w:right w:type="dxa" w:w="80"/>
            </w:tcMar>
          </w:tcPr>
          <w:p>
            <w:pPr>
              <w:spacing w:after="0" w:line="240" w:lineRule="auto"/>
            </w:pPr>
            <w:r>
              <w:rPr>
                <w:b w:val="false"/>
                <w:bCs w:val="false"/>
              </w:rPr>
              <w:t xml:space="preserve">Amherst (same-city)</w:t>
            </w:r>
          </w:p>
        </w:tc>
        <w:tc>
          <w:tcPr>
            <w:tcW w:type="dxa" w:w="1800"/>
            <w:tcMar>
              <w:top w:type="dxa" w:w="20"/>
              <w:left w:type="dxa" w:w="80"/>
              <w:bottom w:type="dxa" w:w="20"/>
              <w:right w:type="dxa" w:w="80"/>
            </w:tcMar>
          </w:tcPr>
          <w:p>
            <w:pPr>
              <w:spacing w:after="0" w:line="240" w:lineRule="auto"/>
            </w:pPr>
            <w:r>
              <w:rPr>
                <w:b w:val="false"/>
                <w:bCs w:val="false"/>
              </w:rPr>
              <w:t xml:space="preserve">20.29 ± 0.01</w:t>
            </w:r>
          </w:p>
        </w:tc>
        <w:tc>
          <w:tcPr>
            <w:tcW w:type="dxa" w:w="1800"/>
            <w:tcMar>
              <w:top w:type="dxa" w:w="20"/>
              <w:left w:type="dxa" w:w="80"/>
              <w:bottom w:type="dxa" w:w="20"/>
              <w:right w:type="dxa" w:w="80"/>
            </w:tcMar>
          </w:tcPr>
          <w:p>
            <w:pPr>
              <w:spacing w:after="0" w:line="240" w:lineRule="auto"/>
            </w:pPr>
            <w:r>
              <w:rPr>
                <w:b w:val="false"/>
                <w:bCs w:val="false"/>
              </w:rPr>
              <w:t xml:space="preserve">13.62</w:t>
            </w:r>
          </w:p>
        </w:tc>
        <w:tc>
          <w:tcPr>
            <w:tcW w:type="dxa" w:w="1800"/>
            <w:tcMar>
              <w:top w:type="dxa" w:w="20"/>
              <w:left w:type="dxa" w:w="80"/>
              <w:bottom w:type="dxa" w:w="20"/>
              <w:right w:type="dxa" w:w="80"/>
            </w:tcMar>
          </w:tcPr>
          <w:p>
            <w:pPr>
              <w:spacing w:after="0" w:line="240" w:lineRule="auto"/>
            </w:pPr>
            <w:r>
              <w:rPr>
                <w:b w:val="false"/>
                <w:bCs w:val="false"/>
              </w:rPr>
              <w:t xml:space="preserve">0.1595</w:t>
            </w:r>
          </w:p>
        </w:tc>
      </w:tr>
      <w:tr>
        <w:tc>
          <w:tcPr>
            <w:tcW w:type="dxa" w:w="1800"/>
            <w:tcMar>
              <w:top w:type="dxa" w:w="20"/>
              <w:left w:type="dxa" w:w="80"/>
              <w:bottom w:type="dxa" w:w="20"/>
              <w:right w:type="dxa" w:w="80"/>
            </w:tcMar>
          </w:tcPr>
          <w:p>
            <w:pPr>
              <w:spacing w:after="0" w:line="240" w:lineRule="auto"/>
            </w:pPr>
            <w:r>
              <w:rPr>
                <w:b w:val="false"/>
                <w:bCs w:val="false"/>
              </w:rPr>
              <w:t xml:space="preserve">GRU (sequence, K=12)</w:t>
            </w:r>
          </w:p>
        </w:tc>
        <w:tc>
          <w:tcPr>
            <w:tcW w:type="dxa" w:w="1800"/>
            <w:tcMar>
              <w:top w:type="dxa" w:w="20"/>
              <w:left w:type="dxa" w:w="80"/>
              <w:bottom w:type="dxa" w:w="20"/>
              <w:right w:type="dxa" w:w="80"/>
            </w:tcMar>
          </w:tcPr>
          <w:p>
            <w:pPr>
              <w:spacing w:after="0" w:line="240" w:lineRule="auto"/>
            </w:pPr>
            <w:r>
              <w:rPr>
                <w:b w:val="false"/>
                <w:bCs w:val="false"/>
              </w:rPr>
              <w:t xml:space="preserve">Davis</w:t>
            </w:r>
          </w:p>
        </w:tc>
        <w:tc>
          <w:tcPr>
            <w:tcW w:type="dxa" w:w="1800"/>
            <w:tcMar>
              <w:top w:type="dxa" w:w="20"/>
              <w:left w:type="dxa" w:w="80"/>
              <w:bottom w:type="dxa" w:w="20"/>
              <w:right w:type="dxa" w:w="80"/>
            </w:tcMar>
          </w:tcPr>
          <w:p>
            <w:pPr>
              <w:spacing w:after="0" w:line="240" w:lineRule="auto"/>
            </w:pPr>
            <w:r>
              <w:rPr>
                <w:b w:val="false"/>
                <w:bCs w:val="false"/>
              </w:rPr>
              <w:t xml:space="preserve">17.58 ± 0.10</w:t>
            </w:r>
          </w:p>
        </w:tc>
        <w:tc>
          <w:tcPr>
            <w:tcW w:type="dxa" w:w="1800"/>
            <w:tcMar>
              <w:top w:type="dxa" w:w="20"/>
              <w:left w:type="dxa" w:w="80"/>
              <w:bottom w:type="dxa" w:w="20"/>
              <w:right w:type="dxa" w:w="80"/>
            </w:tcMar>
          </w:tcPr>
          <w:p>
            <w:pPr>
              <w:spacing w:after="0" w:line="240" w:lineRule="auto"/>
            </w:pPr>
            <w:r>
              <w:rPr>
                <w:b w:val="false"/>
                <w:bCs w:val="false"/>
              </w:rPr>
              <w:t xml:space="preserve">10.04</w:t>
            </w:r>
          </w:p>
        </w:tc>
        <w:tc>
          <w:tcPr>
            <w:tcW w:type="dxa" w:w="1800"/>
            <w:tcMar>
              <w:top w:type="dxa" w:w="20"/>
              <w:left w:type="dxa" w:w="80"/>
              <w:bottom w:type="dxa" w:w="20"/>
              <w:right w:type="dxa" w:w="80"/>
            </w:tcMar>
          </w:tcPr>
          <w:p>
            <w:pPr>
              <w:spacing w:after="0" w:line="240" w:lineRule="auto"/>
            </w:pPr>
            <w:r>
              <w:rPr>
                <w:b w:val="false"/>
                <w:bCs w:val="false"/>
              </w:rPr>
              <w:t xml:space="preserve">0.0695</w:t>
            </w:r>
          </w:p>
        </w:tc>
      </w:tr>
      <w:tr>
        <w:tc>
          <w:tcPr>
            <w:tcW w:type="dxa" w:w="1800"/>
            <w:tcMar>
              <w:top w:type="dxa" w:w="20"/>
              <w:left w:type="dxa" w:w="80"/>
              <w:bottom w:type="dxa" w:w="20"/>
              <w:right w:type="dxa" w:w="80"/>
            </w:tcMar>
          </w:tcPr>
          <w:p>
            <w:pPr>
              <w:spacing w:after="0" w:line="240" w:lineRule="auto"/>
            </w:pPr>
            <w:r>
              <w:rPr>
                <w:b w:val="false"/>
                <w:bCs w:val="false"/>
              </w:rPr>
              <w:t xml:space="preserve">Persistence baseline</w:t>
            </w:r>
          </w:p>
        </w:tc>
        <w:tc>
          <w:tcPr>
            <w:tcW w:type="dxa" w:w="1800"/>
            <w:tcMar>
              <w:top w:type="dxa" w:w="20"/>
              <w:left w:type="dxa" w:w="80"/>
              <w:bottom w:type="dxa" w:w="20"/>
              <w:right w:type="dxa" w:w="80"/>
            </w:tcMar>
          </w:tcPr>
          <w:p>
            <w:pPr>
              <w:spacing w:after="0" w:line="240" w:lineRule="auto"/>
            </w:pPr>
            <w:r>
              <w:rPr>
                <w:b w:val="false"/>
                <w:bCs w:val="false"/>
              </w:rPr>
              <w:t xml:space="preserve">Davis</w:t>
            </w:r>
          </w:p>
        </w:tc>
        <w:tc>
          <w:tcPr>
            <w:tcW w:type="dxa" w:w="1800"/>
            <w:tcMar>
              <w:top w:type="dxa" w:w="20"/>
              <w:left w:type="dxa" w:w="80"/>
              <w:bottom w:type="dxa" w:w="20"/>
              <w:right w:type="dxa" w:w="80"/>
            </w:tcMar>
          </w:tcPr>
          <w:p>
            <w:pPr>
              <w:spacing w:after="0" w:line="240" w:lineRule="auto"/>
            </w:pPr>
            <w:r>
              <w:rPr>
                <w:b w:val="false"/>
                <w:bCs w:val="false"/>
              </w:rPr>
              <w:t xml:space="preserve">21.97</w:t>
            </w:r>
          </w:p>
        </w:tc>
        <w:tc>
          <w:tcPr>
            <w:tcW w:type="dxa" w:w="1800"/>
            <w:tcMar>
              <w:top w:type="dxa" w:w="20"/>
              <w:left w:type="dxa" w:w="80"/>
              <w:bottom w:type="dxa" w:w="20"/>
              <w:right w:type="dxa" w:w="80"/>
            </w:tcMar>
          </w:tcPr>
          <w:p>
            <w:pPr>
              <w:spacing w:after="0" w:line="240" w:lineRule="auto"/>
            </w:pPr>
            <w:r>
              <w:rPr>
                <w:b w:val="false"/>
                <w:bCs w:val="false"/>
              </w:rPr>
              <w:t xml:space="preserve">15.04</w:t>
            </w:r>
          </w:p>
        </w:tc>
        <w:tc>
          <w:tcPr>
            <w:tcW w:type="dxa" w:w="1800"/>
            <w:tcMar>
              <w:top w:type="dxa" w:w="20"/>
              <w:left w:type="dxa" w:w="80"/>
              <w:bottom w:type="dxa" w:w="20"/>
              <w:right w:type="dxa" w:w="80"/>
            </w:tcMar>
          </w:tcPr>
          <w:p>
            <w:pPr>
              <w:spacing w:after="0" w:line="240" w:lineRule="auto"/>
            </w:pPr>
            <w:r>
              <w:rPr>
                <w:b w:val="false"/>
                <w:bCs w:val="false"/>
              </w:rPr>
              <w:t xml:space="preserve">0.0869</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Huron</w:t>
            </w:r>
          </w:p>
        </w:tc>
        <w:tc>
          <w:tcPr>
            <w:tcW w:type="dxa" w:w="1800"/>
            <w:tcMar>
              <w:top w:type="dxa" w:w="20"/>
              <w:left w:type="dxa" w:w="80"/>
              <w:bottom w:type="dxa" w:w="20"/>
              <w:right w:type="dxa" w:w="80"/>
            </w:tcMar>
          </w:tcPr>
          <w:p>
            <w:pPr>
              <w:spacing w:after="0" w:line="240" w:lineRule="auto"/>
            </w:pPr>
            <w:r>
              <w:rPr>
                <w:b w:val="false"/>
                <w:bCs w:val="false"/>
              </w:rPr>
              <w:t xml:space="preserve">125.81 ± 0.01</w:t>
            </w:r>
          </w:p>
        </w:tc>
        <w:tc>
          <w:tcPr>
            <w:tcW w:type="dxa" w:w="1800"/>
            <w:tcMar>
              <w:top w:type="dxa" w:w="20"/>
              <w:left w:type="dxa" w:w="80"/>
              <w:bottom w:type="dxa" w:w="20"/>
              <w:right w:type="dxa" w:w="80"/>
            </w:tcMar>
          </w:tcPr>
          <w:p>
            <w:pPr>
              <w:spacing w:after="0" w:line="240" w:lineRule="auto"/>
            </w:pPr>
            <w:r>
              <w:rPr>
                <w:b w:val="false"/>
                <w:bCs w:val="false"/>
              </w:rPr>
              <w:t xml:space="preserve">116.24</w:t>
            </w:r>
          </w:p>
        </w:tc>
        <w:tc>
          <w:tcPr>
            <w:tcW w:type="dxa" w:w="1800"/>
            <w:tcMar>
              <w:top w:type="dxa" w:w="20"/>
              <w:left w:type="dxa" w:w="80"/>
              <w:bottom w:type="dxa" w:w="20"/>
              <w:right w:type="dxa" w:w="80"/>
            </w:tcMar>
          </w:tcPr>
          <w:p>
            <w:pPr>
              <w:spacing w:after="0" w:line="240" w:lineRule="auto"/>
            </w:pPr>
            <w:r>
              <w:rPr>
                <w:b w:val="false"/>
                <w:bCs w:val="false"/>
              </w:rPr>
              <w:t xml:space="preserve">1.692</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Santa Barbara</w:t>
            </w:r>
          </w:p>
        </w:tc>
        <w:tc>
          <w:tcPr>
            <w:tcW w:type="dxa" w:w="1800"/>
            <w:tcMar>
              <w:top w:type="dxa" w:w="20"/>
              <w:left w:type="dxa" w:w="80"/>
              <w:bottom w:type="dxa" w:w="20"/>
              <w:right w:type="dxa" w:w="80"/>
            </w:tcMar>
          </w:tcPr>
          <w:p>
            <w:pPr>
              <w:spacing w:after="0" w:line="240" w:lineRule="auto"/>
            </w:pPr>
            <w:r>
              <w:rPr>
                <w:b w:val="false"/>
                <w:bCs w:val="false"/>
              </w:rPr>
              <w:t xml:space="preserve">125.48 ± 0.61</w:t>
            </w:r>
          </w:p>
        </w:tc>
        <w:tc>
          <w:tcPr>
            <w:tcW w:type="dxa" w:w="1800"/>
            <w:tcMar>
              <w:top w:type="dxa" w:w="20"/>
              <w:left w:type="dxa" w:w="80"/>
              <w:bottom w:type="dxa" w:w="20"/>
              <w:right w:type="dxa" w:w="80"/>
            </w:tcMar>
          </w:tcPr>
          <w:p>
            <w:pPr>
              <w:spacing w:after="0" w:line="240" w:lineRule="auto"/>
            </w:pPr>
            <w:r>
              <w:rPr>
                <w:b w:val="false"/>
                <w:bCs w:val="false"/>
              </w:rPr>
              <w:t xml:space="preserve">116.55</w:t>
            </w:r>
          </w:p>
        </w:tc>
        <w:tc>
          <w:tcPr>
            <w:tcW w:type="dxa" w:w="1800"/>
            <w:tcMar>
              <w:top w:type="dxa" w:w="20"/>
              <w:left w:type="dxa" w:w="80"/>
              <w:bottom w:type="dxa" w:w="20"/>
              <w:right w:type="dxa" w:w="80"/>
            </w:tcMar>
          </w:tcPr>
          <w:p>
            <w:pPr>
              <w:spacing w:after="0" w:line="240" w:lineRule="auto"/>
            </w:pPr>
            <w:r>
              <w:rPr>
                <w:b w:val="false"/>
                <w:bCs w:val="false"/>
              </w:rPr>
              <w:t xml:space="preserve">1.699</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La Jolla</w:t>
            </w:r>
          </w:p>
        </w:tc>
        <w:tc>
          <w:tcPr>
            <w:tcW w:type="dxa" w:w="1800"/>
            <w:tcMar>
              <w:top w:type="dxa" w:w="20"/>
              <w:left w:type="dxa" w:w="80"/>
              <w:bottom w:type="dxa" w:w="20"/>
              <w:right w:type="dxa" w:w="80"/>
            </w:tcMar>
          </w:tcPr>
          <w:p>
            <w:pPr>
              <w:spacing w:after="0" w:line="240" w:lineRule="auto"/>
            </w:pPr>
            <w:r>
              <w:rPr>
                <w:b w:val="false"/>
                <w:bCs w:val="false"/>
              </w:rPr>
              <w:t xml:space="preserve">124.39 ± 1.30</w:t>
            </w:r>
          </w:p>
        </w:tc>
        <w:tc>
          <w:tcPr>
            <w:tcW w:type="dxa" w:w="1800"/>
            <w:tcMar>
              <w:top w:type="dxa" w:w="20"/>
              <w:left w:type="dxa" w:w="80"/>
              <w:bottom w:type="dxa" w:w="20"/>
              <w:right w:type="dxa" w:w="80"/>
            </w:tcMar>
          </w:tcPr>
          <w:p>
            <w:pPr>
              <w:spacing w:after="0" w:line="240" w:lineRule="auto"/>
            </w:pPr>
            <w:r>
              <w:rPr>
                <w:b w:val="false"/>
                <w:bCs w:val="false"/>
              </w:rPr>
              <w:t xml:space="preserve">115.95</w:t>
            </w:r>
          </w:p>
        </w:tc>
        <w:tc>
          <w:tcPr>
            <w:tcW w:type="dxa" w:w="1800"/>
            <w:tcMar>
              <w:top w:type="dxa" w:w="20"/>
              <w:left w:type="dxa" w:w="80"/>
              <w:bottom w:type="dxa" w:w="20"/>
              <w:right w:type="dxa" w:w="80"/>
            </w:tcMar>
          </w:tcPr>
          <w:p>
            <w:pPr>
              <w:spacing w:after="0" w:line="240" w:lineRule="auto"/>
            </w:pPr>
            <w:r>
              <w:rPr>
                <w:b w:val="false"/>
                <w:bCs w:val="false"/>
              </w:rPr>
              <w:t xml:space="preserve">1.815</w:t>
            </w:r>
          </w:p>
        </w:tc>
      </w:tr>
    </w:tbl>
    <w:p>
      <w:pPr>
        <w:spacing w:after="150"/>
      </w:pPr>
    </w:p>
    <w:p>
      <w:pPr>
        <w:spacing w:after="100" w:line="252" w:lineRule="auto"/>
        <w:jc w:val="both"/>
      </w:pPr>
      <w:r>
        <w:rPr>
          <w:b w:val="false"/>
          <w:bCs w:val="false"/>
          <w:i/>
          <w:iCs/>
        </w:rPr>
        <w:t xml:space="preserve">nRMSE throughout this report is range-normalized (RMSE divided by the target's observed max − min), a convention fixed early in the project and applied consistently everywhere it is computed.</w:t>
      </w:r>
    </w:p>
    <w:p>
      <w:pPr>
        <w:spacing w:after="100" w:line="252" w:lineRule="auto"/>
        <w:jc w:val="both"/>
      </w:pPr>
      <w:r>
        <w:rPr>
          <w:b/>
          <w:bCs/>
        </w:rPr>
        <w:t xml:space="preserve">Same-city gradient boosting on Davis is the project's strongest single result</w:t>
      </w:r>
      <w:r>
        <w:rPr>
          <w:b w:val="false"/>
          <w:bCs w:val="false"/>
        </w:rPr>
        <w:t xml:space="preserve"> (R² = 0.953), correctly predicting the large majority of Output Power's variance from weather and irradiance alone.</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3.</w:t>
      </w:r>
      <w:r>
        <w:rPr>
          <w:b w:val="false"/>
          <w:bCs w:val="false"/>
        </w:rPr>
        <w:t xml:space="preserve"> Predicted vs. actual Output Power, Davis, best model (gradient boosting). Points cluster tightly around the perfect- prediction line.</w:t>
      </w:r>
    </w:p>
    <w:p>
      <w:pPr>
        <w:spacing w:after="100" w:line="252" w:lineRule="auto"/>
        <w:jc w:val="both"/>
      </w:pPr>
      <w:r>
        <w:rPr>
          <w:b w:val="false"/>
          <w:bCs w:val="false"/>
        </w:rPr>
        <w:t xml:space="preserve">Errors are not uniform: mean absolute error is 3.99 kW during high-GHI (clear, stable) periods but rises to 12.40 kW during low-GHI periods, 13.02 kW during cloudy conditions, and 17.42 kW during rapidly changing irradiance (top decile of GHI swings) — more than four times the clear-sky error. Stable, sunny conditions are the easiest case for any weather-driven model, while fast-moving clouds create sharp, hard-to-anticipate ramps.</w:t>
      </w:r>
    </w:p>
    <w:p>
      <w:pPr>
        <w:spacing w:after="100" w:line="252" w:lineRule="auto"/>
        <w:jc w:val="both"/>
      </w:pPr>
      <w:r>
        <w:rPr>
          <w:b/>
          <w:bCs/>
        </w:rPr>
        <w:t xml:space="preserve">Cross-city zero-shot transfer failed severely</w:t>
      </w:r>
      <w:r>
        <w:rPr>
          <w:b w:val="false"/>
          <w:bCs w:val="false"/>
        </w:rPr>
        <w:t xml:space="preserve"> — RMSE around 125 kW, compared to 15–20 kW for the same-city models. This is not a sign that weather does not predict power in these other cities; it is almost entirely a </w:t>
      </w:r>
      <w:r>
        <w:rPr>
          <w:b/>
          <w:bCs/>
        </w:rPr>
        <w:t xml:space="preserve">scale problem</w:t>
      </w:r>
      <w:r>
        <w:rPr>
          <w:b w:val="false"/>
          <w:bCs w:val="false"/>
        </w:rPr>
        <w:t xml:space="preserve">: the Davis-trained model outputs values calibrated to Davis's ~164 kW average, applied directly to cities whose true averages are 47–50 kW. A diagnostic check (rescaling Davis's raw predictions by the target city's own mean, for analysis purposes only — not a legitimate zero-shot method, since it needs target-city information a real deployment would not have) recovered R² values of 0.55–0.84, confirming the underlying weather-to-power relationship transfers reasonably well once the scale mismatch is corrected.</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4.</w:t>
      </w:r>
      <w:r>
        <w:rPr>
          <w:b w:val="false"/>
          <w:bCs w:val="false"/>
        </w:rPr>
        <w:t xml:space="preserve"> Davis → target city zero-shot RMSE compared against an oracle target-mean baseline and the scale-corrected diagnostic. The gap between the blue and green/orange bars is almost entirely a scale effect, not a failure to learn the weather-power relationship.</w:t>
      </w:r>
    </w:p>
    <w:p>
      <w:pPr>
        <w:spacing w:after="100" w:line="252" w:lineRule="auto"/>
        <w:jc w:val="both"/>
      </w:pPr>
      <w:r>
        <w:rPr>
          <w:b/>
          <w:bCs/>
        </w:rPr>
        <w:t xml:space="preserve">The K=12 sequence GRU (RMSE 17.58 kW) clearly beat a naive persistence baseline</w:t>
      </w:r>
      <w:r>
        <w:rPr>
          <w:b w:val="false"/>
          <w:bCs w:val="false"/>
        </w:rPr>
        <w:t xml:space="preserve"> ("predict no change from the last reading," RMSE 21.97 kW), showing the model learns genuine temporal structure rather than just copying the previous reading. It does not beat the same-city non-sequence model (15.17 kW) — but this is not a fair like-for-like comparison: the non-sequence model is given the </w:t>
      </w:r>
      <w:r>
        <w:rPr>
          <w:b w:val="false"/>
          <w:bCs w:val="false"/>
          <w:i/>
          <w:iCs/>
        </w:rPr>
        <w:t xml:space="preserve">concurrent</w:t>
      </w:r>
      <w:r>
        <w:rPr>
          <w:b w:val="false"/>
          <w:bCs w:val="false"/>
        </w:rPr>
        <w:t xml:space="preserve"> GHI reading at the exact moment being predicted, while the sequence model must forecast the next 30 minutes using only </w:t>
      </w:r>
      <w:r>
        <w:rPr>
          <w:b w:val="false"/>
          <w:bCs w:val="false"/>
          <w:i/>
          <w:iCs/>
        </w:rPr>
        <w:t xml:space="preserve">past</w:t>
      </w:r>
      <w:r>
        <w:rPr>
          <w:b w:val="false"/>
          <w:bCs w:val="false"/>
        </w:rPr>
        <w:t xml:space="preserve"> readings, a genuinely harder task.</w:t>
      </w:r>
    </w:p>
    <w:p>
      <w:pPr>
        <w:pStyle w:val="Heading1"/>
        <w:spacing w:after="100" w:before="200"/>
      </w:pPr>
      <w:r>
        <w:t xml:space="preserve">7. Problem 3 — Dimension Reduction</w:t>
      </w:r>
    </w:p>
    <w:p>
      <w:pPr>
        <w:spacing w:after="100" w:line="252" w:lineRule="auto"/>
        <w:jc w:val="both"/>
      </w:pPr>
      <w:r>
        <w:rPr>
          <w:b w:val="false"/>
          <w:bCs w:val="false"/>
        </w:rPr>
        <w:t xml:space="preserve">Problem 3 tests whether the feature space used throughout this project can be compressed without hurting the downstream tasks it supports. Two unsupervised methods were compared: </w:t>
      </w:r>
      <w:r>
        <w:rPr>
          <w:b/>
          <w:bCs/>
        </w:rPr>
        <w:t xml:space="preserve">PCA</w:t>
      </w:r>
      <w:r>
        <w:rPr>
          <w:b w:val="false"/>
          <w:bCs w:val="false"/>
        </w:rPr>
        <w:t xml:space="preserve"> (the classical, linear method) and a small </w:t>
      </w:r>
      <w:r>
        <w:rPr>
          <w:b/>
          <w:bCs/>
        </w:rPr>
        <w:t xml:space="preserve">feed-forward autoencoder</w:t>
      </w:r>
      <w:r>
        <w:rPr>
          <w:b w:val="false"/>
          <w:bCs w:val="false"/>
        </w:rPr>
        <w:t xml:space="preserve"> (the deep, nonlinear method), each evaluated at latent dimensions d = 2, 5, and 10. Both were fit on training features only, with </w:t>
      </w:r>
      <w:r>
        <w:rPr>
          <w:b/>
          <w:bCs/>
        </w:rPr>
        <w:t xml:space="preserve">no access to any label</w:t>
      </w:r>
      <w:r>
        <w:rPr>
          <w:b w:val="false"/>
          <w:bCs w:val="false"/>
        </w:rPr>
        <w:t xml:space="preserve"> — the downstream sky-condition and Output Power labels were used only afterward, to evaluate downstream performance, never to shape the representation itself.</w:t>
      </w:r>
    </w:p>
    <w:p>
      <w:pPr>
        <w:pStyle w:val="Heading2"/>
        <w:spacing w:after="60" w:before="140"/>
      </w:pPr>
      <w:r>
        <w:t xml:space="preserve">Results</w:t>
      </w:r>
    </w:p>
    <w:p>
      <w:pPr>
        <w:spacing w:after="100" w:line="252" w:lineRule="auto"/>
        <w:jc w:val="both"/>
      </w:pPr>
      <w:r>
        <w:rPr>
          <w:b/>
          <w:bCs/>
        </w:rPr>
        <w:t xml:space="preserve">Table 3. Problem 3 dimension-reduction results (Davis).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Representation</w:t>
            </w:r>
          </w:p>
        </w:tc>
        <w:tc>
          <w:tcPr>
            <w:tcW w:type="dxa" w:w="1800"/>
            <w:shd w:fill="D9E2F3" w:val="clear"/>
            <w:tcMar>
              <w:top w:type="dxa" w:w="20"/>
              <w:left w:type="dxa" w:w="80"/>
              <w:bottom w:type="dxa" w:w="20"/>
              <w:right w:type="dxa" w:w="80"/>
            </w:tcMar>
          </w:tcPr>
          <w:p>
            <w:pPr>
              <w:spacing w:after="0" w:line="240" w:lineRule="auto"/>
            </w:pPr>
            <w:r>
              <w:rPr>
                <w:b/>
                <w:bCs/>
              </w:rPr>
              <w:t xml:space="preserve">Explained Variance</w:t>
            </w:r>
          </w:p>
        </w:tc>
        <w:tc>
          <w:tcPr>
            <w:tcW w:type="dxa" w:w="1800"/>
            <w:shd w:fill="D9E2F3" w:val="clear"/>
            <w:tcMar>
              <w:top w:type="dxa" w:w="20"/>
              <w:left w:type="dxa" w:w="80"/>
              <w:bottom w:type="dxa" w:w="20"/>
              <w:right w:type="dxa" w:w="80"/>
            </w:tcMar>
          </w:tcPr>
          <w:p>
            <w:pPr>
              <w:spacing w:after="0" w:line="240" w:lineRule="auto"/>
            </w:pPr>
            <w:r>
              <w:rPr>
                <w:b/>
                <w:bCs/>
              </w:rPr>
              <w:t xml:space="preserve">Reconstruction MSE</w:t>
            </w:r>
          </w:p>
        </w:tc>
        <w:tc>
          <w:tcPr>
            <w:tcW w:type="dxa" w:w="1800"/>
            <w:shd w:fill="D9E2F3" w:val="clear"/>
            <w:tcMar>
              <w:top w:type="dxa" w:w="20"/>
              <w:left w:type="dxa" w:w="80"/>
              <w:bottom w:type="dxa" w:w="20"/>
              <w:right w:type="dxa" w:w="80"/>
            </w:tcMar>
          </w:tcPr>
          <w:p>
            <w:pPr>
              <w:spacing w:after="0" w:line="240" w:lineRule="auto"/>
            </w:pPr>
            <w:r>
              <w:rPr>
                <w:b/>
                <w:bCs/>
              </w:rPr>
              <w:t xml:space="preserve">Classification Bal. Acc.</w:t>
            </w:r>
          </w:p>
        </w:tc>
        <w:tc>
          <w:tcPr>
            <w:tcW w:type="dxa" w:w="1800"/>
            <w:shd w:fill="D9E2F3" w:val="clear"/>
            <w:tcMar>
              <w:top w:type="dxa" w:w="20"/>
              <w:left w:type="dxa" w:w="80"/>
              <w:bottom w:type="dxa" w:w="20"/>
              <w:right w:type="dxa" w:w="80"/>
            </w:tcMar>
          </w:tcPr>
          <w:p>
            <w:pPr>
              <w:spacing w:after="0" w:line="240" w:lineRule="auto"/>
            </w:pPr>
            <w:r>
              <w:rPr>
                <w:b/>
                <w:bCs/>
              </w:rPr>
              <w:t xml:space="preserve">Regression RMSE (kW)</w:t>
            </w:r>
          </w:p>
        </w:tc>
      </w:tr>
      <w:tr>
        <w:tc>
          <w:tcPr>
            <w:tcW w:type="dxa" w:w="1800"/>
            <w:tcMar>
              <w:top w:type="dxa" w:w="20"/>
              <w:left w:type="dxa" w:w="80"/>
              <w:bottom w:type="dxa" w:w="20"/>
              <w:right w:type="dxa" w:w="80"/>
            </w:tcMar>
          </w:tcPr>
          <w:p>
            <w:pPr>
              <w:spacing w:after="0" w:line="240" w:lineRule="auto"/>
            </w:pPr>
            <w:r>
              <w:rPr>
                <w:b/>
                <w:bCs/>
              </w:rPr>
              <w:t xml:space="preserve">Raw features</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bCs/>
              </w:rPr>
              <w:t xml:space="preserve">0.743</w:t>
            </w:r>
          </w:p>
        </w:tc>
        <w:tc>
          <w:tcPr>
            <w:tcW w:type="dxa" w:w="1800"/>
            <w:tcMar>
              <w:top w:type="dxa" w:w="20"/>
              <w:left w:type="dxa" w:w="80"/>
              <w:bottom w:type="dxa" w:w="20"/>
              <w:right w:type="dxa" w:w="80"/>
            </w:tcMar>
          </w:tcPr>
          <w:p>
            <w:pPr>
              <w:spacing w:after="0" w:line="240" w:lineRule="auto"/>
            </w:pPr>
            <w:r>
              <w:rPr>
                <w:b/>
                <w:bCs/>
              </w:rPr>
              <w:t xml:space="preserve">23.86</w:t>
            </w:r>
          </w:p>
        </w:tc>
      </w:tr>
      <w:tr>
        <w:tc>
          <w:tcPr>
            <w:tcW w:type="dxa" w:w="1800"/>
            <w:tcMar>
              <w:top w:type="dxa" w:w="20"/>
              <w:left w:type="dxa" w:w="80"/>
              <w:bottom w:type="dxa" w:w="20"/>
              <w:right w:type="dxa" w:w="80"/>
            </w:tcMar>
          </w:tcPr>
          <w:p>
            <w:pPr>
              <w:spacing w:after="0" w:line="240" w:lineRule="auto"/>
            </w:pPr>
            <w:r>
              <w:rPr>
                <w:b w:val="false"/>
                <w:bCs w:val="false"/>
              </w:rPr>
              <w:t xml:space="preserve">PCA, d=2</w:t>
            </w:r>
          </w:p>
        </w:tc>
        <w:tc>
          <w:tcPr>
            <w:tcW w:type="dxa" w:w="1800"/>
            <w:tcMar>
              <w:top w:type="dxa" w:w="20"/>
              <w:left w:type="dxa" w:w="80"/>
              <w:bottom w:type="dxa" w:w="20"/>
              <w:right w:type="dxa" w:w="80"/>
            </w:tcMar>
          </w:tcPr>
          <w:p>
            <w:pPr>
              <w:spacing w:after="0" w:line="240" w:lineRule="auto"/>
            </w:pPr>
            <w:r>
              <w:rPr>
                <w:b w:val="false"/>
                <w:bCs w:val="false"/>
              </w:rPr>
              <w:t xml:space="preserve">0.434</w:t>
            </w:r>
          </w:p>
        </w:tc>
        <w:tc>
          <w:tcPr>
            <w:tcW w:type="dxa" w:w="1800"/>
            <w:tcMar>
              <w:top w:type="dxa" w:w="20"/>
              <w:left w:type="dxa" w:w="80"/>
              <w:bottom w:type="dxa" w:w="20"/>
              <w:right w:type="dxa" w:w="80"/>
            </w:tcMar>
          </w:tcPr>
          <w:p>
            <w:pPr>
              <w:spacing w:after="0" w:line="240" w:lineRule="auto"/>
            </w:pPr>
            <w:r>
              <w:rPr>
                <w:b w:val="false"/>
                <w:bCs w:val="false"/>
              </w:rPr>
              <w:t xml:space="preserve">0.336</w:t>
            </w:r>
          </w:p>
        </w:tc>
        <w:tc>
          <w:tcPr>
            <w:tcW w:type="dxa" w:w="1800"/>
            <w:tcMar>
              <w:top w:type="dxa" w:w="20"/>
              <w:left w:type="dxa" w:w="80"/>
              <w:bottom w:type="dxa" w:w="20"/>
              <w:right w:type="dxa" w:w="80"/>
            </w:tcMar>
          </w:tcPr>
          <w:p>
            <w:pPr>
              <w:spacing w:after="0" w:line="240" w:lineRule="auto"/>
            </w:pPr>
            <w:r>
              <w:rPr>
                <w:b w:val="false"/>
                <w:bCs w:val="false"/>
              </w:rPr>
              <w:t xml:space="preserve">0.401</w:t>
            </w:r>
          </w:p>
        </w:tc>
        <w:tc>
          <w:tcPr>
            <w:tcW w:type="dxa" w:w="1800"/>
            <w:tcMar>
              <w:top w:type="dxa" w:w="20"/>
              <w:left w:type="dxa" w:w="80"/>
              <w:bottom w:type="dxa" w:w="20"/>
              <w:right w:type="dxa" w:w="80"/>
            </w:tcMar>
          </w:tcPr>
          <w:p>
            <w:pPr>
              <w:spacing w:after="0" w:line="240" w:lineRule="auto"/>
            </w:pPr>
            <w:r>
              <w:rPr>
                <w:b w:val="false"/>
                <w:bCs w:val="false"/>
              </w:rPr>
              <w:t xml:space="preserve">44.86</w:t>
            </w:r>
          </w:p>
        </w:tc>
      </w:tr>
      <w:tr>
        <w:tc>
          <w:tcPr>
            <w:tcW w:type="dxa" w:w="1800"/>
            <w:tcMar>
              <w:top w:type="dxa" w:w="20"/>
              <w:left w:type="dxa" w:w="80"/>
              <w:bottom w:type="dxa" w:w="20"/>
              <w:right w:type="dxa" w:w="80"/>
            </w:tcMar>
          </w:tcPr>
          <w:p>
            <w:pPr>
              <w:spacing w:after="0" w:line="240" w:lineRule="auto"/>
            </w:pPr>
            <w:r>
              <w:rPr>
                <w:b w:val="false"/>
                <w:bCs w:val="false"/>
              </w:rPr>
              <w:t xml:space="preserve">PCA, d=5</w:t>
            </w:r>
          </w:p>
        </w:tc>
        <w:tc>
          <w:tcPr>
            <w:tcW w:type="dxa" w:w="1800"/>
            <w:tcMar>
              <w:top w:type="dxa" w:w="20"/>
              <w:left w:type="dxa" w:w="80"/>
              <w:bottom w:type="dxa" w:w="20"/>
              <w:right w:type="dxa" w:w="80"/>
            </w:tcMar>
          </w:tcPr>
          <w:p>
            <w:pPr>
              <w:spacing w:after="0" w:line="240" w:lineRule="auto"/>
            </w:pPr>
            <w:r>
              <w:rPr>
                <w:b w:val="false"/>
                <w:bCs w:val="false"/>
              </w:rPr>
              <w:t xml:space="preserve">0.761</w:t>
            </w:r>
          </w:p>
        </w:tc>
        <w:tc>
          <w:tcPr>
            <w:tcW w:type="dxa" w:w="1800"/>
            <w:tcMar>
              <w:top w:type="dxa" w:w="20"/>
              <w:left w:type="dxa" w:w="80"/>
              <w:bottom w:type="dxa" w:w="20"/>
              <w:right w:type="dxa" w:w="80"/>
            </w:tcMar>
          </w:tcPr>
          <w:p>
            <w:pPr>
              <w:spacing w:after="0" w:line="240" w:lineRule="auto"/>
            </w:pPr>
            <w:r>
              <w:rPr>
                <w:b w:val="false"/>
                <w:bCs w:val="false"/>
              </w:rPr>
              <w:t xml:space="preserve">0.150</w:t>
            </w:r>
          </w:p>
        </w:tc>
        <w:tc>
          <w:tcPr>
            <w:tcW w:type="dxa" w:w="1800"/>
            <w:tcMar>
              <w:top w:type="dxa" w:w="20"/>
              <w:left w:type="dxa" w:w="80"/>
              <w:bottom w:type="dxa" w:w="20"/>
              <w:right w:type="dxa" w:w="80"/>
            </w:tcMar>
          </w:tcPr>
          <w:p>
            <w:pPr>
              <w:spacing w:after="0" w:line="240" w:lineRule="auto"/>
            </w:pPr>
            <w:r>
              <w:rPr>
                <w:b w:val="false"/>
                <w:bCs w:val="false"/>
              </w:rPr>
              <w:t xml:space="preserve">0.559</w:t>
            </w:r>
          </w:p>
        </w:tc>
        <w:tc>
          <w:tcPr>
            <w:tcW w:type="dxa" w:w="1800"/>
            <w:tcMar>
              <w:top w:type="dxa" w:w="20"/>
              <w:left w:type="dxa" w:w="80"/>
              <w:bottom w:type="dxa" w:w="20"/>
              <w:right w:type="dxa" w:w="80"/>
            </w:tcMar>
          </w:tcPr>
          <w:p>
            <w:pPr>
              <w:spacing w:after="0" w:line="240" w:lineRule="auto"/>
            </w:pPr>
            <w:r>
              <w:rPr>
                <w:b w:val="false"/>
                <w:bCs w:val="false"/>
              </w:rPr>
              <w:t xml:space="preserve">33.96</w:t>
            </w:r>
          </w:p>
        </w:tc>
      </w:tr>
      <w:tr>
        <w:tc>
          <w:tcPr>
            <w:tcW w:type="dxa" w:w="1800"/>
            <w:tcMar>
              <w:top w:type="dxa" w:w="20"/>
              <w:left w:type="dxa" w:w="80"/>
              <w:bottom w:type="dxa" w:w="20"/>
              <w:right w:type="dxa" w:w="80"/>
            </w:tcMar>
          </w:tcPr>
          <w:p>
            <w:pPr>
              <w:spacing w:after="0" w:line="240" w:lineRule="auto"/>
            </w:pPr>
            <w:r>
              <w:rPr>
                <w:b w:val="false"/>
                <w:bCs w:val="false"/>
              </w:rPr>
              <w:t xml:space="preserve">PCA, d=10</w:t>
            </w:r>
          </w:p>
        </w:tc>
        <w:tc>
          <w:tcPr>
            <w:tcW w:type="dxa" w:w="1800"/>
            <w:tcMar>
              <w:top w:type="dxa" w:w="20"/>
              <w:left w:type="dxa" w:w="80"/>
              <w:bottom w:type="dxa" w:w="20"/>
              <w:right w:type="dxa" w:w="80"/>
            </w:tcMar>
          </w:tcPr>
          <w:p>
            <w:pPr>
              <w:spacing w:after="0" w:line="240" w:lineRule="auto"/>
            </w:pPr>
            <w:r>
              <w:rPr>
                <w:b w:val="false"/>
                <w:bCs w:val="false"/>
              </w:rPr>
              <w:t xml:space="preserve">0.946</w:t>
            </w:r>
          </w:p>
        </w:tc>
        <w:tc>
          <w:tcPr>
            <w:tcW w:type="dxa" w:w="1800"/>
            <w:tcMar>
              <w:top w:type="dxa" w:w="20"/>
              <w:left w:type="dxa" w:w="80"/>
              <w:bottom w:type="dxa" w:w="20"/>
              <w:right w:type="dxa" w:w="80"/>
            </w:tcMar>
          </w:tcPr>
          <w:p>
            <w:pPr>
              <w:spacing w:after="0" w:line="240" w:lineRule="auto"/>
            </w:pPr>
            <w:r>
              <w:rPr>
                <w:b w:val="false"/>
                <w:bCs w:val="false"/>
              </w:rPr>
              <w:t xml:space="preserve">0.046</w:t>
            </w:r>
          </w:p>
        </w:tc>
        <w:tc>
          <w:tcPr>
            <w:tcW w:type="dxa" w:w="1800"/>
            <w:tcMar>
              <w:top w:type="dxa" w:w="20"/>
              <w:left w:type="dxa" w:w="80"/>
              <w:bottom w:type="dxa" w:w="20"/>
              <w:right w:type="dxa" w:w="80"/>
            </w:tcMar>
          </w:tcPr>
          <w:p>
            <w:pPr>
              <w:spacing w:after="0" w:line="240" w:lineRule="auto"/>
            </w:pPr>
            <w:r>
              <w:rPr>
                <w:b w:val="false"/>
                <w:bCs w:val="false"/>
              </w:rPr>
              <w:t xml:space="preserve">0.571</w:t>
            </w:r>
          </w:p>
        </w:tc>
        <w:tc>
          <w:tcPr>
            <w:tcW w:type="dxa" w:w="1800"/>
            <w:tcMar>
              <w:top w:type="dxa" w:w="20"/>
              <w:left w:type="dxa" w:w="80"/>
              <w:bottom w:type="dxa" w:w="20"/>
              <w:right w:type="dxa" w:w="80"/>
            </w:tcMar>
          </w:tcPr>
          <w:p>
            <w:pPr>
              <w:spacing w:after="0" w:line="240" w:lineRule="auto"/>
            </w:pPr>
            <w:r>
              <w:rPr>
                <w:b w:val="false"/>
                <w:bCs w:val="false"/>
              </w:rPr>
              <w:t xml:space="preserve">32.10</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d=2</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0.204</w:t>
            </w:r>
          </w:p>
        </w:tc>
        <w:tc>
          <w:tcPr>
            <w:tcW w:type="dxa" w:w="1800"/>
            <w:tcMar>
              <w:top w:type="dxa" w:w="20"/>
              <w:left w:type="dxa" w:w="80"/>
              <w:bottom w:type="dxa" w:w="20"/>
              <w:right w:type="dxa" w:w="80"/>
            </w:tcMar>
          </w:tcPr>
          <w:p>
            <w:pPr>
              <w:spacing w:after="0" w:line="240" w:lineRule="auto"/>
            </w:pPr>
            <w:r>
              <w:rPr>
                <w:b w:val="false"/>
                <w:bCs w:val="false"/>
              </w:rPr>
              <w:t xml:space="preserve">0.457</w:t>
            </w:r>
          </w:p>
        </w:tc>
        <w:tc>
          <w:tcPr>
            <w:tcW w:type="dxa" w:w="1800"/>
            <w:tcMar>
              <w:top w:type="dxa" w:w="20"/>
              <w:left w:type="dxa" w:w="80"/>
              <w:bottom w:type="dxa" w:w="20"/>
              <w:right w:type="dxa" w:w="80"/>
            </w:tcMar>
          </w:tcPr>
          <w:p>
            <w:pPr>
              <w:spacing w:after="0" w:line="240" w:lineRule="auto"/>
            </w:pPr>
            <w:r>
              <w:rPr>
                <w:b w:val="false"/>
                <w:bCs w:val="false"/>
              </w:rPr>
              <w:t xml:space="preserve">41.93</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d=5</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0.062</w:t>
            </w:r>
          </w:p>
        </w:tc>
        <w:tc>
          <w:tcPr>
            <w:tcW w:type="dxa" w:w="1800"/>
            <w:tcMar>
              <w:top w:type="dxa" w:w="20"/>
              <w:left w:type="dxa" w:w="80"/>
              <w:bottom w:type="dxa" w:w="20"/>
              <w:right w:type="dxa" w:w="80"/>
            </w:tcMar>
          </w:tcPr>
          <w:p>
            <w:pPr>
              <w:spacing w:after="0" w:line="240" w:lineRule="auto"/>
            </w:pPr>
            <w:r>
              <w:rPr>
                <w:b w:val="false"/>
                <w:bCs w:val="false"/>
              </w:rPr>
              <w:t xml:space="preserve">0.568</w:t>
            </w:r>
          </w:p>
        </w:tc>
        <w:tc>
          <w:tcPr>
            <w:tcW w:type="dxa" w:w="1800"/>
            <w:tcMar>
              <w:top w:type="dxa" w:w="20"/>
              <w:left w:type="dxa" w:w="80"/>
              <w:bottom w:type="dxa" w:w="20"/>
              <w:right w:type="dxa" w:w="80"/>
            </w:tcMar>
          </w:tcPr>
          <w:p>
            <w:pPr>
              <w:spacing w:after="0" w:line="240" w:lineRule="auto"/>
            </w:pPr>
            <w:r>
              <w:rPr>
                <w:b w:val="false"/>
                <w:bCs w:val="false"/>
              </w:rPr>
              <w:t xml:space="preserve">36.29</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d=10</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0.026</w:t>
            </w:r>
          </w:p>
        </w:tc>
        <w:tc>
          <w:tcPr>
            <w:tcW w:type="dxa" w:w="1800"/>
            <w:tcMar>
              <w:top w:type="dxa" w:w="20"/>
              <w:left w:type="dxa" w:w="80"/>
              <w:bottom w:type="dxa" w:w="20"/>
              <w:right w:type="dxa" w:w="80"/>
            </w:tcMar>
          </w:tcPr>
          <w:p>
            <w:pPr>
              <w:spacing w:after="0" w:line="240" w:lineRule="auto"/>
            </w:pPr>
            <w:r>
              <w:rPr>
                <w:b w:val="false"/>
                <w:bCs w:val="false"/>
              </w:rPr>
              <w:t xml:space="preserve">0.661</w:t>
            </w:r>
          </w:p>
        </w:tc>
        <w:tc>
          <w:tcPr>
            <w:tcW w:type="dxa" w:w="1800"/>
            <w:tcMar>
              <w:top w:type="dxa" w:w="20"/>
              <w:left w:type="dxa" w:w="80"/>
              <w:bottom w:type="dxa" w:w="20"/>
              <w:right w:type="dxa" w:w="80"/>
            </w:tcMar>
          </w:tcPr>
          <w:p>
            <w:pPr>
              <w:spacing w:after="0" w:line="240" w:lineRule="auto"/>
            </w:pPr>
            <w:r>
              <w:rPr>
                <w:b w:val="false"/>
                <w:bCs w:val="false"/>
              </w:rPr>
              <w:t xml:space="preserve">29.69</w:t>
            </w:r>
          </w:p>
        </w:tc>
      </w:tr>
    </w:tbl>
    <w:p>
      <w:pPr>
        <w:spacing w:after="150"/>
      </w:pPr>
    </w:p>
    <w:p>
      <w:pPr>
        <w:spacing w:after="100" w:line="252" w:lineRule="auto"/>
        <w:jc w:val="both"/>
      </w:pPr>
      <w:r>
        <w:rPr>
          <w:b w:val="false"/>
          <w:bCs w:val="false"/>
          <w:i/>
          <w:iCs/>
        </w:rPr>
        <w:t xml:space="preserve">Note: to keep one representation valid for both downstream tasks, Problem 3 uses the leakage-safe (no-irradiance) feature set as its shared input for both classification and regression — so its "raw" regression RMSE (23.86 kW) is not directly comparable to Problem 2's full-feature Davis result (15.17 kW); see `PROBLEM3_REPORT.md` for the full explanation of this deliberate scope choice.</w:t>
      </w:r>
    </w:p>
    <w:p>
      <w:pPr>
        <w:spacing w:after="100" w:line="252" w:lineRule="auto"/>
        <w:jc w:val="both"/>
      </w:pPr>
      <w:r>
        <w:rPr>
          <w:b/>
          <w:bCs/>
        </w:rPr>
        <w:t xml:space="preserve">Raw features outperformed every reduced representation, at every tested dimension, on both tasks.</w:t>
      </w:r>
      <w:r>
        <w:rPr>
          <w:b w:val="false"/>
          <w:bCs w:val="false"/>
        </w:rPr>
        <w:t xml:space="preserve"> This was not the expected outcome going in, but it is a clear, direct result of the actual experiments, not an artifact: even at d=10 — using nearly half of the original 23 encoded features' worth of information (94.6% of variance for PCA) — compressed representations still lost real predictive power.</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5.</w:t>
      </w:r>
      <w:r>
        <w:rPr>
          <w:b w:val="false"/>
          <w:bCs w:val="false"/>
        </w:rPr>
        <w:t xml:space="preserve"> Reconstruction error, PCA vs. autoencoder, by latent dimension. The autoencoder reconstructs more accurately than PCA at every dimension, since it can learn nonlinear compressions that PCA's linear projections cannot.</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6.</w:t>
      </w:r>
      <w:r>
        <w:rPr>
          <w:b w:val="false"/>
          <w:bCs w:val="false"/>
        </w:rPr>
        <w:t xml:space="preserve"> Downstream classification accuracy: raw features vs. every tested PCA/autoencoder representation. Raw features are the clear winner.</w:t>
      </w:r>
    </w:p>
    <w:p>
      <w:pPr>
        <w:spacing w:after="100" w:line="252" w:lineRule="auto"/>
        <w:jc w:val="both"/>
      </w:pPr>
      <w:r>
        <w:rPr>
          <w:b/>
          <w:bCs/>
        </w:rPr>
        <w:t xml:space="preserve">The autoencoder consistently beat PCA</w:t>
      </w:r>
      <w:r>
        <w:rPr>
          <w:b w:val="false"/>
          <w:bCs w:val="false"/>
        </w:rPr>
        <w:t xml:space="preserve"> at matched dimensions, on both reconstruction quality and downstream performance — expected, since it can learn curved (nonlinear) compressions where PCA is restricted to straight lines through the data. A feature ablation traced part of the compression penalty to Cloud Type: removing it from the PCA input </w:t>
      </w:r>
      <w:r>
        <w:rPr>
          <w:b w:val="false"/>
          <w:bCs w:val="false"/>
          <w:i/>
          <w:iCs/>
        </w:rPr>
        <w:t xml:space="preserve">raised</w:t>
      </w:r>
      <w:r>
        <w:rPr>
          <w:b w:val="false"/>
          <w:bCs w:val="false"/>
        </w:rPr>
        <w:t xml:space="preserve"> explained variance (fewer dimensions to explain) but </w:t>
      </w:r>
      <w:r>
        <w:rPr>
          <w:b w:val="false"/>
          <w:bCs w:val="false"/>
          <w:i/>
          <w:iCs/>
        </w:rPr>
        <w:t xml:space="preserve">lowered</w:t>
      </w:r>
      <w:r>
        <w:rPr>
          <w:b w:val="false"/>
          <w:bCs w:val="false"/>
        </w:rPr>
        <w:t xml:space="preserve"> both reconstruction quality and downstream accuracy — Cloud Type carries real, categorical signal that a handful of continuous latent dimensions struggles to preserve. A 2-D t-SNE visualization (`figures/problem3/problem3_tsne.png`) shows partial, incomplete class separation, consistent with the moderate accuracy these representations achieve — but visible structure in a plot is not the same claim as a reliably predictive representation, and the low d=2 downstream accuracy (0.40) makes that distinction concrete.</w:t>
      </w:r>
    </w:p>
    <w:p>
      <w:pPr>
        <w:pStyle w:val="Heading1"/>
        <w:spacing w:after="100" w:before="200"/>
      </w:pPr>
      <w:r>
        <w:t xml:space="preserve">8. Problem 4 — Semi-Supervised Learning</w:t>
      </w:r>
    </w:p>
    <w:p>
      <w:pPr>
        <w:spacing w:after="100" w:line="252" w:lineRule="auto"/>
        <w:jc w:val="both"/>
      </w:pPr>
      <w:r>
        <w:rPr>
          <w:b w:val="false"/>
          <w:bCs w:val="false"/>
        </w:rPr>
        <w:t xml:space="preserve">Problem 4 asks how much a large pool of </w:t>
      </w:r>
      <w:r>
        <w:rPr>
          <w:b w:val="false"/>
          <w:bCs w:val="false"/>
          <w:i/>
          <w:iCs/>
        </w:rPr>
        <w:t xml:space="preserve">unlabeled</w:t>
      </w:r>
      <w:r>
        <w:rPr>
          <w:b w:val="false"/>
          <w:bCs w:val="false"/>
        </w:rPr>
        <w:t xml:space="preserve"> weather readings can help when only a small fraction of Davis's sky-condition labels are available — 10%, 30%, or 50%. The labeled subset was selected once per (fraction, seed) using stratified random sampling (guaranteeing every class survives even at 10% labels), and the exact same subset was used for both the supervised-only baseline and SSL, for a fair comparison.</w:t>
      </w:r>
    </w:p>
    <w:p>
      <w:pPr>
        <w:spacing w:after="100" w:line="252" w:lineRule="auto"/>
        <w:jc w:val="both"/>
      </w:pPr>
      <w:r>
        <w:rPr>
          <w:b w:val="false"/>
          <w:bCs w:val="false"/>
        </w:rPr>
        <w:t xml:space="preserve">The primary SSL method was </w:t>
      </w:r>
      <w:r>
        <w:rPr>
          <w:b/>
          <w:bCs/>
        </w:rPr>
        <w:t xml:space="preserve">pseudo-labeling / self-training</w:t>
      </w:r>
      <w:r>
        <w:rPr>
          <w:b w:val="false"/>
          <w:bCs w:val="false"/>
        </w:rPr>
        <w:t xml:space="preserve">: train a classifier (logistic regression, balanced weight — the same model that won Problem 1) on the labeled subset; predict class probabilities for every unlabeled row; keep only predictions at or above a confidence threshold (0.90, chosen by testing 0.80/0.90/0.95 on a held-out validation split); add those rows, labeled with the model's own prediction, to the labeled set; retrain; repeat for up to 5 rounds or until no more predictions clear the threshold. A cap of 1,000 pseudo-labels per round was added after testing showed that, uncapped, the first round alone added 12,170 labels, 98% of them the same class — a real class-collapse risk that the cap measurably reduced. Pseudo-labeling can help by giving the model more (self-generated) examples to learn from, but it can equally reinforce whatever the model already believes, since a confidently wrong prediction becomes a confidently wrong "label."</w:t>
      </w:r>
    </w:p>
    <w:p>
      <w:pPr>
        <w:pStyle w:val="Heading2"/>
        <w:spacing w:after="60" w:before="140"/>
      </w:pPr>
      <w:r>
        <w:t xml:space="preserve">Results</w:t>
      </w:r>
    </w:p>
    <w:p>
      <w:pPr>
        <w:spacing w:after="100" w:line="252" w:lineRule="auto"/>
        <w:jc w:val="both"/>
      </w:pPr>
      <w:r>
        <w:rPr>
          <w:b/>
          <w:bCs/>
        </w:rPr>
        <w:t xml:space="preserve">Table 4. Problem 4 SSL results (Davis sky-condition, macro F1, mean ± std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20"/>
              <w:left w:type="dxa" w:w="80"/>
              <w:bottom w:type="dxa" w:w="20"/>
              <w:right w:type="dxa" w:w="80"/>
            </w:tcMar>
          </w:tcPr>
          <w:p>
            <w:pPr>
              <w:spacing w:after="0" w:line="240" w:lineRule="auto"/>
            </w:pPr>
            <w:r>
              <w:rPr>
                <w:b/>
                <w:bCs/>
              </w:rPr>
              <w:t xml:space="preserve">Label Fraction</w:t>
            </w:r>
          </w:p>
        </w:tc>
        <w:tc>
          <w:tcPr>
            <w:tcW w:type="dxa" w:w="2250"/>
            <w:shd w:fill="D9E2F3" w:val="clear"/>
            <w:tcMar>
              <w:top w:type="dxa" w:w="20"/>
              <w:left w:type="dxa" w:w="80"/>
              <w:bottom w:type="dxa" w:w="20"/>
              <w:right w:type="dxa" w:w="80"/>
            </w:tcMar>
          </w:tcPr>
          <w:p>
            <w:pPr>
              <w:spacing w:after="0" w:line="240" w:lineRule="auto"/>
            </w:pPr>
            <w:r>
              <w:rPr>
                <w:b/>
                <w:bCs/>
              </w:rPr>
              <w:t xml:space="preserve">Supervised Macro F1</w:t>
            </w:r>
          </w:p>
        </w:tc>
        <w:tc>
          <w:tcPr>
            <w:tcW w:type="dxa" w:w="2250"/>
            <w:shd w:fill="D9E2F3" w:val="clear"/>
            <w:tcMar>
              <w:top w:type="dxa" w:w="20"/>
              <w:left w:type="dxa" w:w="80"/>
              <w:bottom w:type="dxa" w:w="20"/>
              <w:right w:type="dxa" w:w="80"/>
            </w:tcMar>
          </w:tcPr>
          <w:p>
            <w:pPr>
              <w:spacing w:after="0" w:line="240" w:lineRule="auto"/>
            </w:pPr>
            <w:r>
              <w:rPr>
                <w:b/>
                <w:bCs/>
              </w:rPr>
              <w:t xml:space="preserve">SSL Macro F1</w:t>
            </w:r>
          </w:p>
        </w:tc>
        <w:tc>
          <w:tcPr>
            <w:tcW w:type="dxa" w:w="2250"/>
            <w:shd w:fill="D9E2F3" w:val="clear"/>
            <w:tcMar>
              <w:top w:type="dxa" w:w="20"/>
              <w:left w:type="dxa" w:w="80"/>
              <w:bottom w:type="dxa" w:w="20"/>
              <w:right w:type="dxa" w:w="80"/>
            </w:tcMar>
          </w:tcPr>
          <w:p>
            <w:pPr>
              <w:spacing w:after="0" w:line="240" w:lineRule="auto"/>
            </w:pPr>
            <w:r>
              <w:rPr>
                <w:b/>
                <w:bCs/>
              </w:rPr>
              <w:t xml:space="preserve">SSL Gain</w:t>
            </w:r>
          </w:p>
        </w:tc>
      </w:tr>
      <w:tr>
        <w:tc>
          <w:tcPr>
            <w:tcW w:type="dxa" w:w="2250"/>
            <w:tcMar>
              <w:top w:type="dxa" w:w="20"/>
              <w:left w:type="dxa" w:w="80"/>
              <w:bottom w:type="dxa" w:w="20"/>
              <w:right w:type="dxa" w:w="80"/>
            </w:tcMar>
          </w:tcPr>
          <w:p>
            <w:pPr>
              <w:spacing w:after="0" w:line="240" w:lineRule="auto"/>
            </w:pPr>
            <w:r>
              <w:rPr>
                <w:b w:val="false"/>
                <w:bCs w:val="false"/>
              </w:rPr>
              <w:t xml:space="preserve">10%</w:t>
            </w:r>
          </w:p>
        </w:tc>
        <w:tc>
          <w:tcPr>
            <w:tcW w:type="dxa" w:w="2250"/>
            <w:tcMar>
              <w:top w:type="dxa" w:w="20"/>
              <w:left w:type="dxa" w:w="80"/>
              <w:bottom w:type="dxa" w:w="20"/>
              <w:right w:type="dxa" w:w="80"/>
            </w:tcMar>
          </w:tcPr>
          <w:p>
            <w:pPr>
              <w:spacing w:after="0" w:line="240" w:lineRule="auto"/>
            </w:pPr>
            <w:r>
              <w:rPr>
                <w:b w:val="false"/>
                <w:bCs w:val="false"/>
              </w:rPr>
              <w:t xml:space="preserve">0.700 ± 0.007</w:t>
            </w:r>
          </w:p>
        </w:tc>
        <w:tc>
          <w:tcPr>
            <w:tcW w:type="dxa" w:w="2250"/>
            <w:tcMar>
              <w:top w:type="dxa" w:w="20"/>
              <w:left w:type="dxa" w:w="80"/>
              <w:bottom w:type="dxa" w:w="20"/>
              <w:right w:type="dxa" w:w="80"/>
            </w:tcMar>
          </w:tcPr>
          <w:p>
            <w:pPr>
              <w:spacing w:after="0" w:line="240" w:lineRule="auto"/>
            </w:pPr>
            <w:r>
              <w:rPr>
                <w:b w:val="false"/>
                <w:bCs w:val="false"/>
              </w:rPr>
              <w:t xml:space="preserve">0.695 ± 0.003</w:t>
            </w:r>
          </w:p>
        </w:tc>
        <w:tc>
          <w:tcPr>
            <w:tcW w:type="dxa" w:w="2250"/>
            <w:tcMar>
              <w:top w:type="dxa" w:w="20"/>
              <w:left w:type="dxa" w:w="80"/>
              <w:bottom w:type="dxa" w:w="20"/>
              <w:right w:type="dxa" w:w="80"/>
            </w:tcMar>
          </w:tcPr>
          <w:p>
            <w:pPr>
              <w:spacing w:after="0" w:line="240" w:lineRule="auto"/>
            </w:pPr>
            <w:r>
              <w:rPr>
                <w:b w:val="false"/>
                <w:bCs w:val="false"/>
              </w:rPr>
              <w:t xml:space="preserve">−0.0048</w:t>
            </w:r>
          </w:p>
        </w:tc>
      </w:tr>
      <w:tr>
        <w:tc>
          <w:tcPr>
            <w:tcW w:type="dxa" w:w="2250"/>
            <w:tcMar>
              <w:top w:type="dxa" w:w="20"/>
              <w:left w:type="dxa" w:w="80"/>
              <w:bottom w:type="dxa" w:w="20"/>
              <w:right w:type="dxa" w:w="80"/>
            </w:tcMar>
          </w:tcPr>
          <w:p>
            <w:pPr>
              <w:spacing w:after="0" w:line="240" w:lineRule="auto"/>
            </w:pPr>
            <w:r>
              <w:rPr>
                <w:b w:val="false"/>
                <w:bCs w:val="false"/>
              </w:rPr>
              <w:t xml:space="preserve">30%</w:t>
            </w:r>
          </w:p>
        </w:tc>
        <w:tc>
          <w:tcPr>
            <w:tcW w:type="dxa" w:w="2250"/>
            <w:tcMar>
              <w:top w:type="dxa" w:w="20"/>
              <w:left w:type="dxa" w:w="80"/>
              <w:bottom w:type="dxa" w:w="20"/>
              <w:right w:type="dxa" w:w="80"/>
            </w:tcMar>
          </w:tcPr>
          <w:p>
            <w:pPr>
              <w:spacing w:after="0" w:line="240" w:lineRule="auto"/>
            </w:pPr>
            <w:r>
              <w:rPr>
                <w:b w:val="false"/>
                <w:bCs w:val="false"/>
              </w:rPr>
              <w:t xml:space="preserve">0.704 ± 0.015</w:t>
            </w:r>
          </w:p>
        </w:tc>
        <w:tc>
          <w:tcPr>
            <w:tcW w:type="dxa" w:w="2250"/>
            <w:tcMar>
              <w:top w:type="dxa" w:w="20"/>
              <w:left w:type="dxa" w:w="80"/>
              <w:bottom w:type="dxa" w:w="20"/>
              <w:right w:type="dxa" w:w="80"/>
            </w:tcMar>
          </w:tcPr>
          <w:p>
            <w:pPr>
              <w:spacing w:after="0" w:line="240" w:lineRule="auto"/>
            </w:pPr>
            <w:r>
              <w:rPr>
                <w:b w:val="false"/>
                <w:bCs w:val="false"/>
              </w:rPr>
              <w:t xml:space="preserve">0.704 ± 0.015</w:t>
            </w:r>
          </w:p>
        </w:tc>
        <w:tc>
          <w:tcPr>
            <w:tcW w:type="dxa" w:w="2250"/>
            <w:tcMar>
              <w:top w:type="dxa" w:w="20"/>
              <w:left w:type="dxa" w:w="80"/>
              <w:bottom w:type="dxa" w:w="20"/>
              <w:right w:type="dxa" w:w="80"/>
            </w:tcMar>
          </w:tcPr>
          <w:p>
            <w:pPr>
              <w:spacing w:after="0" w:line="240" w:lineRule="auto"/>
            </w:pPr>
            <w:r>
              <w:rPr>
                <w:b w:val="false"/>
                <w:bCs w:val="false"/>
              </w:rPr>
              <w:t xml:space="preserve">−0.0006</w:t>
            </w:r>
          </w:p>
        </w:tc>
      </w:tr>
      <w:tr>
        <w:tc>
          <w:tcPr>
            <w:tcW w:type="dxa" w:w="2250"/>
            <w:tcMar>
              <w:top w:type="dxa" w:w="20"/>
              <w:left w:type="dxa" w:w="80"/>
              <w:bottom w:type="dxa" w:w="20"/>
              <w:right w:type="dxa" w:w="80"/>
            </w:tcMar>
          </w:tcPr>
          <w:p>
            <w:pPr>
              <w:spacing w:after="0" w:line="240" w:lineRule="auto"/>
            </w:pPr>
            <w:r>
              <w:rPr>
                <w:b w:val="false"/>
                <w:bCs w:val="false"/>
              </w:rPr>
              <w:t xml:space="preserve">50%</w:t>
            </w:r>
          </w:p>
        </w:tc>
        <w:tc>
          <w:tcPr>
            <w:tcW w:type="dxa" w:w="2250"/>
            <w:tcMar>
              <w:top w:type="dxa" w:w="20"/>
              <w:left w:type="dxa" w:w="80"/>
              <w:bottom w:type="dxa" w:w="20"/>
              <w:right w:type="dxa" w:w="80"/>
            </w:tcMar>
          </w:tcPr>
          <w:p>
            <w:pPr>
              <w:spacing w:after="0" w:line="240" w:lineRule="auto"/>
            </w:pPr>
            <w:r>
              <w:rPr>
                <w:b w:val="false"/>
                <w:bCs w:val="false"/>
              </w:rPr>
              <w:t xml:space="preserve">0.715 ± 0.007</w:t>
            </w:r>
          </w:p>
        </w:tc>
        <w:tc>
          <w:tcPr>
            <w:tcW w:type="dxa" w:w="2250"/>
            <w:tcMar>
              <w:top w:type="dxa" w:w="20"/>
              <w:left w:type="dxa" w:w="80"/>
              <w:bottom w:type="dxa" w:w="20"/>
              <w:right w:type="dxa" w:w="80"/>
            </w:tcMar>
          </w:tcPr>
          <w:p>
            <w:pPr>
              <w:spacing w:after="0" w:line="240" w:lineRule="auto"/>
            </w:pPr>
            <w:r>
              <w:rPr>
                <w:b w:val="false"/>
                <w:bCs w:val="false"/>
              </w:rPr>
              <w:t xml:space="preserve">0.714 ± 0.006</w:t>
            </w:r>
          </w:p>
        </w:tc>
        <w:tc>
          <w:tcPr>
            <w:tcW w:type="dxa" w:w="2250"/>
            <w:tcMar>
              <w:top w:type="dxa" w:w="20"/>
              <w:left w:type="dxa" w:w="80"/>
              <w:bottom w:type="dxa" w:w="20"/>
              <w:right w:type="dxa" w:w="80"/>
            </w:tcMar>
          </w:tcPr>
          <w:p>
            <w:pPr>
              <w:spacing w:after="0" w:line="240" w:lineRule="auto"/>
            </w:pPr>
            <w:r>
              <w:rPr>
                <w:b w:val="false"/>
                <w:bCs w:val="false"/>
              </w:rPr>
              <w:t xml:space="preserve">−0.0010</w:t>
            </w:r>
          </w:p>
        </w:tc>
      </w:tr>
    </w:tbl>
    <w:p>
      <w:pPr>
        <w:spacing w:after="150"/>
      </w:pP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7.</w:t>
      </w:r>
      <w:r>
        <w:rPr>
          <w:b w:val="false"/>
          <w:bCs w:val="false"/>
        </w:rPr>
        <w:t xml:space="preserve"> Label-efficiency curve: supervised-only vs. SSL, at each label fraction. The two lines are nearly on top of each other at every fraction — SSL is not providing a visible advantage here.</w:t>
      </w:r>
    </w:p>
    <w:p>
      <w:pPr>
        <w:spacing w:after="100" w:line="252" w:lineRule="auto"/>
        <w:jc w:val="both"/>
      </w:pPr>
      <w:r>
        <w:rPr>
          <w:b/>
          <w:bCs/>
        </w:rPr>
        <w:t xml:space="preserve">SSL did not beat supervised-only at 10% labels</w:t>
      </w:r>
      <w:r>
        <w:rPr>
          <w:b w:val="false"/>
          <w:bCs w:val="false"/>
        </w:rPr>
        <w:t xml:space="preserve"> — the SSL gain is small and negative at every fraction tested, not just the smallest one. This was investigated rather than simply reported: an offline check (using labels the training process itself never saw, purely for this diagnostic) found the pseudo-labels were </w:t>
      </w:r>
      <w:r>
        <w:rPr>
          <w:b/>
          <w:bCs/>
        </w:rPr>
        <w:t xml:space="preserve">100% accurate</w:t>
      </w:r>
      <w:r>
        <w:rPr>
          <w:b w:val="false"/>
          <w:bCs w:val="false"/>
        </w:rPr>
        <w:t xml:space="preserve"> at every fraction and seed — the method was not adding wrong information. The problem was </w:t>
      </w:r>
      <w:r>
        <w:rPr>
          <w:b/>
          <w:bCs/>
        </w:rPr>
        <w:t xml:space="preserve">redundancy</w:t>
      </w:r>
      <w:r>
        <w:rPr>
          <w:b w:val="false"/>
          <w:bCs w:val="false"/>
        </w:rPr>
        <w:t xml:space="preserve">: pseudo-labels were overwhelmingly for the already-easy "Clear" class (Figure 8), reinforcing what the labeled subset already taught the model rather than helping it learn the harder Partly Cloudy / Overcast boundary identified in Section 5.</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8.</w:t>
      </w:r>
      <w:r>
        <w:rPr>
          <w:b w:val="false"/>
          <w:bCs w:val="false"/>
        </w:rPr>
        <w:t xml:space="preserve"> Class distribution of pseudo-labels added, by label fraction. The heavy skew toward "Clear" explains why 100%-accurate pseudo-labels still produced no measurable gain.</w:t>
      </w:r>
    </w:p>
    <w:p>
      <w:pPr>
        <w:spacing w:after="100" w:line="252" w:lineRule="auto"/>
        <w:jc w:val="both"/>
      </w:pPr>
      <w:r>
        <w:rPr>
          <w:b w:val="false"/>
          <w:bCs w:val="false"/>
        </w:rPr>
        <w:t xml:space="preserve">An optional second SSL method, Label Spreading (a graph-based method taught in the course), performed clearly worse than pseudo-labeling at every fraction (balanced accuracy 0.585–0.631, vs. 0.744–0.767 for the supervised baseline) — plausibly because its similarity-graph construction struggles with a large unlabeled pool in a moderate- dimensional mixed continuous/categorical feature space.</w:t>
      </w:r>
    </w:p>
    <w:p>
      <w:pPr>
        <w:pStyle w:val="Heading1"/>
        <w:spacing w:after="100" w:before="200"/>
      </w:pPr>
      <w:r>
        <w:t xml:space="preserve">9. Problem 5 — Transfer Learning</w:t>
      </w:r>
    </w:p>
    <w:p>
      <w:pPr>
        <w:spacing w:after="100" w:line="252" w:lineRule="auto"/>
        <w:jc w:val="both"/>
      </w:pPr>
      <w:r>
        <w:rPr>
          <w:b w:val="false"/>
          <w:bCs w:val="false"/>
        </w:rPr>
        <w:t xml:space="preserve">Problem 5 asks the project's central data-scarcity question: can a model trained on data-rich </w:t>
      </w:r>
      <w:r>
        <w:rPr>
          <w:b/>
          <w:bCs/>
        </w:rPr>
        <w:t xml:space="preserve">Davis</w:t>
      </w:r>
      <w:r>
        <w:rPr>
          <w:b w:val="false"/>
          <w:bCs w:val="false"/>
        </w:rPr>
        <w:t xml:space="preserve"> (source, 19,289 training rows) help predict Output Power for data-poor </w:t>
      </w:r>
      <w:r>
        <w:rPr>
          <w:b/>
          <w:bCs/>
        </w:rPr>
        <w:t xml:space="preserve">Amherst</w:t>
      </w:r>
      <w:r>
        <w:rPr>
          <w:b w:val="false"/>
          <w:bCs w:val="false"/>
        </w:rPr>
        <w:t xml:space="preserve"> (target, 9,641 training rows, 2,411 held-out test rows)? Three approaches were compared, all evaluated on the identical Amherst test set: </w:t>
      </w:r>
      <w:r>
        <w:rPr>
          <w:b/>
          <w:bCs/>
        </w:rPr>
        <w:t xml:space="preserve">zero-shot</w:t>
      </w:r>
      <w:r>
        <w:rPr>
          <w:b w:val="false"/>
          <w:bCs w:val="false"/>
        </w:rPr>
        <w:t xml:space="preserve"> (the Davis model applied directly, with zero Amherst training data used anywhere), </w:t>
      </w:r>
      <w:r>
        <w:rPr>
          <w:b/>
          <w:bCs/>
        </w:rPr>
        <w:t xml:space="preserve">few-shot</w:t>
      </w:r>
      <w:r>
        <w:rPr>
          <w:b w:val="false"/>
          <w:bCs w:val="false"/>
        </w:rPr>
        <w:t xml:space="preserve"> (a fresh model trained only on k Amherst samples, k ∈ {10, 50, 100}), and </w:t>
      </w:r>
      <w:r>
        <w:rPr>
          <w:b/>
          <w:bCs/>
        </w:rPr>
        <w:t xml:space="preserve">transfer</w:t>
      </w:r>
      <w:r>
        <w:rPr>
          <w:b w:val="false"/>
          <w:bCs w:val="false"/>
        </w:rPr>
        <w:t xml:space="preserve"> (the Davis-pretrained model, fine-tuned on the exact same k Amherst samples used for few-shot). A small feed-forward network (Dense(128) → ReLU → Dropout → Dense(64) → ReLU → Dense(1)) was used for all three, so the only difference between few-shot and transfer is the starting point — random weights versus Davis-pretrained weights.</w:t>
      </w:r>
    </w:p>
    <w:p>
      <w:pPr>
        <w:spacing w:after="100" w:line="252" w:lineRule="auto"/>
        <w:jc w:val="both"/>
      </w:pPr>
      <w:r>
        <w:rPr>
          <w:b w:val="false"/>
          <w:bCs w:val="false"/>
        </w:rPr>
        <w:t xml:space="preserve">Because Amherst's output scale (60.9 kW mean) is roughly a third of Davis's (164.0 kW mean), </w:t>
      </w:r>
      <w:r>
        <w:rPr>
          <w:b/>
          <w:bCs/>
        </w:rPr>
        <w:t xml:space="preserve">target normalization</w:t>
      </w:r>
      <w:r>
        <w:rPr>
          <w:b w:val="false"/>
          <w:bCs w:val="false"/>
        </w:rPr>
        <w:t xml:space="preserve"> was investigated directly rather than assumed to matter: a version of the pipeline trained on Davis-normalized output and fine-tuned on Amherst-normalized output (scaler fit from the k Amherst samples themselves) was compared against the raw-kW pipeline at k=50.</w:t>
      </w:r>
    </w:p>
    <w:p>
      <w:pPr>
        <w:pStyle w:val="Heading2"/>
        <w:spacing w:after="60" w:before="140"/>
      </w:pPr>
      <w:r>
        <w:t xml:space="preserve">Results</w:t>
      </w:r>
    </w:p>
    <w:p>
      <w:pPr>
        <w:spacing w:after="100" w:line="252" w:lineRule="auto"/>
        <w:jc w:val="both"/>
      </w:pPr>
      <w:r>
        <w:rPr>
          <w:b/>
          <w:bCs/>
        </w:rPr>
        <w:t xml:space="preserve">Table 5. Problem 5 transfer-learning results (mean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E2F3" w:val="clear"/>
            <w:tcMar>
              <w:top w:type="dxa" w:w="20"/>
              <w:left w:type="dxa" w:w="80"/>
              <w:bottom w:type="dxa" w:w="20"/>
              <w:right w:type="dxa" w:w="80"/>
            </w:tcMar>
          </w:tcPr>
          <w:p>
            <w:pPr>
              <w:spacing w:after="0" w:line="240" w:lineRule="auto"/>
            </w:pPr>
            <w:r>
              <w:rPr>
                <w:b/>
                <w:bCs/>
              </w:rPr>
              <w:t xml:space="preserve">Method</w:t>
            </w:r>
          </w:p>
        </w:tc>
        <w:tc>
          <w:tcPr>
            <w:tcW w:type="dxa" w:w="1500"/>
            <w:shd w:fill="D9E2F3" w:val="clear"/>
            <w:tcMar>
              <w:top w:type="dxa" w:w="20"/>
              <w:left w:type="dxa" w:w="80"/>
              <w:bottom w:type="dxa" w:w="20"/>
              <w:right w:type="dxa" w:w="80"/>
            </w:tcMar>
          </w:tcPr>
          <w:p>
            <w:pPr>
              <w:spacing w:after="0" w:line="240" w:lineRule="auto"/>
            </w:pPr>
            <w:r>
              <w:rPr>
                <w:b/>
                <w:bCs/>
              </w:rPr>
              <w:t xml:space="preserve">Target Samples</w:t>
            </w:r>
          </w:p>
        </w:tc>
        <w:tc>
          <w:tcPr>
            <w:tcW w:type="dxa" w:w="1500"/>
            <w:shd w:fill="D9E2F3" w:val="clear"/>
            <w:tcMar>
              <w:top w:type="dxa" w:w="20"/>
              <w:left w:type="dxa" w:w="80"/>
              <w:bottom w:type="dxa" w:w="20"/>
              <w:right w:type="dxa" w:w="80"/>
            </w:tcMar>
          </w:tcPr>
          <w:p>
            <w:pPr>
              <w:spacing w:after="0" w:line="240" w:lineRule="auto"/>
            </w:pPr>
            <w:r>
              <w:rPr>
                <w:b/>
                <w:bCs/>
              </w:rPr>
              <w:t xml:space="preserve">RMSE (kW)</w:t>
            </w:r>
          </w:p>
        </w:tc>
        <w:tc>
          <w:tcPr>
            <w:tcW w:type="dxa" w:w="1500"/>
            <w:shd w:fill="D9E2F3" w:val="clear"/>
            <w:tcMar>
              <w:top w:type="dxa" w:w="20"/>
              <w:left w:type="dxa" w:w="80"/>
              <w:bottom w:type="dxa" w:w="20"/>
              <w:right w:type="dxa" w:w="80"/>
            </w:tcMar>
          </w:tcPr>
          <w:p>
            <w:pPr>
              <w:spacing w:after="0" w:line="240" w:lineRule="auto"/>
            </w:pPr>
            <w:r>
              <w:rPr>
                <w:b/>
                <w:bCs/>
              </w:rPr>
              <w:t xml:space="preserve">MAE (kW)</w:t>
            </w:r>
          </w:p>
        </w:tc>
        <w:tc>
          <w:tcPr>
            <w:tcW w:type="dxa" w:w="1500"/>
            <w:shd w:fill="D9E2F3" w:val="clear"/>
            <w:tcMar>
              <w:top w:type="dxa" w:w="20"/>
              <w:left w:type="dxa" w:w="80"/>
              <w:bottom w:type="dxa" w:w="20"/>
              <w:right w:type="dxa" w:w="80"/>
            </w:tcMar>
          </w:tcPr>
          <w:p>
            <w:pPr>
              <w:spacing w:after="0" w:line="240" w:lineRule="auto"/>
            </w:pPr>
            <w:r>
              <w:rPr>
                <w:b/>
                <w:bCs/>
              </w:rPr>
              <w:t xml:space="preserve">nRMSE</w:t>
            </w:r>
          </w:p>
        </w:tc>
        <w:tc>
          <w:tcPr>
            <w:tcW w:type="dxa" w:w="1500"/>
            <w:shd w:fill="D9E2F3" w:val="clear"/>
            <w:tcMar>
              <w:top w:type="dxa" w:w="20"/>
              <w:left w:type="dxa" w:w="80"/>
              <w:bottom w:type="dxa" w:w="20"/>
              <w:right w:type="dxa" w:w="80"/>
            </w:tcMar>
          </w:tcPr>
          <w:p>
            <w:pPr>
              <w:spacing w:after="0" w:line="240" w:lineRule="auto"/>
            </w:pPr>
            <w:r>
              <w:rPr>
                <w:b/>
                <w:bCs/>
              </w:rPr>
              <w:t xml:space="preserve">Transfer Gain</w:t>
            </w:r>
          </w:p>
        </w:tc>
      </w:tr>
      <w:tr>
        <w:tc>
          <w:tcPr>
            <w:tcW w:type="dxa" w:w="1500"/>
            <w:tcMar>
              <w:top w:type="dxa" w:w="20"/>
              <w:left w:type="dxa" w:w="80"/>
              <w:bottom w:type="dxa" w:w="20"/>
              <w:right w:type="dxa" w:w="80"/>
            </w:tcMar>
          </w:tcPr>
          <w:p>
            <w:pPr>
              <w:spacing w:after="0" w:line="240" w:lineRule="auto"/>
            </w:pPr>
            <w:r>
              <w:rPr>
                <w:b w:val="false"/>
                <w:bCs w:val="false"/>
              </w:rPr>
              <w:t xml:space="preserve">Zero-shot</w:t>
            </w:r>
          </w:p>
        </w:tc>
        <w:tc>
          <w:tcPr>
            <w:tcW w:type="dxa" w:w="1500"/>
            <w:tcMar>
              <w:top w:type="dxa" w:w="20"/>
              <w:left w:type="dxa" w:w="80"/>
              <w:bottom w:type="dxa" w:w="20"/>
              <w:right w:type="dxa" w:w="80"/>
            </w:tcMar>
          </w:tcPr>
          <w:p>
            <w:pPr>
              <w:spacing w:after="0" w:line="240" w:lineRule="auto"/>
            </w:pPr>
            <w:r>
              <w:rPr>
                <w:b w:val="false"/>
                <w:bCs w:val="false"/>
              </w:rPr>
              <w:t xml:space="preserve">0</w:t>
            </w:r>
          </w:p>
        </w:tc>
        <w:tc>
          <w:tcPr>
            <w:tcW w:type="dxa" w:w="1500"/>
            <w:tcMar>
              <w:top w:type="dxa" w:w="20"/>
              <w:left w:type="dxa" w:w="80"/>
              <w:bottom w:type="dxa" w:w="20"/>
              <w:right w:type="dxa" w:w="80"/>
            </w:tcMar>
          </w:tcPr>
          <w:p>
            <w:pPr>
              <w:spacing w:after="0" w:line="240" w:lineRule="auto"/>
            </w:pPr>
            <w:r>
              <w:rPr>
                <w:b w:val="false"/>
                <w:bCs w:val="false"/>
              </w:rPr>
              <w:t xml:space="preserve">184.17</w:t>
            </w:r>
          </w:p>
        </w:tc>
        <w:tc>
          <w:tcPr>
            <w:tcW w:type="dxa" w:w="1500"/>
            <w:tcMar>
              <w:top w:type="dxa" w:w="20"/>
              <w:left w:type="dxa" w:w="80"/>
              <w:bottom w:type="dxa" w:w="20"/>
              <w:right w:type="dxa" w:w="80"/>
            </w:tcMar>
          </w:tcPr>
          <w:p>
            <w:pPr>
              <w:spacing w:after="0" w:line="240" w:lineRule="auto"/>
            </w:pPr>
            <w:r>
              <w:rPr>
                <w:b w:val="false"/>
                <w:bCs w:val="false"/>
              </w:rPr>
              <w:t xml:space="preserve">103.86</w:t>
            </w:r>
          </w:p>
        </w:tc>
        <w:tc>
          <w:tcPr>
            <w:tcW w:type="dxa" w:w="1500"/>
            <w:tcMar>
              <w:top w:type="dxa" w:w="20"/>
              <w:left w:type="dxa" w:w="80"/>
              <w:bottom w:type="dxa" w:w="20"/>
              <w:right w:type="dxa" w:w="80"/>
            </w:tcMar>
          </w:tcPr>
          <w:p>
            <w:pPr>
              <w:spacing w:after="0" w:line="240" w:lineRule="auto"/>
            </w:pPr>
            <w:r>
              <w:rPr>
                <w:b w:val="false"/>
                <w:bCs w:val="false"/>
              </w:rPr>
              <w:t xml:space="preserve">1.448</w:t>
            </w:r>
          </w:p>
        </w:tc>
        <w:tc>
          <w:tcPr>
            <w:tcW w:type="dxa" w:w="1500"/>
            <w:tcMar>
              <w:top w:type="dxa" w:w="20"/>
              <w:left w:type="dxa" w:w="80"/>
              <w:bottom w:type="dxa" w:w="20"/>
              <w:right w:type="dxa" w:w="80"/>
            </w:tcMar>
          </w:tcPr>
          <w:p>
            <w:pPr>
              <w:spacing w:after="0" w:line="240" w:lineRule="auto"/>
            </w:pPr>
            <w:r>
              <w:rPr>
                <w:b w:val="false"/>
                <w:bCs w:val="false"/>
              </w:rPr>
              <w:t xml:space="preserve">—</w:t>
            </w:r>
          </w:p>
        </w:tc>
      </w:tr>
      <w:tr>
        <w:tc>
          <w:tcPr>
            <w:tcW w:type="dxa" w:w="1500"/>
            <w:tcMar>
              <w:top w:type="dxa" w:w="20"/>
              <w:left w:type="dxa" w:w="80"/>
              <w:bottom w:type="dxa" w:w="20"/>
              <w:right w:type="dxa" w:w="80"/>
            </w:tcMar>
          </w:tcPr>
          <w:p>
            <w:pPr>
              <w:spacing w:after="0" w:line="240" w:lineRule="auto"/>
            </w:pPr>
            <w:r>
              <w:rPr>
                <w:b w:val="false"/>
                <w:bCs w:val="false"/>
              </w:rPr>
              <w:t xml:space="preserve">Few-shot</w:t>
            </w:r>
          </w:p>
        </w:tc>
        <w:tc>
          <w:tcPr>
            <w:tcW w:type="dxa" w:w="1500"/>
            <w:tcMar>
              <w:top w:type="dxa" w:w="20"/>
              <w:left w:type="dxa" w:w="80"/>
              <w:bottom w:type="dxa" w:w="20"/>
              <w:right w:type="dxa" w:w="80"/>
            </w:tcMar>
          </w:tcPr>
          <w:p>
            <w:pPr>
              <w:spacing w:after="0" w:line="240" w:lineRule="auto"/>
            </w:pPr>
            <w:r>
              <w:rPr>
                <w:b w:val="false"/>
                <w:bCs w:val="false"/>
              </w:rPr>
              <w:t xml:space="preserve">10</w:t>
            </w:r>
          </w:p>
        </w:tc>
        <w:tc>
          <w:tcPr>
            <w:tcW w:type="dxa" w:w="1500"/>
            <w:tcMar>
              <w:top w:type="dxa" w:w="20"/>
              <w:left w:type="dxa" w:w="80"/>
              <w:bottom w:type="dxa" w:w="20"/>
              <w:right w:type="dxa" w:w="80"/>
            </w:tcMar>
          </w:tcPr>
          <w:p>
            <w:pPr>
              <w:spacing w:after="0" w:line="240" w:lineRule="auto"/>
            </w:pPr>
            <w:r>
              <w:rPr>
                <w:b w:val="false"/>
                <w:bCs w:val="false"/>
              </w:rPr>
              <w:t xml:space="preserve">38.22</w:t>
            </w:r>
          </w:p>
        </w:tc>
        <w:tc>
          <w:tcPr>
            <w:tcW w:type="dxa" w:w="1500"/>
            <w:tcMar>
              <w:top w:type="dxa" w:w="20"/>
              <w:left w:type="dxa" w:w="80"/>
              <w:bottom w:type="dxa" w:w="20"/>
              <w:right w:type="dxa" w:w="80"/>
            </w:tcMar>
          </w:tcPr>
          <w:p>
            <w:pPr>
              <w:spacing w:after="0" w:line="240" w:lineRule="auto"/>
            </w:pPr>
            <w:r>
              <w:rPr>
                <w:b w:val="false"/>
                <w:bCs w:val="false"/>
              </w:rPr>
              <w:t xml:space="preserve">31.91</w:t>
            </w:r>
          </w:p>
        </w:tc>
        <w:tc>
          <w:tcPr>
            <w:tcW w:type="dxa" w:w="1500"/>
            <w:tcMar>
              <w:top w:type="dxa" w:w="20"/>
              <w:left w:type="dxa" w:w="80"/>
              <w:bottom w:type="dxa" w:w="20"/>
              <w:right w:type="dxa" w:w="80"/>
            </w:tcMar>
          </w:tcPr>
          <w:p>
            <w:pPr>
              <w:spacing w:after="0" w:line="240" w:lineRule="auto"/>
            </w:pPr>
            <w:r>
              <w:rPr>
                <w:b w:val="false"/>
                <w:bCs w:val="false"/>
              </w:rPr>
              <w:t xml:space="preserve">0.300</w:t>
            </w:r>
          </w:p>
        </w:tc>
        <w:tc>
          <w:tcPr>
            <w:tcW w:type="dxa" w:w="1500"/>
            <w:tcMar>
              <w:top w:type="dxa" w:w="20"/>
              <w:left w:type="dxa" w:w="80"/>
              <w:bottom w:type="dxa" w:w="20"/>
              <w:right w:type="dxa" w:w="80"/>
            </w:tcMar>
          </w:tcPr>
          <w:p>
            <w:pPr>
              <w:spacing w:after="0" w:line="240" w:lineRule="auto"/>
            </w:pPr>
            <w:r>
              <w:rPr>
                <w:b w:val="false"/>
                <w:bCs w:val="false"/>
              </w:rPr>
              <w:t xml:space="preserve">—</w:t>
            </w:r>
          </w:p>
        </w:tc>
      </w:tr>
      <w:tr>
        <w:tc>
          <w:tcPr>
            <w:tcW w:type="dxa" w:w="1500"/>
            <w:tcMar>
              <w:top w:type="dxa" w:w="20"/>
              <w:left w:type="dxa" w:w="80"/>
              <w:bottom w:type="dxa" w:w="20"/>
              <w:right w:type="dxa" w:w="80"/>
            </w:tcMar>
          </w:tcPr>
          <w:p>
            <w:pPr>
              <w:spacing w:after="0" w:line="240" w:lineRule="auto"/>
            </w:pPr>
            <w:r>
              <w:rPr>
                <w:b/>
                <w:bCs/>
              </w:rPr>
              <w:t xml:space="preserve">Transfer</w:t>
            </w:r>
          </w:p>
        </w:tc>
        <w:tc>
          <w:tcPr>
            <w:tcW w:type="dxa" w:w="1500"/>
            <w:tcMar>
              <w:top w:type="dxa" w:w="20"/>
              <w:left w:type="dxa" w:w="80"/>
              <w:bottom w:type="dxa" w:w="20"/>
              <w:right w:type="dxa" w:w="80"/>
            </w:tcMar>
          </w:tcPr>
          <w:p>
            <w:pPr>
              <w:spacing w:after="0" w:line="240" w:lineRule="auto"/>
            </w:pPr>
            <w:r>
              <w:rPr>
                <w:b/>
                <w:bCs/>
              </w:rPr>
              <w:t xml:space="preserve">10</w:t>
            </w:r>
          </w:p>
        </w:tc>
        <w:tc>
          <w:tcPr>
            <w:tcW w:type="dxa" w:w="1500"/>
            <w:tcMar>
              <w:top w:type="dxa" w:w="20"/>
              <w:left w:type="dxa" w:w="80"/>
              <w:bottom w:type="dxa" w:w="20"/>
              <w:right w:type="dxa" w:w="80"/>
            </w:tcMar>
          </w:tcPr>
          <w:p>
            <w:pPr>
              <w:spacing w:after="0" w:line="240" w:lineRule="auto"/>
            </w:pPr>
            <w:r>
              <w:rPr>
                <w:b/>
                <w:bCs/>
              </w:rPr>
              <w:t xml:space="preserve">30.03</w:t>
            </w:r>
          </w:p>
        </w:tc>
        <w:tc>
          <w:tcPr>
            <w:tcW w:type="dxa" w:w="1500"/>
            <w:tcMar>
              <w:top w:type="dxa" w:w="20"/>
              <w:left w:type="dxa" w:w="80"/>
              <w:bottom w:type="dxa" w:w="20"/>
              <w:right w:type="dxa" w:w="80"/>
            </w:tcMar>
          </w:tcPr>
          <w:p>
            <w:pPr>
              <w:spacing w:after="0" w:line="240" w:lineRule="auto"/>
            </w:pPr>
            <w:r>
              <w:rPr>
                <w:b/>
                <w:bCs/>
              </w:rPr>
              <w:t xml:space="preserve">21.38</w:t>
            </w:r>
          </w:p>
        </w:tc>
        <w:tc>
          <w:tcPr>
            <w:tcW w:type="dxa" w:w="1500"/>
            <w:tcMar>
              <w:top w:type="dxa" w:w="20"/>
              <w:left w:type="dxa" w:w="80"/>
              <w:bottom w:type="dxa" w:w="20"/>
              <w:right w:type="dxa" w:w="80"/>
            </w:tcMar>
          </w:tcPr>
          <w:p>
            <w:pPr>
              <w:spacing w:after="0" w:line="240" w:lineRule="auto"/>
            </w:pPr>
            <w:r>
              <w:rPr>
                <w:b/>
                <w:bCs/>
              </w:rPr>
              <w:t xml:space="preserve">0.236</w:t>
            </w:r>
          </w:p>
        </w:tc>
        <w:tc>
          <w:tcPr>
            <w:tcW w:type="dxa" w:w="1500"/>
            <w:tcMar>
              <w:top w:type="dxa" w:w="20"/>
              <w:left w:type="dxa" w:w="80"/>
              <w:bottom w:type="dxa" w:w="20"/>
              <w:right w:type="dxa" w:w="80"/>
            </w:tcMar>
          </w:tcPr>
          <w:p>
            <w:pPr>
              <w:spacing w:after="0" w:line="240" w:lineRule="auto"/>
            </w:pPr>
            <w:r>
              <w:rPr>
                <w:b/>
                <w:bCs/>
              </w:rPr>
              <w:t xml:space="preserve">+8.18 kW (+21.4%)</w:t>
            </w:r>
          </w:p>
        </w:tc>
      </w:tr>
      <w:tr>
        <w:tc>
          <w:tcPr>
            <w:tcW w:type="dxa" w:w="1500"/>
            <w:tcMar>
              <w:top w:type="dxa" w:w="20"/>
              <w:left w:type="dxa" w:w="80"/>
              <w:bottom w:type="dxa" w:w="20"/>
              <w:right w:type="dxa" w:w="80"/>
            </w:tcMar>
          </w:tcPr>
          <w:p>
            <w:pPr>
              <w:spacing w:after="0" w:line="240" w:lineRule="auto"/>
            </w:pPr>
            <w:r>
              <w:rPr>
                <w:b w:val="false"/>
                <w:bCs w:val="false"/>
              </w:rPr>
              <w:t xml:space="preserve">Few-shot</w:t>
            </w:r>
          </w:p>
        </w:tc>
        <w:tc>
          <w:tcPr>
            <w:tcW w:type="dxa" w:w="1500"/>
            <w:tcMar>
              <w:top w:type="dxa" w:w="20"/>
              <w:left w:type="dxa" w:w="80"/>
              <w:bottom w:type="dxa" w:w="20"/>
              <w:right w:type="dxa" w:w="80"/>
            </w:tcMar>
          </w:tcPr>
          <w:p>
            <w:pPr>
              <w:spacing w:after="0" w:line="240" w:lineRule="auto"/>
            </w:pPr>
            <w:r>
              <w:rPr>
                <w:b w:val="false"/>
                <w:bCs w:val="false"/>
              </w:rPr>
              <w:t xml:space="preserve">50</w:t>
            </w:r>
          </w:p>
        </w:tc>
        <w:tc>
          <w:tcPr>
            <w:tcW w:type="dxa" w:w="1500"/>
            <w:tcMar>
              <w:top w:type="dxa" w:w="20"/>
              <w:left w:type="dxa" w:w="80"/>
              <w:bottom w:type="dxa" w:w="20"/>
              <w:right w:type="dxa" w:w="80"/>
            </w:tcMar>
          </w:tcPr>
          <w:p>
            <w:pPr>
              <w:spacing w:after="0" w:line="240" w:lineRule="auto"/>
            </w:pPr>
            <w:r>
              <w:rPr>
                <w:b w:val="false"/>
                <w:bCs w:val="false"/>
              </w:rPr>
              <w:t xml:space="preserve">24.72</w:t>
            </w:r>
          </w:p>
        </w:tc>
        <w:tc>
          <w:tcPr>
            <w:tcW w:type="dxa" w:w="1500"/>
            <w:tcMar>
              <w:top w:type="dxa" w:w="20"/>
              <w:left w:type="dxa" w:w="80"/>
              <w:bottom w:type="dxa" w:w="20"/>
              <w:right w:type="dxa" w:w="80"/>
            </w:tcMar>
          </w:tcPr>
          <w:p>
            <w:pPr>
              <w:spacing w:after="0" w:line="240" w:lineRule="auto"/>
            </w:pPr>
            <w:r>
              <w:rPr>
                <w:b w:val="false"/>
                <w:bCs w:val="false"/>
              </w:rPr>
              <w:t xml:space="preserve">18.69</w:t>
            </w:r>
          </w:p>
        </w:tc>
        <w:tc>
          <w:tcPr>
            <w:tcW w:type="dxa" w:w="1500"/>
            <w:tcMar>
              <w:top w:type="dxa" w:w="20"/>
              <w:left w:type="dxa" w:w="80"/>
              <w:bottom w:type="dxa" w:w="20"/>
              <w:right w:type="dxa" w:w="80"/>
            </w:tcMar>
          </w:tcPr>
          <w:p>
            <w:pPr>
              <w:spacing w:after="0" w:line="240" w:lineRule="auto"/>
            </w:pPr>
            <w:r>
              <w:rPr>
                <w:b w:val="false"/>
                <w:bCs w:val="false"/>
              </w:rPr>
              <w:t xml:space="preserve">0.194</w:t>
            </w:r>
          </w:p>
        </w:tc>
        <w:tc>
          <w:tcPr>
            <w:tcW w:type="dxa" w:w="1500"/>
            <w:tcMar>
              <w:top w:type="dxa" w:w="20"/>
              <w:left w:type="dxa" w:w="80"/>
              <w:bottom w:type="dxa" w:w="20"/>
              <w:right w:type="dxa" w:w="80"/>
            </w:tcMar>
          </w:tcPr>
          <w:p>
            <w:pPr>
              <w:spacing w:after="0" w:line="240" w:lineRule="auto"/>
            </w:pPr>
            <w:r>
              <w:rPr>
                <w:b w:val="false"/>
                <w:bCs w:val="false"/>
              </w:rPr>
              <w:t xml:space="preserve">—</w:t>
            </w:r>
          </w:p>
        </w:tc>
      </w:tr>
      <w:tr>
        <w:tc>
          <w:tcPr>
            <w:tcW w:type="dxa" w:w="1500"/>
            <w:tcMar>
              <w:top w:type="dxa" w:w="20"/>
              <w:left w:type="dxa" w:w="80"/>
              <w:bottom w:type="dxa" w:w="20"/>
              <w:right w:type="dxa" w:w="80"/>
            </w:tcMar>
          </w:tcPr>
          <w:p>
            <w:pPr>
              <w:spacing w:after="0" w:line="240" w:lineRule="auto"/>
            </w:pPr>
            <w:r>
              <w:rPr>
                <w:b w:val="false"/>
                <w:bCs w:val="false"/>
              </w:rPr>
              <w:t xml:space="preserve">Transfer</w:t>
            </w:r>
          </w:p>
        </w:tc>
        <w:tc>
          <w:tcPr>
            <w:tcW w:type="dxa" w:w="1500"/>
            <w:tcMar>
              <w:top w:type="dxa" w:w="20"/>
              <w:left w:type="dxa" w:w="80"/>
              <w:bottom w:type="dxa" w:w="20"/>
              <w:right w:type="dxa" w:w="80"/>
            </w:tcMar>
          </w:tcPr>
          <w:p>
            <w:pPr>
              <w:spacing w:after="0" w:line="240" w:lineRule="auto"/>
            </w:pPr>
            <w:r>
              <w:rPr>
                <w:b w:val="false"/>
                <w:bCs w:val="false"/>
              </w:rPr>
              <w:t xml:space="preserve">50</w:t>
            </w:r>
          </w:p>
        </w:tc>
        <w:tc>
          <w:tcPr>
            <w:tcW w:type="dxa" w:w="1500"/>
            <w:tcMar>
              <w:top w:type="dxa" w:w="20"/>
              <w:left w:type="dxa" w:w="80"/>
              <w:bottom w:type="dxa" w:w="20"/>
              <w:right w:type="dxa" w:w="80"/>
            </w:tcMar>
          </w:tcPr>
          <w:p>
            <w:pPr>
              <w:spacing w:after="0" w:line="240" w:lineRule="auto"/>
            </w:pPr>
            <w:r>
              <w:rPr>
                <w:b w:val="false"/>
                <w:bCs w:val="false"/>
              </w:rPr>
              <w:t xml:space="preserve">23.35</w:t>
            </w:r>
          </w:p>
        </w:tc>
        <w:tc>
          <w:tcPr>
            <w:tcW w:type="dxa" w:w="1500"/>
            <w:tcMar>
              <w:top w:type="dxa" w:w="20"/>
              <w:left w:type="dxa" w:w="80"/>
              <w:bottom w:type="dxa" w:w="20"/>
              <w:right w:type="dxa" w:w="80"/>
            </w:tcMar>
          </w:tcPr>
          <w:p>
            <w:pPr>
              <w:spacing w:after="0" w:line="240" w:lineRule="auto"/>
            </w:pPr>
            <w:r>
              <w:rPr>
                <w:b w:val="false"/>
                <w:bCs w:val="false"/>
              </w:rPr>
              <w:t xml:space="preserve">16.27</w:t>
            </w:r>
          </w:p>
        </w:tc>
        <w:tc>
          <w:tcPr>
            <w:tcW w:type="dxa" w:w="1500"/>
            <w:tcMar>
              <w:top w:type="dxa" w:w="20"/>
              <w:left w:type="dxa" w:w="80"/>
              <w:bottom w:type="dxa" w:w="20"/>
              <w:right w:type="dxa" w:w="80"/>
            </w:tcMar>
          </w:tcPr>
          <w:p>
            <w:pPr>
              <w:spacing w:after="0" w:line="240" w:lineRule="auto"/>
            </w:pPr>
            <w:r>
              <w:rPr>
                <w:b w:val="false"/>
                <w:bCs w:val="false"/>
              </w:rPr>
              <w:t xml:space="preserve">0.184</w:t>
            </w:r>
          </w:p>
        </w:tc>
        <w:tc>
          <w:tcPr>
            <w:tcW w:type="dxa" w:w="1500"/>
            <w:tcMar>
              <w:top w:type="dxa" w:w="20"/>
              <w:left w:type="dxa" w:w="80"/>
              <w:bottom w:type="dxa" w:w="20"/>
              <w:right w:type="dxa" w:w="80"/>
            </w:tcMar>
          </w:tcPr>
          <w:p>
            <w:pPr>
              <w:spacing w:after="0" w:line="240" w:lineRule="auto"/>
            </w:pPr>
            <w:r>
              <w:rPr>
                <w:b w:val="false"/>
                <w:bCs w:val="false"/>
              </w:rPr>
              <w:t xml:space="preserve">+1.37 kW (+5.5%)</w:t>
            </w:r>
          </w:p>
        </w:tc>
      </w:tr>
      <w:tr>
        <w:tc>
          <w:tcPr>
            <w:tcW w:type="dxa" w:w="1500"/>
            <w:tcMar>
              <w:top w:type="dxa" w:w="20"/>
              <w:left w:type="dxa" w:w="80"/>
              <w:bottom w:type="dxa" w:w="20"/>
              <w:right w:type="dxa" w:w="80"/>
            </w:tcMar>
          </w:tcPr>
          <w:p>
            <w:pPr>
              <w:spacing w:after="0" w:line="240" w:lineRule="auto"/>
            </w:pPr>
            <w:r>
              <w:rPr>
                <w:b w:val="false"/>
                <w:bCs w:val="false"/>
              </w:rPr>
              <w:t xml:space="preserve">Few-shot</w:t>
            </w:r>
          </w:p>
        </w:tc>
        <w:tc>
          <w:tcPr>
            <w:tcW w:type="dxa" w:w="1500"/>
            <w:tcMar>
              <w:top w:type="dxa" w:w="20"/>
              <w:left w:type="dxa" w:w="80"/>
              <w:bottom w:type="dxa" w:w="20"/>
              <w:right w:type="dxa" w:w="80"/>
            </w:tcMar>
          </w:tcPr>
          <w:p>
            <w:pPr>
              <w:spacing w:after="0" w:line="240" w:lineRule="auto"/>
            </w:pPr>
            <w:r>
              <w:rPr>
                <w:b w:val="false"/>
                <w:bCs w:val="false"/>
              </w:rPr>
              <w:t xml:space="preserve">100</w:t>
            </w:r>
          </w:p>
        </w:tc>
        <w:tc>
          <w:tcPr>
            <w:tcW w:type="dxa" w:w="1500"/>
            <w:tcMar>
              <w:top w:type="dxa" w:w="20"/>
              <w:left w:type="dxa" w:w="80"/>
              <w:bottom w:type="dxa" w:w="20"/>
              <w:right w:type="dxa" w:w="80"/>
            </w:tcMar>
          </w:tcPr>
          <w:p>
            <w:pPr>
              <w:spacing w:after="0" w:line="240" w:lineRule="auto"/>
            </w:pPr>
            <w:r>
              <w:rPr>
                <w:b w:val="false"/>
                <w:bCs w:val="false"/>
              </w:rPr>
              <w:t xml:space="preserve">23.02</w:t>
            </w:r>
          </w:p>
        </w:tc>
        <w:tc>
          <w:tcPr>
            <w:tcW w:type="dxa" w:w="1500"/>
            <w:tcMar>
              <w:top w:type="dxa" w:w="20"/>
              <w:left w:type="dxa" w:w="80"/>
              <w:bottom w:type="dxa" w:w="20"/>
              <w:right w:type="dxa" w:w="80"/>
            </w:tcMar>
          </w:tcPr>
          <w:p>
            <w:pPr>
              <w:spacing w:after="0" w:line="240" w:lineRule="auto"/>
            </w:pPr>
            <w:r>
              <w:rPr>
                <w:b w:val="false"/>
                <w:bCs w:val="false"/>
              </w:rPr>
              <w:t xml:space="preserve">16.78</w:t>
            </w:r>
          </w:p>
        </w:tc>
        <w:tc>
          <w:tcPr>
            <w:tcW w:type="dxa" w:w="1500"/>
            <w:tcMar>
              <w:top w:type="dxa" w:w="20"/>
              <w:left w:type="dxa" w:w="80"/>
              <w:bottom w:type="dxa" w:w="20"/>
              <w:right w:type="dxa" w:w="80"/>
            </w:tcMar>
          </w:tcPr>
          <w:p>
            <w:pPr>
              <w:spacing w:after="0" w:line="240" w:lineRule="auto"/>
            </w:pPr>
            <w:r>
              <w:rPr>
                <w:b w:val="false"/>
                <w:bCs w:val="false"/>
              </w:rPr>
              <w:t xml:space="preserve">0.181</w:t>
            </w:r>
          </w:p>
        </w:tc>
        <w:tc>
          <w:tcPr>
            <w:tcW w:type="dxa" w:w="1500"/>
            <w:tcMar>
              <w:top w:type="dxa" w:w="20"/>
              <w:left w:type="dxa" w:w="80"/>
              <w:bottom w:type="dxa" w:w="20"/>
              <w:right w:type="dxa" w:w="80"/>
            </w:tcMar>
          </w:tcPr>
          <w:p>
            <w:pPr>
              <w:spacing w:after="0" w:line="240" w:lineRule="auto"/>
            </w:pPr>
            <w:r>
              <w:rPr>
                <w:b w:val="false"/>
                <w:bCs w:val="false"/>
              </w:rPr>
              <w:t xml:space="preserve">—</w:t>
            </w:r>
          </w:p>
        </w:tc>
      </w:tr>
      <w:tr>
        <w:tc>
          <w:tcPr>
            <w:tcW w:type="dxa" w:w="1500"/>
            <w:tcMar>
              <w:top w:type="dxa" w:w="20"/>
              <w:left w:type="dxa" w:w="80"/>
              <w:bottom w:type="dxa" w:w="20"/>
              <w:right w:type="dxa" w:w="80"/>
            </w:tcMar>
          </w:tcPr>
          <w:p>
            <w:pPr>
              <w:spacing w:after="0" w:line="240" w:lineRule="auto"/>
            </w:pPr>
            <w:r>
              <w:rPr>
                <w:b w:val="false"/>
                <w:bCs w:val="false"/>
              </w:rPr>
              <w:t xml:space="preserve">Transfer</w:t>
            </w:r>
          </w:p>
        </w:tc>
        <w:tc>
          <w:tcPr>
            <w:tcW w:type="dxa" w:w="1500"/>
            <w:tcMar>
              <w:top w:type="dxa" w:w="20"/>
              <w:left w:type="dxa" w:w="80"/>
              <w:bottom w:type="dxa" w:w="20"/>
              <w:right w:type="dxa" w:w="80"/>
            </w:tcMar>
          </w:tcPr>
          <w:p>
            <w:pPr>
              <w:spacing w:after="0" w:line="240" w:lineRule="auto"/>
            </w:pPr>
            <w:r>
              <w:rPr>
                <w:b w:val="false"/>
                <w:bCs w:val="false"/>
              </w:rPr>
              <w:t xml:space="preserve">100</w:t>
            </w:r>
          </w:p>
        </w:tc>
        <w:tc>
          <w:tcPr>
            <w:tcW w:type="dxa" w:w="1500"/>
            <w:tcMar>
              <w:top w:type="dxa" w:w="20"/>
              <w:left w:type="dxa" w:w="80"/>
              <w:bottom w:type="dxa" w:w="20"/>
              <w:right w:type="dxa" w:w="80"/>
            </w:tcMar>
          </w:tcPr>
          <w:p>
            <w:pPr>
              <w:spacing w:after="0" w:line="240" w:lineRule="auto"/>
            </w:pPr>
            <w:r>
              <w:rPr>
                <w:b w:val="false"/>
                <w:bCs w:val="false"/>
              </w:rPr>
              <w:t xml:space="preserve">22.80</w:t>
            </w:r>
          </w:p>
        </w:tc>
        <w:tc>
          <w:tcPr>
            <w:tcW w:type="dxa" w:w="1500"/>
            <w:tcMar>
              <w:top w:type="dxa" w:w="20"/>
              <w:left w:type="dxa" w:w="80"/>
              <w:bottom w:type="dxa" w:w="20"/>
              <w:right w:type="dxa" w:w="80"/>
            </w:tcMar>
          </w:tcPr>
          <w:p>
            <w:pPr>
              <w:spacing w:after="0" w:line="240" w:lineRule="auto"/>
            </w:pPr>
            <w:r>
              <w:rPr>
                <w:b w:val="false"/>
                <w:bCs w:val="false"/>
              </w:rPr>
              <w:t xml:space="preserve">15.87</w:t>
            </w:r>
          </w:p>
        </w:tc>
        <w:tc>
          <w:tcPr>
            <w:tcW w:type="dxa" w:w="1500"/>
            <w:tcMar>
              <w:top w:type="dxa" w:w="20"/>
              <w:left w:type="dxa" w:w="80"/>
              <w:bottom w:type="dxa" w:w="20"/>
              <w:right w:type="dxa" w:w="80"/>
            </w:tcMar>
          </w:tcPr>
          <w:p>
            <w:pPr>
              <w:spacing w:after="0" w:line="240" w:lineRule="auto"/>
            </w:pPr>
            <w:r>
              <w:rPr>
                <w:b w:val="false"/>
                <w:bCs w:val="false"/>
              </w:rPr>
              <w:t xml:space="preserve">0.179</w:t>
            </w:r>
          </w:p>
        </w:tc>
        <w:tc>
          <w:tcPr>
            <w:tcW w:type="dxa" w:w="1500"/>
            <w:tcMar>
              <w:top w:type="dxa" w:w="20"/>
              <w:left w:type="dxa" w:w="80"/>
              <w:bottom w:type="dxa" w:w="20"/>
              <w:right w:type="dxa" w:w="80"/>
            </w:tcMar>
          </w:tcPr>
          <w:p>
            <w:pPr>
              <w:spacing w:after="0" w:line="240" w:lineRule="auto"/>
            </w:pPr>
            <w:r>
              <w:rPr>
                <w:b w:val="false"/>
                <w:bCs w:val="false"/>
              </w:rPr>
              <w:t xml:space="preserve">+0.22 kW (+0.9%)</w:t>
            </w:r>
          </w:p>
        </w:tc>
      </w:tr>
    </w:tbl>
    <w:p>
      <w:pPr>
        <w:spacing w:after="150"/>
      </w:pP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9.</w:t>
      </w:r>
      <w:r>
        <w:rPr>
          <w:b w:val="false"/>
          <w:bCs w:val="false"/>
        </w:rPr>
        <w:t xml:space="preserve"> Transfer curve: RMSE vs. number of Amherst labeled samples, for zero-shot, few-shot, and transfer. Transfer sits below few-shot at every sample count, with the largest gap where Amherst data is scarcest.</w:t>
      </w:r>
    </w:p>
    <w:p>
      <w:pPr>
        <w:spacing w:after="100" w:line="252" w:lineRule="auto"/>
        <w:jc w:val="both"/>
      </w:pPr>
      <w:r>
        <w:rPr>
          <w:b/>
          <w:bCs/>
        </w:rPr>
        <w:t xml:space="preserve">Zero-shot failed as severely as Problem 2's cross-city result</w:t>
      </w:r>
      <w:r>
        <w:rPr>
          <w:b w:val="false"/>
          <w:bCs w:val="false"/>
        </w:rPr>
        <w:t xml:space="preserve"> (RMSE 184.17 kW) — the same raw-scale mismatch. </w:t>
      </w:r>
      <w:r>
        <w:rPr>
          <w:b/>
          <w:bCs/>
        </w:rPr>
        <w:t xml:space="preserve">Transfer clearly beat few-shot at every k</w:t>
      </w:r>
      <w:r>
        <w:rPr>
          <w:b w:val="false"/>
          <w:bCs w:val="false"/>
        </w:rPr>
        <w:t xml:space="preserve">, with the largest, most practically meaningful gain at k=10 (+21.4% RMSE improvement) — exactly the regime a newly instrumented site would actually be in, and exactly where transfer learning's textbook argument predicts the biggest benefit. The gain shrinks with k because the few-shot baseline itself gets more capable with more real Amherst data, leaving less room for a head start to matter.</w:t>
      </w:r>
    </w:p>
    <w:p>
      <w:pPr>
        <w:spacing w:after="100" w:line="252" w:lineRule="auto"/>
        <w:jc w:val="both"/>
      </w:pPr>
      <w:r>
        <w:rPr>
          <w:b w:val="false"/>
          <w:bCs w:val="false"/>
        </w:rPr>
        <w:t xml:space="preserve">This positive result was not the first outcome obtained. </w:t>
      </w:r>
      <w:r>
        <w:rPr>
          <w:b/>
          <w:bCs/>
        </w:rPr>
        <w:t xml:space="preserve">An earlier version, using a smaller fine-tuning learning rate than for pretraining</w:t>
      </w:r>
      <w:r>
        <w:rPr>
          <w:b w:val="false"/>
          <w:bCs w:val="false"/>
        </w:rPr>
        <w:t xml:space="preserve"> (a strategy the project specification itself suggested as reasonable), </w:t>
      </w:r>
      <w:r>
        <w:rPr>
          <w:b/>
          <w:bCs/>
        </w:rPr>
        <w:t xml:space="preserve">produced severe negative transfer</w:t>
      </w:r>
      <w:r>
        <w:rPr>
          <w:b w:val="false"/>
          <w:bCs w:val="false"/>
        </w:rPr>
        <w:t xml:space="preserve">: RMSE 140.9 kW at k=10, worse than few-shot's 38.2 kW. Diagnosing this directly showed the model's average output was stuck near Davis's ~164 kW scale — the smaller learning rate could not shift the output level to Amherst's ~64 kW scale within a reasonable number of epochs on only 10 samples. Matching pretraining's learning rate instead resolved this completely, producing Table 5's results. The </w:t>
      </w:r>
      <w:r>
        <w:rPr>
          <w:b/>
          <w:bCs/>
        </w:rPr>
        <w:t xml:space="preserve">normalization ablation then showed no additional benefit</w:t>
      </w:r>
      <w:r>
        <w:rPr>
          <w:b w:val="false"/>
          <w:bCs w:val="false"/>
        </w:rPr>
        <w:t xml:space="preserve"> once this fix was in place (RMSE 23.35 kW raw vs. 24.11 kW normalized at k=50) — the real problem had been the learning rate, not the absence of explicit scale handling. A separate </w:t>
      </w:r>
      <w:r>
        <w:rPr>
          <w:b/>
          <w:bCs/>
        </w:rPr>
        <w:t xml:space="preserve">freezing ablation</w:t>
      </w:r>
      <w:r>
        <w:rPr>
          <w:b w:val="false"/>
          <w:bCs w:val="false"/>
        </w:rPr>
        <w:t xml:space="preserve"> (full fine-tuning vs. freezing the first hidden layer, at k=50) also showed no meaningful difference (23.35 kW vs. 23.40 kW), suggesting the general weather-to-output representation transferred largely intact.</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10.</w:t>
      </w:r>
      <w:r>
        <w:rPr>
          <w:b w:val="false"/>
          <w:bCs w:val="false"/>
        </w:rPr>
        <w:t xml:space="preserve"> Davis vs. Amherst feature distributions. Output Power and Wind Speed show the largest standardized differences; Temperature, GHI, DNI, and Clear-Sky Index show moderate differences consistent with Davis's sunnier, warmer climate.</w:t>
      </w:r>
    </w:p>
    <w:p>
      <w:pPr>
        <w:spacing w:after="100" w:line="252" w:lineRule="auto"/>
        <w:jc w:val="both"/>
      </w:pPr>
      <w:r>
        <w:rPr>
          <w:b w:val="false"/>
          <w:bCs w:val="false"/>
        </w:rPr>
        <w:t xml:space="preserve">A domain-shift analysis (Figure 10) helps explain why transfer worked once the scale problem was fixed: Temperature, GHI, DNI, and Clear-Sky Index all differ moderately between the two cities (standardized mean differences of roughly 0.66–0.92), not so drastically as to suggest a fundamentally different weather-power relationship — consistent with the freezing ablation's finding that the early, general representation needed little adjustment. One variable, Wind Speed, showed an unusually large difference (standardized mean difference 2.61, Davis 2.81 ± 1.43 vs. Amherst 0.14 ± 0.24) — large enough to flag here as a possible sensor or unit artifact between the two data sources rather than a confirmed climate fact.</w:t>
      </w:r>
    </w:p>
    <w:p>
      <w:pPr>
        <w:pStyle w:val="Heading1"/>
        <w:spacing w:after="100" w:before="200"/>
      </w:pPr>
      <w:r>
        <w:t xml:space="preserve">10. Cross-Problem Discussion</w:t>
      </w:r>
    </w:p>
    <w:p>
      <w:pPr>
        <w:spacing w:after="100" w:line="252" w:lineRule="auto"/>
        <w:jc w:val="both"/>
      </w:pPr>
      <w:r>
        <w:rPr>
          <w:b w:val="false"/>
          <w:bCs w:val="false"/>
        </w:rPr>
        <w:t xml:space="preserve">Looking across all five paradigms together, several patterns emerge that no single problem's results show on its own.</w:t>
      </w:r>
    </w:p>
    <w:p>
      <w:pPr>
        <w:spacing w:after="100" w:line="252" w:lineRule="auto"/>
        <w:jc w:val="both"/>
      </w:pPr>
      <w:r>
        <w:rPr>
          <w:b/>
          <w:bCs/>
        </w:rPr>
        <w:t xml:space="preserve">Supervised learning worked well whenever a reasonably informative, leakage-free feature set was available</w:t>
      </w:r>
      <w:r>
        <w:rPr>
          <w:b w:val="false"/>
          <w:bCs w:val="false"/>
        </w:rPr>
        <w:t xml:space="preserve"> — both Problem 1's best classification result (0.772 balanced accuracy) and Problem 2's best regression result (R² = 0.953) came from directly supervised models using the full appropriate feature set. This is the project's clearest success, and the baseline every other paradigm was measured against.</w:t>
      </w:r>
    </w:p>
    <w:p>
      <w:pPr>
        <w:spacing w:after="100" w:line="252" w:lineRule="auto"/>
        <w:jc w:val="both"/>
      </w:pPr>
      <w:r>
        <w:rPr>
          <w:b/>
          <w:bCs/>
        </w:rPr>
        <w:t xml:space="preserve">Dimension reduction indicated the feature space was not meaningfully redundant</w:t>
      </w:r>
      <w:r>
        <w:rPr>
          <w:b w:val="false"/>
          <w:bCs w:val="false"/>
        </w:rPr>
        <w:t xml:space="preserve"> — if it had been, compression should have been close to free. Instead every tested compression level lost real predictive power, and the ablation pointed to a specific reason: Cloud Type's categorical information does not compress well into a handful of continuous dimensions, despite being one of the most useful individual features available (the strongest single predictor in Problem 1's feature importance analysis).</w:t>
      </w:r>
    </w:p>
    <w:p>
      <w:pPr>
        <w:spacing w:after="100" w:line="252" w:lineRule="auto"/>
        <w:jc w:val="both"/>
      </w:pPr>
      <w:r>
        <w:rPr>
          <w:b/>
          <w:bCs/>
        </w:rPr>
        <w:t xml:space="preserve">Unlabeled observations were not valuable on their own</w:t>
      </w:r>
      <w:r>
        <w:rPr>
          <w:b w:val="false"/>
          <w:bCs w:val="false"/>
        </w:rPr>
        <w:t xml:space="preserve"> in the semi-supervised setting tested here — not because they were wrong (pseudo-labels were essentially always correct) but because they concentrated on information the model already had, rather than the harder, more ambiguous cases where additional signal would help.</w:t>
      </w:r>
    </w:p>
    <w:p>
      <w:pPr>
        <w:spacing w:after="100" w:line="252" w:lineRule="auto"/>
        <w:jc w:val="both"/>
      </w:pPr>
      <w:r>
        <w:rPr>
          <w:b/>
          <w:bCs/>
        </w:rPr>
        <w:t xml:space="preserve">Knowledge did transfer between cities — but only once the output scale problem was addressed.</w:t>
      </w:r>
      <w:r>
        <w:rPr>
          <w:b w:val="false"/>
          <w:bCs w:val="false"/>
        </w:rPr>
        <w:t xml:space="preserve"> Problem 2's cross-city experiment and Problem 5's zero-shot baseline show the same failure mode in raw kW terms, and Problem 5's fine-tuning experiments show the underlying weather-to-power relationship genuinely carries over: a small amount of target-city adaptation recovered strong performance, and the adaptation needed turned out to be about output calibration more than re-learning the physical relationship from scratch.</w:t>
      </w:r>
    </w:p>
    <w:p>
      <w:pPr>
        <w:spacing w:after="100" w:line="252" w:lineRule="auto"/>
        <w:jc w:val="both"/>
      </w:pPr>
      <w:r>
        <w:rPr>
          <w:b/>
          <w:bCs/>
        </w:rPr>
        <w:t xml:space="preserve">Sequence models captured genuine short-term temporal structure</w:t>
      </w:r>
      <w:r>
        <w:rPr>
          <w:b w:val="false"/>
          <w:bCs w:val="false"/>
        </w:rPr>
        <w:t xml:space="preserve"> — the K=12 GRU clearly outperformed a persistence baseline — but this is a fundamentally different (and harder) task than the same-timestep regression problem, since it never has access to the target moment's own weather.</w:t>
      </w:r>
    </w:p>
    <w:p>
      <w:pPr>
        <w:spacing w:after="100" w:line="252" w:lineRule="auto"/>
        <w:jc w:val="both"/>
      </w:pPr>
      <w:r>
        <w:rPr>
          <w:b/>
          <w:bCs/>
        </w:rPr>
        <w:t xml:space="preserve">Across every problem that used irradiance features, GHI (and Clear-Sky Index, its normalized derivative) was consistently the most important environmental factor</w:t>
      </w:r>
      <w:r>
        <w:rPr>
          <w:b w:val="false"/>
          <w:bCs w:val="false"/>
        </w:rPr>
        <w:t xml:space="preserve"> — it dominates Problem 1's sky-condition feature importance (once excluded for leakage reasons) and Problem 2's regression feature importance, and its exclusion from Problem 3's shared feature set is the reason that problem's regression baseline differs from Problem 2's own headline number.</w:t>
      </w:r>
    </w:p>
    <w:p>
      <w:pPr>
        <w:pStyle w:val="Heading1"/>
        <w:spacing w:after="100" w:before="200"/>
      </w:pPr>
      <w:r>
        <w:t xml:space="preserve">11. Most Interesting Finding</w:t>
      </w:r>
    </w:p>
    <w:p>
      <w:pPr>
        <w:spacing w:after="100" w:line="252" w:lineRule="auto"/>
        <w:jc w:val="both"/>
      </w:pPr>
      <w:r>
        <w:rPr>
          <w:b w:val="false"/>
          <w:bCs w:val="false"/>
        </w:rPr>
        <w:t xml:space="preserve">The single most interesting result in this project is the Problem 5 learning-rate finding described in Section 9. The same transfer architecture, the same source and target cities, and the same 10 Amherst samples produced </w:t>
      </w:r>
      <w:r>
        <w:rPr>
          <w:b/>
          <w:bCs/>
        </w:rPr>
        <w:t xml:space="preserve">severe negative transfer</w:t>
      </w:r>
      <w:r>
        <w:rPr>
          <w:b w:val="false"/>
          <w:bCs w:val="false"/>
        </w:rPr>
        <w:t xml:space="preserve"> (RMSE 140.9 kW, worse than training on those 10 samples alone) under one fine-tuning configuration, and </w:t>
      </w:r>
      <w:r>
        <w:rPr>
          <w:b/>
          <w:bCs/>
        </w:rPr>
        <w:t xml:space="preserve">a clear, practically meaningful win</w:t>
      </w:r>
      <w:r>
        <w:rPr>
          <w:b w:val="false"/>
          <w:bCs w:val="false"/>
        </w:rPr>
        <w:t xml:space="preserve"> (RMSE 27.2 kW in initial testing, 30.0 kW in the final multi-seed result) under another — with the only difference being the fine-tuning learning rate. This matters beyond the specific number: it shows that "transfer learning helps" or "transfer learning doesn't help" is not a property of the problem alone, but depends on getting comparatively mundane implementation details right, and that a negative result is worth diagnosing rather than simply reporting.</w:t>
      </w:r>
    </w:p>
    <w:p>
      <w:pPr>
        <w:pStyle w:val="Heading1"/>
        <w:spacing w:after="100" w:before="200"/>
      </w:pPr>
      <w:r>
        <w:t xml:space="preserve">12. Failure Analysis</w:t>
      </w:r>
    </w:p>
    <w:p>
      <w:pPr>
        <w:spacing w:after="100" w:line="252" w:lineRule="auto"/>
        <w:jc w:val="both"/>
      </w:pPr>
      <w:r>
        <w:rPr>
          <w:b/>
          <w:bCs/>
        </w:rPr>
        <w:t xml:space="preserve">Sky-condition confusion (Problem 1).</w:t>
      </w:r>
      <w:r>
        <w:rPr>
          <w:b w:val="false"/>
          <w:bCs w:val="false"/>
        </w:rPr>
        <w:t xml:space="preserve"> Partly Cloudy is confused with both neighboring classes far more than Clear or Overcast are confused with each other (Figure 2) — a direct consequence of defining classes by adjacent thresholds on a continuous index, so the middle class inherits ambiguity from both boundaries.</w:t>
      </w:r>
    </w:p>
    <w:p>
      <w:pPr>
        <w:spacing w:after="100" w:line="252" w:lineRule="auto"/>
        <w:jc w:val="both"/>
      </w:pPr>
      <w:r>
        <w:rPr>
          <w:b/>
          <w:bCs/>
        </w:rPr>
        <w:t xml:space="preserve">Cross-city degradation (Problems 2 and 5).</w:t>
      </w:r>
      <w:r>
        <w:rPr>
          <w:b w:val="false"/>
          <w:bCs w:val="false"/>
        </w:rPr>
        <w:t xml:space="preserve"> Both problems show the same failure mode — near-total collapse in raw-kW accuracy across cities — traced in both cases to output-scale mismatch rather than a failure to learn the underlying weather relationship. This is a genuine, reproducible failure mode of naive cross-city transfer, not a one-off anomaly.</w:t>
      </w:r>
    </w:p>
    <w:p>
      <w:pPr>
        <w:spacing w:after="100" w:line="252" w:lineRule="auto"/>
        <w:jc w:val="both"/>
      </w:pPr>
      <w:r>
        <w:rPr>
          <w:b/>
          <w:bCs/>
        </w:rPr>
        <w:t xml:space="preserve">Negative transfer (Problem 5).</w:t>
      </w:r>
      <w:r>
        <w:rPr>
          <w:b w:val="false"/>
          <w:bCs w:val="false"/>
        </w:rPr>
        <w:t xml:space="preserve"> Documented in full in Section 9 — an overly conservative fine-tuning learning rate produced negative transfer before being diagnosed and corrected. This is included here deliberately as a real result of the development process, not smoothed over.</w:t>
      </w:r>
    </w:p>
    <w:p>
      <w:pPr>
        <w:spacing w:after="100" w:line="252" w:lineRule="auto"/>
        <w:jc w:val="both"/>
      </w:pPr>
      <w:r>
        <w:rPr>
          <w:b/>
          <w:bCs/>
        </w:rPr>
        <w:t xml:space="preserve">Dimension-reduction information loss (Problem 3).</w:t>
      </w:r>
      <w:r>
        <w:rPr>
          <w:b w:val="false"/>
          <w:bCs w:val="false"/>
        </w:rPr>
        <w:t xml:space="preserve"> Every tested compression level reduced downstream performance; the specific mechanism identified (Cloud Type's categorical structure not surviving continuous compression well) is a genuine, explainable failure mode rather than an unexplained gap.</w:t>
      </w:r>
    </w:p>
    <w:p>
      <w:pPr>
        <w:spacing w:after="100" w:line="252" w:lineRule="auto"/>
        <w:jc w:val="both"/>
      </w:pPr>
      <w:r>
        <w:rPr>
          <w:b/>
          <w:bCs/>
        </w:rPr>
        <w:t xml:space="preserve">SSL pseudo-label redundancy (Problem 4).</w:t>
      </w:r>
      <w:r>
        <w:rPr>
          <w:b w:val="false"/>
          <w:bCs w:val="false"/>
        </w:rPr>
        <w:t xml:space="preserve"> Not a case of the method adding wrong information (pseudo-labels were 100% accurate), but a case of the added information being redundant with what the model already had — a subtler and, in a way, more informative failure than simple mislabeling would have been.</w:t>
      </w:r>
    </w:p>
    <w:p>
      <w:pPr>
        <w:pStyle w:val="Heading1"/>
        <w:spacing w:after="100" w:before="200"/>
      </w:pPr>
      <w:r>
        <w:t xml:space="preserve">13. Limitations</w:t>
      </w:r>
    </w:p>
    <w:p>
      <w:pPr>
        <w:spacing w:after="100" w:line="252" w:lineRule="auto"/>
        <w:jc w:val="both"/>
      </w:pPr>
      <w:r>
        <w:rPr>
          <w:b w:val="false"/>
          <w:bCs w:val="false"/>
        </w:rPr>
        <w:t xml:space="preserve">- </w:t>
      </w:r>
      <w:r>
        <w:rPr>
          <w:b/>
          <w:bCs/>
        </w:rPr>
        <w:t xml:space="preserve">Limited geographic and temporal coverage.</w:t>
      </w:r>
      <w:r>
        <w:rPr>
          <w:b w:val="false"/>
          <w:bCs w:val="false"/>
        </w:rPr>
        <w:t xml:space="preserve"> Five cities and, for   most of them, six years of data is enough to demonstrate these   methods but not enough to draw conclusions about PV behavior in   climates or plant scales outside this specific dataset. - </w:t>
      </w:r>
      <w:r>
        <w:rPr>
          <w:b/>
          <w:bCs/>
        </w:rPr>
        <w:t xml:space="preserve">City-specific PV system and output-scale differences</w:t>
      </w:r>
      <w:r>
        <w:rPr>
          <w:b w:val="false"/>
          <w:bCs w:val="false"/>
        </w:rPr>
        <w:t xml:space="preserve"> are a   recurring complication (Sections 6, 9) rather than a solved problem;   the project demonstrates one workable mitigation (fine-tuning) but   does not claim to have found a general solution to cross-city scale   mismatch. - </w:t>
      </w:r>
      <w:r>
        <w:rPr>
          <w:b/>
          <w:bCs/>
        </w:rPr>
        <w:t xml:space="preserve">Limited labels in Problem 4</w:t>
      </w:r>
      <w:r>
        <w:rPr>
          <w:b w:val="false"/>
          <w:bCs w:val="false"/>
        </w:rPr>
        <w:t xml:space="preserve"> were simulated by hiding real   labels, not collected from an actual partially-labeled deployment;   real partial-labeling scenarios might have different missingness   patterns than the stratified random sampling used here. - </w:t>
      </w:r>
      <w:r>
        <w:rPr>
          <w:b/>
          <w:bCs/>
        </w:rPr>
        <w:t xml:space="preserve">Deliberately small hyperparameter searches</w:t>
      </w:r>
      <w:r>
        <w:rPr>
          <w:b w:val="false"/>
          <w:bCs w:val="false"/>
        </w:rPr>
        <w:t xml:space="preserve"> (3–5 candidate   configurations, per the project's own scope guidance) were used   throughout; a larger search might improve some results further,   though the consistent finding that small searches barely moved   results in Problems 1, 2, and 4 suggests there may be limited   headroom left for this dataset/model family combination. - </w:t>
      </w:r>
      <w:r>
        <w:rPr>
          <w:b/>
          <w:bCs/>
        </w:rPr>
        <w:t xml:space="preserve">No GPU was available during development</w:t>
      </w:r>
      <w:r>
        <w:rPr>
          <w:b w:val="false"/>
          <w:bCs w:val="false"/>
        </w:rPr>
        <w:t xml:space="preserve"> (all models, including   every neural network, were trained on CPU); the code will use CUDA   automatically on GPU-equipped hardware with no changes required, but   GPU-specific numerical determinism was not separately verified. - </w:t>
      </w:r>
      <w:r>
        <w:rPr>
          <w:b/>
          <w:bCs/>
        </w:rPr>
        <w:t xml:space="preserve">A data-quality anomaly</w:t>
      </w:r>
      <w:r>
        <w:rPr>
          <w:b w:val="false"/>
          <w:bCs w:val="false"/>
        </w:rPr>
        <w:t xml:space="preserve"> (a Relative Humidity/Wind Direction   pattern isolated to specific city-years) was investigated and, per   project-owner review, accepted as valid data rather than corrected —   documented in `course_context/EDA_REPORT.md` and   `DATASET_PROFILE.md`. - </w:t>
      </w:r>
      <w:r>
        <w:rPr>
          <w:b/>
          <w:bCs/>
        </w:rPr>
        <w:t xml:space="preserve">No external, real-time weather forecast input and no deployment   testing</w:t>
      </w:r>
      <w:r>
        <w:rPr>
          <w:b w:val="false"/>
          <w:bCs w:val="false"/>
        </w:rPr>
        <w:t xml:space="preserve"> — every experiment uses historical, already-measured   weather as input, so the results describe how well Output Power can   be predicted from </w:t>
      </w:r>
      <w:r>
        <w:rPr>
          <w:b w:val="false"/>
          <w:bCs w:val="false"/>
          <w:i/>
          <w:iCs/>
        </w:rPr>
        <w:t xml:space="preserve">known</w:t>
      </w:r>
      <w:r>
        <w:rPr>
          <w:b w:val="false"/>
          <w:bCs w:val="false"/>
        </w:rPr>
        <w:t xml:space="preserve"> weather, not from a forecast of future   weather, which is what an operational system would actually need.</w:t>
      </w:r>
    </w:p>
    <w:p>
      <w:pPr>
        <w:pStyle w:val="Heading1"/>
        <w:spacing w:after="100" w:before="200"/>
      </w:pPr>
      <w:r>
        <w:t xml:space="preserve">14. Reproducibility</w:t>
      </w:r>
    </w:p>
    <w:p>
      <w:pPr>
        <w:spacing w:after="100" w:line="252" w:lineRule="auto"/>
        <w:jc w:val="both"/>
      </w:pPr>
      <w:r>
        <w:rPr>
          <w:b/>
          <w:bCs/>
        </w:rPr>
        <w:t xml:space="preserve">Environment.</w:t>
      </w:r>
      <w:r>
        <w:rPr>
          <w:b w:val="false"/>
          <w:bCs w:val="false"/>
        </w:rPr>
        <w:t xml:space="preserve"> Python 3.12, with pandas, NumPy, scikit-learn, PyTorch, and matplotlib as the core libraries (exact minimum versions in `requirements.txt`). Every neural network (MLPs in Problems 1, 2, and 5; the autoencoder in Problem 3; the GRU in Problem 2) was developed and validated on CPU; the project owner's </w:t>
      </w:r>
      <w:r>
        <w:rPr>
          <w:b/>
          <w:bCs/>
        </w:rPr>
        <w:t xml:space="preserve">NVIDIA RTX 2070</w:t>
      </w:r>
      <w:r>
        <w:rPr>
          <w:b w:val="false"/>
          <w:bCs w:val="false"/>
        </w:rPr>
        <w:t xml:space="preserve"> will be used automatically for any future GPU-accelerated runs via the shared `get_device()` utility, with no code changes required.</w:t>
      </w:r>
    </w:p>
    <w:p>
      <w:pPr>
        <w:spacing w:after="100" w:line="252" w:lineRule="auto"/>
        <w:jc w:val="both"/>
      </w:pPr>
      <w:r>
        <w:rPr>
          <w:b/>
          <w:bCs/>
        </w:rPr>
        <w:t xml:space="preserve">Seeds and splits.</w:t>
      </w:r>
      <w:r>
        <w:rPr>
          <w:b w:val="false"/>
          <w:bCs w:val="false"/>
        </w:rPr>
        <w:t xml:space="preserve"> Every randomized experiment used the same fixed seed list, `[42, 123, 2026]`. Same-city splits are chronological 80/20; cross-city and transfer experiments never allow any target-city row into training or preprocessing. All of this is implemented once, in a shared `src/` framework, and reused identically by all five problems rather than being re-implemented per problem.</w:t>
      </w:r>
    </w:p>
    <w:p>
      <w:pPr>
        <w:spacing w:after="100" w:line="252" w:lineRule="auto"/>
        <w:jc w:val="both"/>
      </w:pPr>
      <w:r>
        <w:rPr>
          <w:b/>
          <w:bCs/>
        </w:rPr>
        <w:t xml:space="preserve">Model configurations</w:t>
      </w:r>
      <w:r>
        <w:rPr>
          <w:b w:val="false"/>
          <w:bCs w:val="false"/>
        </w:rPr>
        <w:t xml:space="preserve"> (architectures, hyperparameters, and the results of every small hyperparameter search performed) are saved in each problem's `results/problemN/` directory, alongside the fitted models themselves and their preprocessing objects.</w:t>
      </w:r>
    </w:p>
    <w:p>
      <w:pPr>
        <w:spacing w:after="100" w:line="252" w:lineRule="auto"/>
        <w:jc w:val="both"/>
      </w:pPr>
      <w:r>
        <w:rPr>
          <w:b/>
          <w:bCs/>
        </w:rPr>
        <w:t xml:space="preserve">Result storage.</w:t>
      </w:r>
      <w:r>
        <w:rPr>
          <w:b w:val="false"/>
          <w:bCs w:val="false"/>
        </w:rPr>
        <w:t xml:space="preserve"> Every experiment — every model, every seed, every configuration — is appended as its own row to that problem's `problemN_results.csv`, never overwritten. A cross-problem master table, `results/FINAL_EXPERIMENT_TABLE.csv`, consolidates the headline result from every problem into one file, and is the single source of every number reported in this report.</w:t>
      </w:r>
    </w:p>
    <w:p>
      <w:pPr>
        <w:spacing w:after="100" w:line="252" w:lineRule="auto"/>
        <w:jc w:val="both"/>
      </w:pPr>
      <w:r>
        <w:rPr>
          <w:b/>
          <w:bCs/>
        </w:rPr>
        <w:t xml:space="preserve">Independent verification.</w:t>
      </w:r>
      <w:r>
        <w:rPr>
          <w:b w:val="false"/>
          <w:bCs w:val="false"/>
        </w:rPr>
        <w:t xml:space="preserve"> As part of a dedicated final audit phase, one representative experiment from each of the five problems was </w:t>
      </w:r>
      <w:r>
        <w:rPr>
          <w:b/>
          <w:bCs/>
        </w:rPr>
        <w:t xml:space="preserve">rerun independently and compared against its saved result</w:t>
      </w:r>
      <w:r>
        <w:rPr>
          <w:b w:val="false"/>
          <w:bCs w:val="false"/>
        </w:rPr>
        <w:t xml:space="preserve"> — all five matched exactly (see `course_context/FINAL_AUDIT.md`, Section 10, for the full comparison), the strongest practical evidence of reproducibility this project can offer.</w:t>
      </w:r>
    </w:p>
    <w:p>
      <w:pPr>
        <w:spacing w:after="100" w:line="252" w:lineRule="auto"/>
        <w:jc w:val="both"/>
      </w:pPr>
      <w:r>
        <w:rPr>
          <w:b/>
          <w:bCs/>
        </w:rPr>
        <w:t xml:space="preserve">Repository organization.</w:t>
      </w:r>
      <w:r>
        <w:rPr>
          <w:b w:val="false"/>
          <w:bCs w:val="false"/>
        </w:rPr>
        <w:t xml:space="preserve"> `problems/problemN_*/` holds each problem's code; `results/problemN/` holds its results, models, and preprocessing objects; `figures/problemN/` holds its figures; `course_context/` holds the full written record of methodology, decisions, and findings for every phase of the project, including this report's source material.</w:t>
      </w:r>
    </w:p>
    <w:p>
      <w:pPr>
        <w:pStyle w:val="Heading1"/>
        <w:spacing w:after="100" w:before="200"/>
      </w:pPr>
      <w:r>
        <w:t xml:space="preserve">15. AI Assistance Disclosure</w:t>
      </w:r>
    </w:p>
    <w:p>
      <w:pPr>
        <w:spacing w:after="100" w:line="252" w:lineRule="auto"/>
        <w:jc w:val="both"/>
      </w:pPr>
      <w:r>
        <w:rPr>
          <w:b w:val="false"/>
          <w:bCs w:val="false"/>
        </w:rPr>
        <w:t xml:space="preserve">AI coding assistants were used throughout this project to support repository organization, code generation, debugging, experiment scaffolding, and iterative development across all five ML problems, the exploratory data analysis, and this final report. All generated code was reviewed, modified where necessary, executed, and evaluated for correctness at each stage; several real implementation issues (for example, the Problem 5 learning-rate/negative-transfer episode described in Section 9, and a numpy API compatibility break during Problem 4) were found through this review-and-execution process and corrected before being reported as final results. The author remained responsible for understanding the methods used, interpreting the results, making the final methodological decisions (including target definitions, leakage-prevention rules, and which experiments to run), and verifying that every number in this report traces to an actual saved experimental result.</w:t>
      </w:r>
    </w:p>
    <w:p>
      <w:pPr>
        <w:pStyle w:val="Heading1"/>
        <w:spacing w:after="100" w:before="200"/>
      </w:pPr>
      <w:r>
        <w:t xml:space="preserve">16. Conclusion</w:t>
      </w:r>
    </w:p>
    <w:p>
      <w:pPr>
        <w:spacing w:after="100" w:line="252" w:lineRule="auto"/>
        <w:jc w:val="both"/>
      </w:pPr>
      <w:r>
        <w:rPr>
          <w:b w:val="false"/>
          <w:bCs w:val="false"/>
        </w:rPr>
        <w:t xml:space="preserve">This project set out to test five machine learning paradigms on the same underlying PV forecasting problem, using the course material as its methodological foundation, and to report honestly which paradigms helped and which did not. Supervised learning worked well throughout, with the strongest overall result being same-city Output Power regression for Davis (RMSE = 15.17 kW, R² = 0.953). Dimension reduction reduced downstream performance at every tested compression level, and semi-supervised pseudo-labeling produced a small negative gain at every label fraction tested — both genuine, diagnosed findings rather than shortcomings to explain away. Transfer learning was the clearest success among the "does X help" paradigms: a Davis-pretrained model fine-tuned on just 10 Amherst samples improved RMSE by 21.4% over training on those same 10 samples alone, though only after a real negative-transfer episode was found and corrected during development. Taken together, the project's central demonstration is that each technique's value has to be measured directly against a fair baseline for the specific problem at hand — and that when a technique fails, understanding why (a learning rate, a categorical feature that compresses poorly, an easy class dominating pseudo-labels) is itself a useful result. For practical PV forecasting, a well-tuned supervised model trained directly on available labeled data remains the strongest default choice, with transfer learning a genuinely useful option for new or data-scarce sites, while dimension reduction and semi-supervised learning, as tested here, would need further work to earn a place in such a pipeline. Future work could pursue a larger hyperparameter search, investigate the Wind Speed domain-shift anomaly noted in Section 9, and extend transfer learning to the additional data-scarce cities (Huron, Santa Barbara, La Jolla) evaluated only in zero-shot form in Problem 2.</w:t>
      </w:r>
    </w:p>
    <w:p>
      <w:pPr>
        <w:pStyle w:val="Heading1"/>
        <w:spacing w:after="100" w:before="200"/>
      </w:pPr>
      <w:r>
        <w:t xml:space="preserve">17. References</w:t>
      </w:r>
    </w:p>
    <w:p>
      <w:pPr>
        <w:spacing w:after="80" w:line="252" w:lineRule="auto"/>
        <w:ind w:left="360" w:hanging="360"/>
      </w:pPr>
      <w:r>
        <w:rPr>
          <w:b w:val="false"/>
          <w:bCs w:val="false"/>
        </w:rPr>
        <w:t xml:space="preserve">1. </w:t>
      </w:r>
      <w:r>
        <w:rPr>
          <w:b w:val="false"/>
          <w:bCs w:val="false"/>
        </w:rPr>
        <w:t xml:space="preserve">Course material, ECE571 Machine Learning (19 lecture PowerPoint</w:t>
      </w:r>
    </w:p>
    <w:p>
      <w:pPr>
        <w:spacing w:after="100" w:line="252" w:lineRule="auto"/>
        <w:jc w:val="both"/>
      </w:pPr>
      <w:r>
        <w:rPr>
          <w:b w:val="false"/>
          <w:bCs w:val="false"/>
        </w:rPr>
        <w:t xml:space="preserve">   files covering supervised classification, supervised regression,    dimensionality reduction/PCA, semi-supervised learning, and    transfer learning/fine-tuning), summarized in    `course_context/COURSE_CONTEXT.md`.</w:t>
      </w:r>
    </w:p>
    <w:p>
      <w:pPr>
        <w:spacing w:after="80" w:line="252" w:lineRule="auto"/>
        <w:ind w:left="360" w:hanging="360"/>
      </w:pPr>
      <w:r>
        <w:rPr>
          <w:b w:val="false"/>
          <w:bCs w:val="false"/>
        </w:rPr>
        <w:t xml:space="preserve">2. </w:t>
      </w:r>
      <w:r>
        <w:rPr>
          <w:b w:val="false"/>
          <w:bCs w:val="false"/>
        </w:rPr>
        <w:t xml:space="preserve">Project dataset: </w:t>
      </w:r>
      <w:r>
        <w:rPr>
          <w:b w:val="false"/>
          <w:bCs w:val="false"/>
          <w:i/>
          <w:iCs/>
        </w:rPr>
        <w:t xml:space="preserve">Further Consolidated Data, HnL.xlsx</w:t>
      </w:r>
      <w:r>
        <w:rPr>
          <w:b w:val="false"/>
          <w:bCs w:val="false"/>
        </w:rPr>
        <w:t xml:space="preserve"> — irradiance,</w:t>
      </w:r>
    </w:p>
    <w:p>
      <w:pPr>
        <w:spacing w:after="100" w:line="252" w:lineRule="auto"/>
        <w:jc w:val="both"/>
      </w:pPr>
      <w:r>
        <w:rPr>
          <w:b w:val="false"/>
          <w:bCs w:val="false"/>
        </w:rPr>
        <w:t xml:space="preserve">   weather, and PV Output Power records for Amherst MA, Davis CA,    Huron SD, Santa Barbara CA, and La Jolla CA, provided as part of    the course assignment.</w:t>
      </w:r>
    </w:p>
    <w:p>
      <w:pPr>
        <w:spacing w:after="80" w:line="252" w:lineRule="auto"/>
        <w:ind w:left="360" w:hanging="360"/>
      </w:pPr>
      <w:r>
        <w:rPr>
          <w:b w:val="false"/>
          <w:bCs w:val="false"/>
        </w:rPr>
        <w:t xml:space="preserve">3. </w:t>
      </w:r>
      <w:r>
        <w:rPr>
          <w:b w:val="false"/>
          <w:bCs w:val="false"/>
        </w:rPr>
        <w:t xml:space="preserve">Pedregosa, F., et al. (2011). *Scikit-learn: Machine Learning in</w:t>
      </w:r>
    </w:p>
    <w:p>
      <w:pPr>
        <w:spacing w:after="100" w:line="252" w:lineRule="auto"/>
        <w:jc w:val="both"/>
      </w:pPr>
      <w:r>
        <w:rPr>
          <w:b w:val="false"/>
          <w:bCs w:val="false"/>
        </w:rPr>
        <w:t xml:space="preserve">   Python.* Journal of Machine Learning Research, 12, 2825–2830.</w:t>
      </w:r>
    </w:p>
    <w:p>
      <w:pPr>
        <w:spacing w:after="80" w:line="252" w:lineRule="auto"/>
        <w:ind w:left="360" w:hanging="360"/>
      </w:pPr>
      <w:r>
        <w:rPr>
          <w:b w:val="false"/>
          <w:bCs w:val="false"/>
        </w:rPr>
        <w:t xml:space="preserve">4. </w:t>
      </w:r>
      <w:r>
        <w:rPr>
          <w:b w:val="false"/>
          <w:bCs w:val="false"/>
        </w:rPr>
        <w:t xml:space="preserve">Paszke, A., et al. (2019). *PyTorch: An Imperative Style,</w:t>
      </w:r>
    </w:p>
    <w:p>
      <w:pPr>
        <w:spacing w:after="100" w:line="252" w:lineRule="auto"/>
        <w:jc w:val="both"/>
      </w:pPr>
      <w:r>
        <w:rPr>
          <w:b w:val="false"/>
          <w:bCs w:val="false"/>
        </w:rPr>
        <w:t xml:space="preserve">   High-Performance Deep Learning Library.* Advances in Neural    Information Processing Systems 32.</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7e868970278aa5635fe611805f0ab97c8d06f3.png"/><Relationship Id="rId8" Type="http://schemas.openxmlformats.org/officeDocument/2006/relationships/image" Target="media/27c021be7cffe89fa2f84bd46f0e5a470b1d6772.png"/><Relationship Id="rId9" Type="http://schemas.openxmlformats.org/officeDocument/2006/relationships/image" Target="media/5ac10a53ec8853d381ca963a49556f957426ac8f.png"/><Relationship Id="rId10" Type="http://schemas.openxmlformats.org/officeDocument/2006/relationships/image" Target="media/c5ee232b2c1b7873ef5e2c052b3b348e5bd015be.png"/><Relationship Id="rId11" Type="http://schemas.openxmlformats.org/officeDocument/2006/relationships/image" Target="media/ae0f3f659f8c87b439f88942ff716ff8b2944333.png"/><Relationship Id="rId12" Type="http://schemas.openxmlformats.org/officeDocument/2006/relationships/image" Target="media/5d523d20bf0a655378e35159d110c5678dfa458c.png"/><Relationship Id="rId13" Type="http://schemas.openxmlformats.org/officeDocument/2006/relationships/image" Target="media/28996c54c0ad92c18b3d821ada76e098a3051e72.png"/><Relationship Id="rId14" Type="http://schemas.openxmlformats.org/officeDocument/2006/relationships/image" Target="media/d04e21c08fda4b1d3274fb8874df63e29fd647a9.png"/><Relationship Id="rId15" Type="http://schemas.openxmlformats.org/officeDocument/2006/relationships/image" Target="media/0396da4cc6a9afa68703734432b7957670255a45.png"/><Relationship Id="rId16" Type="http://schemas.openxmlformats.org/officeDocument/2006/relationships/image" Target="media/f07f174843c2ca343c863dab379bc708f891312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2026-09-15T01:39:55.325Z</dcterms:created>
  <dcterms:modified xsi:type="dcterms:W3CDTF">2026-09-15T01:39:55.325Z</dcterms:modified>
</cp:coreProperties>
</file>

<file path=docProps/custom.xml><?xml version="1.0" encoding="utf-8"?>
<Properties xmlns="http://schemas.openxmlformats.org/officeDocument/2006/custom-properties" xmlns:vt="http://schemas.openxmlformats.org/officeDocument/2006/docPropsVTypes"/>
</file>