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中建三局第一建设工程有限责任公司、中建三局集团有限公司、深圳市华星光电半导体显示技术有限公司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万大勇、陈卫国、KIM WOO SHIK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  <w:bookmarkStart w:id="0" w:name="_GoBack"/>
      <w:bookmarkEnd w:id="0"/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1. 判令被告一向原告支付货款2,562,328.12元；</w:t>
        <w:br/>
        <w:t xml:space="preserve">2. 判令被告一向原告支付截至2022年4月24日的逾期付款损失545,901.67元，并以欠付货款为基数，按日万分之五的标准支付自2022年4月25日起至货款付清之日止的后续逾期付款损失；</w:t>
        <w:br/>
        <w:t xml:space="preserve">3. 判令被告二、被告三对被告一的上述债务承担连带清偿责任；</w:t>
        <w:br/>
        <w:t xml:space="preserve">4. 判令三被告承担本案案件受理费、财产保全费、财产保全担保费。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被告一因承建"第11代超高清新型显示器件生产线项目施工总承包A标段"项目，与原告签订《第11代超高清新型显示器件生产线项目施工总承包A标段商品砼及预拌砂浆购销合同》，合同对价格、货物结算、付款方式及争议解决方式进行了约定。合同签订后，原告严格按照合同约定向被告供应货物，但被告一却未按合同约定向原告及时支付货款，截至2022年4月24日，被告一尚欠原告货款2,562,328.12元未予支付，已构成严重违约。被告二作为被告一的唯一股东，根据《公司法》第六十三条之规定，应对公司债务承担连带责任。被告三系案涉项目的建设单位，其作为最终受益人，应对被告一的上述债务承担连带清偿责任。</w:t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未明确指定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0" w:firstLineChars="20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二〇二二年四月二十四日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4D84669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96</Words>
  <Characters>112</Characters>
  <Lines>8</Lines>
  <Paragraphs>2</Paragraphs>
  <TotalTime>1</TotalTime>
  <ScaleCrop>false</ScaleCrop>
  <LinksUpToDate>false</LinksUpToDate>
  <CharactersWithSpaces>113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2025-10-10T03:52:38Z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