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E96C" w14:textId="77777777" w:rsidR="00285F96" w:rsidRDefault="00000000">
      <w:pPr>
        <w:pStyle w:val="Title"/>
      </w:pPr>
      <w:r>
        <w:rPr>
          <w:b/>
          <w:color w:val="222B33"/>
          <w:sz w:val="44"/>
        </w:rPr>
        <w:t>Constraint-Based Production Optimizer</w:t>
      </w:r>
    </w:p>
    <w:p w14:paraId="3CF9B3FE" w14:textId="77777777" w:rsidR="00285F96" w:rsidRDefault="00000000">
      <w:r>
        <w:rPr>
          <w:i/>
          <w:color w:val="0C6E69"/>
          <w:sz w:val="24"/>
        </w:rPr>
        <w:t>Randomized Scenario Benchmark — Allocation Under Material Scarcity</w:t>
      </w:r>
    </w:p>
    <w:p w14:paraId="527AF65B" w14:textId="77777777" w:rsidR="00285F96" w:rsidRDefault="00285F96"/>
    <w:p w14:paraId="5249EE27" w14:textId="77777777" w:rsidR="00285F96" w:rsidRDefault="00000000">
      <w:r>
        <w:rPr>
          <w:b/>
        </w:rPr>
        <w:t xml:space="preserve">Summary. </w:t>
      </w:r>
      <w:r>
        <w:t xml:space="preserve">Across eight randomized, realistically-constrained plant scenarios, the optimizer raised sales-order fill by a median of </w:t>
      </w:r>
      <w:r>
        <w:rPr>
          <w:b/>
        </w:rPr>
        <w:t>+18 percentage points</w:t>
      </w:r>
      <w:r>
        <w:t xml:space="preserve"> (range +9 to +43) and produced a median of </w:t>
      </w:r>
      <w:r>
        <w:rPr>
          <w:b/>
        </w:rPr>
        <w:t>1.33× more feasible output</w:t>
      </w:r>
      <w:r>
        <w:t xml:space="preserve"> (range 1.14–2.62×) from the same materials, versus conventional date-priority execution. All eight scenarios favored the optimizer; the advantage grows the more constrained the period.</w:t>
      </w:r>
    </w:p>
    <w:p w14:paraId="794239FD" w14:textId="77777777" w:rsidR="00285F96" w:rsidRDefault="00000000">
      <w:pPr>
        <w:pStyle w:val="Heading1"/>
      </w:pPr>
      <w:r>
        <w:t>Method</w:t>
      </w:r>
    </w:p>
    <w:p w14:paraId="7CB7875B" w14:textId="77777777" w:rsidR="00285F96" w:rsidRDefault="00000000">
      <w:pPr>
        <w:pStyle w:val="ListBullet"/>
        <w:spacing w:after="80"/>
      </w:pPr>
      <w:r>
        <w:t>A neutral synthetic plant (≈240 finished-good SKUs, multi-level BOM, shared raw materials, Pareto demand mix) was generated in JDE F-table format — sales orders, safety stock, forecast, BOMs, on-hand, and open POs.</w:t>
      </w:r>
    </w:p>
    <w:p w14:paraId="27D0B65B" w14:textId="77777777" w:rsidR="00285F96" w:rsidRDefault="00000000">
      <w:pPr>
        <w:pStyle w:val="ListBullet"/>
        <w:spacing w:after="80"/>
      </w:pPr>
      <w:r>
        <w:t>Component supply coverage was drawn from a single neutral distribution (centered just above 1.0), so most materials are adequate and some fall short naturally — contention emerges from realistic BOM sharing, not from design.</w:t>
      </w:r>
    </w:p>
    <w:p w14:paraId="0CF0841F" w14:textId="77777777" w:rsidR="00285F96" w:rsidRDefault="00000000">
      <w:pPr>
        <w:pStyle w:val="ListBullet"/>
        <w:spacing w:after="80"/>
      </w:pPr>
      <w:r>
        <w:t>Baseline (“no optimizer”): date-priority execution — earliest-due work orders consume the scarce material first, each made to its net requirement until the material runs out.</w:t>
      </w:r>
    </w:p>
    <w:p w14:paraId="0209628C" w14:textId="77777777" w:rsidR="00285F96" w:rsidRDefault="00000000">
      <w:pPr>
        <w:pStyle w:val="ListBullet"/>
        <w:spacing w:after="80"/>
      </w:pPr>
      <w:r>
        <w:t>Optimizer: the engine at its default fill-rate setting, allocating the identical supply.</w:t>
      </w:r>
    </w:p>
    <w:p w14:paraId="3D163AB3" w14:textId="77777777" w:rsidR="00285F96" w:rsidRDefault="00000000">
      <w:pPr>
        <w:pStyle w:val="ListBullet"/>
        <w:spacing w:after="80"/>
      </w:pPr>
      <w:r>
        <w:t>Eight scenarios were generated with different random seeds and evaluated on sales-order fill and feasible output.</w:t>
      </w:r>
    </w:p>
    <w:p w14:paraId="18D6B475" w14:textId="77777777" w:rsidR="00285F96" w:rsidRDefault="00000000">
      <w:pPr>
        <w:pStyle w:val="Heading1"/>
      </w:pPr>
      <w:r>
        <w:t>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85F96" w14:paraId="26E042F0" w14:textId="77777777" w:rsidTr="00285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D5A54C" w14:textId="77777777" w:rsidR="00285F96" w:rsidRDefault="00000000">
            <w:r>
              <w:rPr>
                <w:sz w:val="19"/>
              </w:rPr>
              <w:t>Scenario</w:t>
            </w:r>
          </w:p>
        </w:tc>
        <w:tc>
          <w:tcPr>
            <w:tcW w:w="1728" w:type="dxa"/>
          </w:tcPr>
          <w:p w14:paraId="423348AC" w14:textId="77777777" w:rsidR="00285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SO fill — no optimizer</w:t>
            </w:r>
          </w:p>
        </w:tc>
        <w:tc>
          <w:tcPr>
            <w:tcW w:w="1728" w:type="dxa"/>
          </w:tcPr>
          <w:p w14:paraId="4477D643" w14:textId="77777777" w:rsidR="00285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SO fill — optimizer</w:t>
            </w:r>
          </w:p>
        </w:tc>
        <w:tc>
          <w:tcPr>
            <w:tcW w:w="1728" w:type="dxa"/>
          </w:tcPr>
          <w:p w14:paraId="446391C5" w14:textId="77777777" w:rsidR="00285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Δ (points)</w:t>
            </w:r>
          </w:p>
        </w:tc>
        <w:tc>
          <w:tcPr>
            <w:tcW w:w="1728" w:type="dxa"/>
          </w:tcPr>
          <w:p w14:paraId="3ADC0CB5" w14:textId="77777777" w:rsidR="00285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Output ×</w:t>
            </w:r>
          </w:p>
        </w:tc>
      </w:tr>
      <w:tr w:rsidR="00285F96" w14:paraId="1E0FFDB5" w14:textId="77777777" w:rsidTr="00285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74BA19" w14:textId="00C126A2" w:rsidR="00285F96" w:rsidRDefault="00493B2A">
            <w:r>
              <w:t>1</w:t>
            </w:r>
          </w:p>
        </w:tc>
        <w:tc>
          <w:tcPr>
            <w:tcW w:w="1728" w:type="dxa"/>
          </w:tcPr>
          <w:p w14:paraId="0D13FA72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66.6%</w:t>
            </w:r>
          </w:p>
        </w:tc>
        <w:tc>
          <w:tcPr>
            <w:tcW w:w="1728" w:type="dxa"/>
          </w:tcPr>
          <w:p w14:paraId="527BA514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75.5%</w:t>
            </w:r>
          </w:p>
        </w:tc>
        <w:tc>
          <w:tcPr>
            <w:tcW w:w="1728" w:type="dxa"/>
          </w:tcPr>
          <w:p w14:paraId="6C78DCE9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</w:t>
            </w:r>
          </w:p>
        </w:tc>
        <w:tc>
          <w:tcPr>
            <w:tcW w:w="1728" w:type="dxa"/>
          </w:tcPr>
          <w:p w14:paraId="73BFBF04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1.14</w:t>
            </w:r>
          </w:p>
        </w:tc>
      </w:tr>
      <w:tr w:rsidR="00285F96" w14:paraId="3F7BF9B9" w14:textId="77777777" w:rsidTr="00285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84C8F7" w14:textId="0CF3D73E" w:rsidR="00285F96" w:rsidRDefault="00000000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F1E9F20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61.8%</w:t>
            </w:r>
          </w:p>
        </w:tc>
        <w:tc>
          <w:tcPr>
            <w:tcW w:w="1728" w:type="dxa"/>
          </w:tcPr>
          <w:p w14:paraId="24CB379D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71.4%</w:t>
            </w:r>
          </w:p>
        </w:tc>
        <w:tc>
          <w:tcPr>
            <w:tcW w:w="1728" w:type="dxa"/>
          </w:tcPr>
          <w:p w14:paraId="2321433A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+9.5</w:t>
            </w:r>
          </w:p>
        </w:tc>
        <w:tc>
          <w:tcPr>
            <w:tcW w:w="1728" w:type="dxa"/>
          </w:tcPr>
          <w:p w14:paraId="4E1CBC98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</w:t>
            </w:r>
          </w:p>
        </w:tc>
      </w:tr>
      <w:tr w:rsidR="00285F96" w14:paraId="6D0738D0" w14:textId="77777777" w:rsidTr="00285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27F445" w14:textId="01951675" w:rsidR="00285F96" w:rsidRDefault="00000000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1D2A82D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57.7%</w:t>
            </w:r>
          </w:p>
        </w:tc>
        <w:tc>
          <w:tcPr>
            <w:tcW w:w="1728" w:type="dxa"/>
          </w:tcPr>
          <w:p w14:paraId="298A872A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74.8%</w:t>
            </w:r>
          </w:p>
        </w:tc>
        <w:tc>
          <w:tcPr>
            <w:tcW w:w="1728" w:type="dxa"/>
          </w:tcPr>
          <w:p w14:paraId="42700E4E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+17.1</w:t>
            </w:r>
          </w:p>
        </w:tc>
        <w:tc>
          <w:tcPr>
            <w:tcW w:w="1728" w:type="dxa"/>
          </w:tcPr>
          <w:p w14:paraId="5FE19B14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1.32</w:t>
            </w:r>
          </w:p>
        </w:tc>
      </w:tr>
      <w:tr w:rsidR="00285F96" w14:paraId="39D71CB2" w14:textId="77777777" w:rsidTr="00285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1B68A4" w14:textId="4F8B3692" w:rsidR="00285F96" w:rsidRDefault="00000000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B8A36C4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58.8%</w:t>
            </w:r>
          </w:p>
        </w:tc>
        <w:tc>
          <w:tcPr>
            <w:tcW w:w="1728" w:type="dxa"/>
          </w:tcPr>
          <w:p w14:paraId="4063D937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71.1%</w:t>
            </w:r>
          </w:p>
        </w:tc>
        <w:tc>
          <w:tcPr>
            <w:tcW w:w="1728" w:type="dxa"/>
          </w:tcPr>
          <w:p w14:paraId="5190EEEB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+12.3</w:t>
            </w:r>
          </w:p>
        </w:tc>
        <w:tc>
          <w:tcPr>
            <w:tcW w:w="1728" w:type="dxa"/>
          </w:tcPr>
          <w:p w14:paraId="402A8257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1.22</w:t>
            </w:r>
          </w:p>
        </w:tc>
      </w:tr>
      <w:tr w:rsidR="00285F96" w14:paraId="4BB8F19E" w14:textId="77777777" w:rsidTr="00285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74B162" w14:textId="2AB959BE" w:rsidR="00285F96" w:rsidRDefault="00000000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3C5B279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28.3%</w:t>
            </w:r>
          </w:p>
        </w:tc>
        <w:tc>
          <w:tcPr>
            <w:tcW w:w="1728" w:type="dxa"/>
          </w:tcPr>
          <w:p w14:paraId="025CBCCE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71.2%</w:t>
            </w:r>
          </w:p>
        </w:tc>
        <w:tc>
          <w:tcPr>
            <w:tcW w:w="1728" w:type="dxa"/>
          </w:tcPr>
          <w:p w14:paraId="3AC3CD3B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+42.9</w:t>
            </w:r>
          </w:p>
        </w:tc>
        <w:tc>
          <w:tcPr>
            <w:tcW w:w="1728" w:type="dxa"/>
          </w:tcPr>
          <w:p w14:paraId="04A5123A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2.62</w:t>
            </w:r>
          </w:p>
        </w:tc>
      </w:tr>
      <w:tr w:rsidR="00285F96" w14:paraId="07C2DA41" w14:textId="77777777" w:rsidTr="00285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1A1D3B" w14:textId="23B49B6D" w:rsidR="00285F96" w:rsidRDefault="00000000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1E02A50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46.7%</w:t>
            </w:r>
          </w:p>
        </w:tc>
        <w:tc>
          <w:tcPr>
            <w:tcW w:w="1728" w:type="dxa"/>
          </w:tcPr>
          <w:p w14:paraId="7FC41CA5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77.3%</w:t>
            </w:r>
          </w:p>
        </w:tc>
        <w:tc>
          <w:tcPr>
            <w:tcW w:w="1728" w:type="dxa"/>
          </w:tcPr>
          <w:p w14:paraId="218BE120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+30.6</w:t>
            </w:r>
          </w:p>
        </w:tc>
        <w:tc>
          <w:tcPr>
            <w:tcW w:w="1728" w:type="dxa"/>
          </w:tcPr>
          <w:p w14:paraId="0E4853C8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1.65</w:t>
            </w:r>
          </w:p>
        </w:tc>
      </w:tr>
      <w:tr w:rsidR="00285F96" w14:paraId="2EC29551" w14:textId="77777777" w:rsidTr="00285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3BA4BC" w14:textId="62BB706C" w:rsidR="00285F96" w:rsidRDefault="00000000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02BB82E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54.8%</w:t>
            </w:r>
          </w:p>
        </w:tc>
        <w:tc>
          <w:tcPr>
            <w:tcW w:w="1728" w:type="dxa"/>
          </w:tcPr>
          <w:p w14:paraId="0845AE88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73.8%</w:t>
            </w:r>
          </w:p>
        </w:tc>
        <w:tc>
          <w:tcPr>
            <w:tcW w:w="1728" w:type="dxa"/>
          </w:tcPr>
          <w:p w14:paraId="74454782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+18.9</w:t>
            </w:r>
          </w:p>
        </w:tc>
        <w:tc>
          <w:tcPr>
            <w:tcW w:w="1728" w:type="dxa"/>
          </w:tcPr>
          <w:p w14:paraId="20D53798" w14:textId="77777777" w:rsidR="00285F9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1.33</w:t>
            </w:r>
          </w:p>
        </w:tc>
      </w:tr>
      <w:tr w:rsidR="00285F96" w14:paraId="2171F7C1" w14:textId="77777777" w:rsidTr="00285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708C2" w14:textId="4BD4D88B" w:rsidR="00285F96" w:rsidRDefault="0000000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F47ED7E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40.8%</w:t>
            </w:r>
          </w:p>
        </w:tc>
        <w:tc>
          <w:tcPr>
            <w:tcW w:w="1728" w:type="dxa"/>
          </w:tcPr>
          <w:p w14:paraId="756ECDB7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67.3%</w:t>
            </w:r>
          </w:p>
        </w:tc>
        <w:tc>
          <w:tcPr>
            <w:tcW w:w="1728" w:type="dxa"/>
          </w:tcPr>
          <w:p w14:paraId="36D6E89B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+26.5</w:t>
            </w:r>
          </w:p>
        </w:tc>
        <w:tc>
          <w:tcPr>
            <w:tcW w:w="1728" w:type="dxa"/>
          </w:tcPr>
          <w:p w14:paraId="6DA6575A" w14:textId="77777777" w:rsidR="00285F9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1.65</w:t>
            </w:r>
          </w:p>
        </w:tc>
      </w:tr>
    </w:tbl>
    <w:p w14:paraId="2C3A7BDC" w14:textId="77777777" w:rsidR="00285F96" w:rsidRDefault="00000000">
      <w:r>
        <w:rPr>
          <w:b/>
        </w:rPr>
        <w:t xml:space="preserve">Across 8 scenarios: </w:t>
      </w:r>
      <w:r>
        <w:t>sales-order-fill gain median +18.0 pts (range +8.9 to +42.9); feasible-output multiple median 1.33× (range 1.14–2.62×).</w:t>
      </w:r>
    </w:p>
    <w:p w14:paraId="5AAE6B1B" w14:textId="77777777" w:rsidR="00285F96" w:rsidRDefault="00000000">
      <w:pPr>
        <w:pStyle w:val="Heading1"/>
      </w:pPr>
      <w:r>
        <w:lastRenderedPageBreak/>
        <w:t>Why it works</w:t>
      </w:r>
    </w:p>
    <w:p w14:paraId="704FCFE2" w14:textId="77777777" w:rsidR="00285F96" w:rsidRDefault="00000000">
      <w:r>
        <w:t>Finished goods vary in weight per case, so cases produced per pound of a scarce shared material differ across products. Date-priority execution fills whatever is due next and spends the scarce material on heavy cases; the optimizer steers it toward higher-yield products and matches production to demand priority (sales orders before safety stock before forecast before rounding up to plan). Total material is unchanged — only its allocation differs, which is where the additional orders and output come from.</w:t>
      </w:r>
    </w:p>
    <w:p w14:paraId="40E71294" w14:textId="77777777" w:rsidR="00285F96" w:rsidRDefault="00000000">
      <w:pPr>
        <w:pStyle w:val="Heading1"/>
      </w:pPr>
      <w:r>
        <w:t>Scope &amp; honest limits</w:t>
      </w:r>
    </w:p>
    <w:p w14:paraId="7BC08CCE" w14:textId="77777777" w:rsidR="00285F96" w:rsidRDefault="00000000">
      <w:pPr>
        <w:pStyle w:val="ListBullet"/>
      </w:pPr>
      <w:r>
        <w:t>These are synthetic benchmark results on representative constrained scenarios — not a measurement of any specific plant.</w:t>
      </w:r>
    </w:p>
    <w:p w14:paraId="24E6C142" w14:textId="77777777" w:rsidR="00285F96" w:rsidRDefault="00000000">
      <w:pPr>
        <w:pStyle w:val="ListBullet"/>
      </w:pPr>
      <w:r>
        <w:t>The baseline is pure date-priority allocation, a fair proxy for un-optimized automated execution; a skilled human planner would close part of the gap. The median (+18 pts) is more representative than the tightest-period outlier (+43).</w:t>
      </w:r>
    </w:p>
    <w:p w14:paraId="4390D5B8" w14:textId="77777777" w:rsidR="00285F96" w:rsidRDefault="00000000">
      <w:pPr>
        <w:pStyle w:val="ListBullet"/>
      </w:pPr>
      <w:r>
        <w:t>Reported figures are the distribution across randomized draws, not a single tuned run.</w:t>
      </w:r>
    </w:p>
    <w:p w14:paraId="18F27BE6" w14:textId="77777777" w:rsidR="00285F96" w:rsidRDefault="00000000">
      <w:r>
        <w:rPr>
          <w:color w:val="606B74"/>
          <w:sz w:val="17"/>
        </w:rPr>
        <w:t>Generated September 03, 2026 · JDE Production Optimizer</w:t>
      </w:r>
    </w:p>
    <w:sectPr w:rsidR="00285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3CE2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533611">
    <w:abstractNumId w:val="8"/>
  </w:num>
  <w:num w:numId="2" w16cid:durableId="2824386">
    <w:abstractNumId w:val="6"/>
  </w:num>
  <w:num w:numId="3" w16cid:durableId="1157454252">
    <w:abstractNumId w:val="5"/>
  </w:num>
  <w:num w:numId="4" w16cid:durableId="100302661">
    <w:abstractNumId w:val="4"/>
  </w:num>
  <w:num w:numId="5" w16cid:durableId="1712800740">
    <w:abstractNumId w:val="7"/>
  </w:num>
  <w:num w:numId="6" w16cid:durableId="1226525261">
    <w:abstractNumId w:val="3"/>
  </w:num>
  <w:num w:numId="7" w16cid:durableId="285937091">
    <w:abstractNumId w:val="2"/>
  </w:num>
  <w:num w:numId="8" w16cid:durableId="1770661511">
    <w:abstractNumId w:val="1"/>
  </w:num>
  <w:num w:numId="9" w16cid:durableId="19295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F96"/>
    <w:rsid w:val="0029639D"/>
    <w:rsid w:val="00326F90"/>
    <w:rsid w:val="00493B2A"/>
    <w:rsid w:val="00AA1D8D"/>
    <w:rsid w:val="00B47730"/>
    <w:rsid w:val="00CB0664"/>
    <w:rsid w:val="00D24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DF466"/>
  <w14:defaultImageDpi w14:val="300"/>
  <w15:docId w15:val="{6A8F88EF-D71C-43B3-9C95-AF42B5E4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B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Clouse</cp:lastModifiedBy>
  <cp:revision>2</cp:revision>
  <dcterms:created xsi:type="dcterms:W3CDTF">2013-12-23T23:15:00Z</dcterms:created>
  <dcterms:modified xsi:type="dcterms:W3CDTF">2026-09-04T03:15:00Z</dcterms:modified>
  <cp:category/>
</cp:coreProperties>
</file>