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Results and Discussion</w:t>
      </w:r>
    </w:p>
    <w:p>
      <w:pPr>
        <w:spacing w:after="140"/>
      </w:pPr>
      <w:r>
        <w:rPr>
          <w:b w:val="0"/>
          <w:sz w:val="21"/>
        </w:rPr>
        <w:t>This chapter reports what the LSTM—XGBoost ensemble produced on a univariate daily precipitation record, and what the study established in the process about how these two model families should be combined on a target of this kind. The evaluation run is the locked configuration in runs/static/LSTM_XGBoost_Ensemble_Precipitation_STATIC.ipynb, whose trained artifacts are stored in models/v2_static/ and are the same artifacts the deployed website loads. Three supporting runs are drawn on where they answer a question the main run cannot: the diagnostic sandbox in runs/xgb_experiment/, the evaluation-only recursive rollout in runs/multistep_7day/, and the extended-evaluation run in runs/retuned/. All error figures are in inches of precipitation unless stated otherwise.</w:t>
      </w:r>
    </w:p>
    <w:p>
      <w:pPr>
        <w:spacing w:after="140"/>
      </w:pPr>
      <w:r>
        <w:rPr>
          <w:b w:val="0"/>
          <w:sz w:val="21"/>
        </w:rPr>
        <w:t>The chapter opens with performance against the research objectives, so the reader has the scorecard before the explanation. The sections that follow set out the evidence behind it, in the order the evidence supports: what the record looks like, what the pipeline produced, how the transformed target is shaped, how the two components behave individually, what bounds the achievable accuracy, where each component is strongest, and finally what all of that establishes about the design of the ensemble itself.</w:t>
      </w:r>
    </w:p>
    <w:p>
      <w:pPr>
        <w:spacing w:after="140"/>
      </w:pPr>
      <w:r>
        <w:rPr>
          <w:b/>
          <w:sz w:val="21"/>
        </w:rPr>
        <w:t>A note on how the results should be read.</w:t>
      </w:r>
      <w:r>
        <w:rPr>
          <w:b w:val="0"/>
          <w:sz w:val="21"/>
        </w:rPr>
        <w:t xml:space="preserve"> The objectives set one numeric target, a 10% reduction in RMSE against the baseline, and otherwise asked for the accuracy of the framework to be evaluated using RMSE, MAE and MAPE. The target is met by the XGBoost component and narrowly missed by the ensemble, and the evaluation is delivered in full. Carrying that evaluation through is what produced the substantive results reported here: a measurable ceiling on univariate next-day precipitation forecasting at this station, a quantified account of how close the models come to it, evidence of ranking skill that the error metrics cannot express, and the identification of the precise step in the ensemble design that prevents two genuinely complementary components from delivering their combined strength.</w:t>
      </w:r>
    </w:p>
    <w:p>
      <w:pPr>
        <w:pStyle w:val="Heading1"/>
      </w:pPr>
      <w:r>
        <w:t>1.  Performance against the research objectives</w:t>
      </w:r>
    </w:p>
    <w:p>
      <w:pPr>
        <w:spacing w:after="140"/>
      </w:pPr>
      <w:r>
        <w:rPr>
          <w:b w:val="0"/>
          <w:sz w:val="21"/>
        </w:rPr>
        <w:t>The general objective was to design and develop an LSTM and XGBoost ensemble model that improves precipitation forecasting accuracy on small datasets, compared with the baseline LSTM study. Table 1 states each of the five specific objectives, the status of each, and where in this chapter the supporting work appears.</w:t>
      </w:r>
    </w:p>
    <w:p>
      <w:pPr>
        <w:keepNext/>
        <w:spacing w:after="80"/>
      </w:pPr>
      <w:r>
        <w:rPr>
          <w:i/>
          <w:color w:val="52514E"/>
          <w:sz w:val="18"/>
        </w:rPr>
        <w:t>Table 1.  The five specific objectives and the status of each.</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123"/>
            <w:shd w:val="clear" w:fill="E8EEF7"/>
          </w:tcPr>
          <w:p>
            <w:pPr>
              <w:spacing w:after="40" w:before="40"/>
            </w:pPr>
            <w:r/>
            <w:r>
              <w:rPr>
                <w:b/>
                <w:sz w:val="16"/>
              </w:rPr>
              <w:t>Objective</w:t>
            </w:r>
          </w:p>
        </w:tc>
        <w:tc>
          <w:tcPr>
            <w:tcW w:type="dxa" w:w="3096"/>
            <w:shd w:val="clear" w:fill="E8EEF7"/>
          </w:tcPr>
          <w:p>
            <w:pPr>
              <w:spacing w:after="40" w:before="40"/>
            </w:pPr>
            <w:r/>
            <w:r>
              <w:rPr>
                <w:b/>
                <w:sz w:val="16"/>
              </w:rPr>
              <w:t>What it requires</w:t>
            </w:r>
          </w:p>
        </w:tc>
        <w:tc>
          <w:tcPr>
            <w:tcW w:type="dxa" w:w="4248"/>
            <w:shd w:val="clear" w:fill="E8EEF7"/>
          </w:tcPr>
          <w:p>
            <w:pPr>
              <w:spacing w:after="40" w:before="40"/>
            </w:pPr>
            <w:r/>
            <w:r>
              <w:rPr>
                <w:b/>
                <w:sz w:val="16"/>
              </w:rPr>
              <w:t>Status</w:t>
            </w:r>
          </w:p>
        </w:tc>
        <w:tc>
          <w:tcPr>
            <w:tcW w:type="dxa" w:w="1181"/>
            <w:shd w:val="clear" w:fill="E8EEF7"/>
          </w:tcPr>
          <w:p>
            <w:pPr>
              <w:spacing w:after="40" w:before="40"/>
            </w:pPr>
            <w:r/>
            <w:r>
              <w:rPr>
                <w:b/>
                <w:sz w:val="16"/>
              </w:rPr>
              <w:t>Where</w:t>
            </w:r>
          </w:p>
        </w:tc>
      </w:tr>
      <w:tr>
        <w:tc>
          <w:tcPr>
            <w:tcW w:type="dxa" w:w="1123"/>
          </w:tcPr>
          <w:p>
            <w:pPr>
              <w:spacing w:after="40" w:before="40"/>
            </w:pPr>
            <w:r/>
            <w:r>
              <w:rPr>
                <w:b w:val="0"/>
                <w:sz w:val="16"/>
              </w:rPr>
              <w:t>1.3.1.1.1</w:t>
            </w:r>
          </w:p>
        </w:tc>
        <w:tc>
          <w:tcPr>
            <w:tcW w:type="dxa" w:w="3096"/>
          </w:tcPr>
          <w:p>
            <w:pPr>
              <w:spacing w:after="40" w:before="40"/>
            </w:pPr>
            <w:r/>
            <w:r>
              <w:rPr>
                <w:b w:val="0"/>
                <w:sz w:val="16"/>
              </w:rPr>
              <w:t>Preprocessing the data using the Box-Cox transformation</w:t>
            </w:r>
          </w:p>
        </w:tc>
        <w:tc>
          <w:tcPr>
            <w:tcW w:type="dxa" w:w="4248"/>
          </w:tcPr>
          <w:p>
            <w:pPr>
              <w:spacing w:after="40" w:before="40"/>
            </w:pPr>
            <w:r/>
            <w:r>
              <w:rPr>
                <w:b/>
                <w:sz w:val="16"/>
              </w:rPr>
              <w:t>Delivered.</w:t>
            </w:r>
            <w:r>
              <w:rPr>
                <w:b w:val="0"/>
                <w:sz w:val="16"/>
              </w:rPr>
              <w:t xml:space="preserve"> Box-Cox applied with λ estimated on the training portion only; the geometry of the resulting target space is characterised in full.</w:t>
            </w:r>
          </w:p>
        </w:tc>
        <w:tc>
          <w:tcPr>
            <w:tcW w:type="dxa" w:w="1181"/>
          </w:tcPr>
          <w:p>
            <w:pPr>
              <w:spacing w:after="40" w:before="40"/>
            </w:pPr>
            <w:r/>
            <w:r>
              <w:rPr>
                <w:b w:val="0"/>
                <w:sz w:val="16"/>
              </w:rPr>
              <w:t>Section 4</w:t>
            </w:r>
          </w:p>
        </w:tc>
      </w:tr>
      <w:tr>
        <w:tc>
          <w:tcPr>
            <w:tcW w:type="dxa" w:w="1123"/>
          </w:tcPr>
          <w:p>
            <w:pPr>
              <w:spacing w:after="40" w:before="40"/>
            </w:pPr>
            <w:r/>
            <w:r>
              <w:rPr>
                <w:b w:val="0"/>
                <w:sz w:val="16"/>
              </w:rPr>
              <w:t>1.3.1.1.2</w:t>
            </w:r>
          </w:p>
        </w:tc>
        <w:tc>
          <w:tcPr>
            <w:tcW w:type="dxa" w:w="3096"/>
          </w:tcPr>
          <w:p>
            <w:pPr>
              <w:spacing w:after="40" w:before="40"/>
            </w:pPr>
            <w:r/>
            <w:r>
              <w:rPr>
                <w:b w:val="0"/>
                <w:sz w:val="16"/>
              </w:rPr>
              <w:t>Ensembling the LSTM and XGBoost models using parallel processing and combining the results</w:t>
            </w:r>
          </w:p>
        </w:tc>
        <w:tc>
          <w:tcPr>
            <w:tcW w:type="dxa" w:w="4248"/>
          </w:tcPr>
          <w:p>
            <w:pPr>
              <w:spacing w:after="40" w:before="40"/>
            </w:pPr>
            <w:r/>
            <w:r>
              <w:rPr>
                <w:b/>
                <w:sz w:val="16"/>
              </w:rPr>
              <w:t>Delivered.</w:t>
            </w:r>
            <w:r>
              <w:rPr>
                <w:b w:val="0"/>
                <w:sz w:val="16"/>
              </w:rPr>
              <w:t xml:space="preserve"> Both models are trained in parallel on the same windows and combined with inverse-RMSE weights derived from a held-out validation slice.</w:t>
            </w:r>
          </w:p>
        </w:tc>
        <w:tc>
          <w:tcPr>
            <w:tcW w:type="dxa" w:w="1181"/>
          </w:tcPr>
          <w:p>
            <w:pPr>
              <w:spacing w:after="40" w:before="40"/>
            </w:pPr>
            <w:r/>
            <w:r>
              <w:rPr>
                <w:b w:val="0"/>
                <w:sz w:val="16"/>
              </w:rPr>
              <w:t>Sections 3, 13</w:t>
            </w:r>
          </w:p>
        </w:tc>
      </w:tr>
      <w:tr>
        <w:tc>
          <w:tcPr>
            <w:tcW w:type="dxa" w:w="1123"/>
          </w:tcPr>
          <w:p>
            <w:pPr>
              <w:spacing w:after="40" w:before="40"/>
            </w:pPr>
            <w:r/>
            <w:r>
              <w:rPr>
                <w:b w:val="0"/>
                <w:sz w:val="16"/>
              </w:rPr>
              <w:t>1.3.1.1.3</w:t>
            </w:r>
          </w:p>
        </w:tc>
        <w:tc>
          <w:tcPr>
            <w:tcW w:type="dxa" w:w="3096"/>
          </w:tcPr>
          <w:p>
            <w:pPr>
              <w:spacing w:after="40" w:before="40"/>
            </w:pPr>
            <w:r/>
            <w:r>
              <w:rPr>
                <w:b w:val="0"/>
                <w:sz w:val="16"/>
              </w:rPr>
              <w:t>Evaluating the forecasting performance of the ensemble and comparing it with the baseline study and with the individual LSTM and XGBoost results</w:t>
            </w:r>
          </w:p>
        </w:tc>
        <w:tc>
          <w:tcPr>
            <w:tcW w:type="dxa" w:w="4248"/>
          </w:tcPr>
          <w:p>
            <w:pPr>
              <w:spacing w:after="40" w:before="40"/>
            </w:pPr>
            <w:r/>
            <w:r>
              <w:rPr>
                <w:b/>
                <w:sz w:val="16"/>
              </w:rPr>
              <w:t>Delivered.</w:t>
            </w:r>
            <w:r>
              <w:rPr>
                <w:b w:val="0"/>
                <w:sz w:val="16"/>
              </w:rPr>
              <w:t xml:space="preserve"> All four quantities are reported side by side on an identical test set, and extended with per-regime, event-detection and skill-score comparisons.</w:t>
            </w:r>
          </w:p>
        </w:tc>
        <w:tc>
          <w:tcPr>
            <w:tcW w:type="dxa" w:w="1181"/>
          </w:tcPr>
          <w:p>
            <w:pPr>
              <w:spacing w:after="40" w:before="40"/>
            </w:pPr>
            <w:r/>
            <w:r>
              <w:rPr>
                <w:b w:val="0"/>
                <w:sz w:val="16"/>
              </w:rPr>
              <w:t>Table 3, Sections 3, 9</w:t>
            </w:r>
          </w:p>
        </w:tc>
      </w:tr>
      <w:tr>
        <w:tc>
          <w:tcPr>
            <w:tcW w:type="dxa" w:w="1123"/>
          </w:tcPr>
          <w:p>
            <w:pPr>
              <w:spacing w:after="40" w:before="40"/>
            </w:pPr>
            <w:r/>
            <w:r>
              <w:rPr>
                <w:b w:val="0"/>
                <w:sz w:val="16"/>
              </w:rPr>
              <w:t>1.3.1.1.4</w:t>
            </w:r>
          </w:p>
        </w:tc>
        <w:tc>
          <w:tcPr>
            <w:tcW w:type="dxa" w:w="3096"/>
          </w:tcPr>
          <w:p>
            <w:pPr>
              <w:spacing w:after="40" w:before="40"/>
            </w:pPr>
            <w:r/>
            <w:r>
              <w:rPr>
                <w:b w:val="0"/>
                <w:sz w:val="16"/>
              </w:rPr>
              <w:t>Evaluating accuracy using RMSE, MAE and MAPE, and achieving at least a 10% reduction in RMSE against the baseline (6.181 in; target ≤ 5.56 in)</w:t>
            </w:r>
          </w:p>
        </w:tc>
        <w:tc>
          <w:tcPr>
            <w:tcW w:type="dxa" w:w="4248"/>
          </w:tcPr>
          <w:p>
            <w:pPr>
              <w:spacing w:after="40" w:before="40"/>
            </w:pPr>
            <w:r/>
            <w:r>
              <w:rPr>
                <w:b/>
                <w:sz w:val="16"/>
              </w:rPr>
              <w:t>Evaluation delivered in full.</w:t>
            </w:r>
            <w:r>
              <w:rPr>
                <w:b w:val="0"/>
                <w:sz w:val="16"/>
              </w:rPr>
              <w:t xml:space="preserve"> On the RMSE requirement, the XGBoost component achieves a 10.5% reduction, exceeding the target; the ensemble achieves 8.7%, 0.082 in short of the 5.56-inch mark.</w:t>
            </w:r>
          </w:p>
        </w:tc>
        <w:tc>
          <w:tcPr>
            <w:tcW w:type="dxa" w:w="1181"/>
          </w:tcPr>
          <w:p>
            <w:pPr>
              <w:spacing w:after="40" w:before="40"/>
            </w:pPr>
            <w:r/>
            <w:r>
              <w:rPr>
                <w:b w:val="0"/>
                <w:sz w:val="16"/>
              </w:rPr>
              <w:t>Table 2, Figures 1—3</w:t>
            </w:r>
          </w:p>
        </w:tc>
      </w:tr>
      <w:tr>
        <w:tc>
          <w:tcPr>
            <w:tcW w:type="dxa" w:w="1123"/>
          </w:tcPr>
          <w:p>
            <w:pPr>
              <w:spacing w:after="40" w:before="40"/>
            </w:pPr>
            <w:r/>
            <w:r>
              <w:rPr>
                <w:b w:val="0"/>
                <w:sz w:val="16"/>
              </w:rPr>
              <w:t>1.3.1.1.5</w:t>
            </w:r>
          </w:p>
        </w:tc>
        <w:tc>
          <w:tcPr>
            <w:tcW w:type="dxa" w:w="3096"/>
          </w:tcPr>
          <w:p>
            <w:pPr>
              <w:spacing w:after="40" w:before="40"/>
            </w:pPr>
            <w:r/>
            <w:r>
              <w:rPr>
                <w:b w:val="0"/>
                <w:sz w:val="16"/>
              </w:rPr>
              <w:t>Quantifying the computational cost and benefit trade-offs of the higher forecasting accuracy</w:t>
            </w:r>
          </w:p>
        </w:tc>
        <w:tc>
          <w:tcPr>
            <w:tcW w:type="dxa" w:w="4248"/>
          </w:tcPr>
          <w:p>
            <w:pPr>
              <w:spacing w:after="40" w:before="40"/>
            </w:pPr>
            <w:r/>
            <w:r>
              <w:rPr>
                <w:b/>
                <w:sz w:val="16"/>
              </w:rPr>
              <w:t>Delivered.</w:t>
            </w:r>
            <w:r>
              <w:rPr>
                <w:b w:val="0"/>
                <w:sz w:val="16"/>
              </w:rPr>
              <w:t xml:space="preserve"> Training and inference cost measured for both components, and benefit quantified separately for each rainfall regime.</w:t>
            </w:r>
          </w:p>
        </w:tc>
        <w:tc>
          <w:tcPr>
            <w:tcW w:type="dxa" w:w="1181"/>
          </w:tcPr>
          <w:p>
            <w:pPr>
              <w:spacing w:after="40" w:before="40"/>
            </w:pPr>
            <w:r/>
            <w:r>
              <w:rPr>
                <w:b w:val="0"/>
                <w:sz w:val="16"/>
              </w:rPr>
              <w:t>Section 12</w:t>
            </w:r>
          </w:p>
        </w:tc>
      </w:tr>
    </w:tbl>
    <w:p>
      <w:pPr>
        <w:spacing w:after="40" w:before="0"/>
      </w:pPr>
    </w:p>
    <w:p>
      <w:pPr>
        <w:spacing w:after="140"/>
      </w:pPr>
      <w:r>
        <w:rPr>
          <w:b w:val="0"/>
          <w:sz w:val="21"/>
        </w:rPr>
        <w:t xml:space="preserve">Objective 1.3.1.1.4 has two distinct parts, and it is worth separating them because they are answered differently. The first part is </w:t>
      </w:r>
      <w:r>
        <w:rPr>
          <w:b/>
          <w:sz w:val="21"/>
        </w:rPr>
        <w:t>evaluation</w:t>
      </w:r>
      <w:r>
        <w:rPr>
          <w:b w:val="0"/>
          <w:sz w:val="21"/>
        </w:rPr>
        <w:t xml:space="preserve"> — the objective is to measure accuracy using RMSE, MAE and MAPE. That part is delivered without qualification, and Table 2 is the result. The second part is a single numeric </w:t>
      </w:r>
      <w:r>
        <w:rPr>
          <w:b/>
          <w:sz w:val="21"/>
        </w:rPr>
        <w:t>target</w:t>
      </w:r>
      <w:r>
        <w:rPr>
          <w:b w:val="0"/>
          <w:sz w:val="21"/>
        </w:rPr>
        <w:t>: at least a 10% reduction in RMSE against the 6.181-inch baseline. That target is met by the XGBoost component and narrowly missed by the ensemble.</w:t>
      </w:r>
    </w:p>
    <w:p>
      <w:pPr>
        <w:keepNext/>
        <w:spacing w:after="80"/>
      </w:pPr>
      <w:r>
        <w:rPr>
          <w:i/>
          <w:color w:val="52514E"/>
          <w:sz w:val="18"/>
        </w:rPr>
        <w:t>Table 2.  The metric evaluation required by objective 1.3.1.1.4, reported against both the baseline figure stated in the study and the baseline reproduced under this pipeline. R² is included as a supplementary diagnostic; it is not one of the three metrics the objective names.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520"/>
            <w:shd w:val="clear" w:fill="E8EEF7"/>
          </w:tcPr>
          <w:p>
            <w:pPr>
              <w:spacing w:after="40" w:before="40"/>
            </w:pPr>
            <w:r/>
            <w:r>
              <w:rPr>
                <w:b/>
                <w:sz w:val="17"/>
              </w:rPr>
              <w:t>Model</w:t>
            </w:r>
          </w:p>
        </w:tc>
        <w:tc>
          <w:tcPr>
            <w:tcW w:type="dxa" w:w="1224"/>
            <w:shd w:val="clear" w:fill="E8EEF7"/>
          </w:tcPr>
          <w:p>
            <w:pPr>
              <w:spacing w:after="40" w:before="40"/>
            </w:pPr>
            <w:r/>
            <w:r>
              <w:rPr>
                <w:b/>
                <w:sz w:val="17"/>
              </w:rPr>
              <w:t>RMSE (in)</w:t>
            </w:r>
          </w:p>
        </w:tc>
        <w:tc>
          <w:tcPr>
            <w:tcW w:type="dxa" w:w="1512"/>
            <w:shd w:val="clear" w:fill="E8EEF7"/>
          </w:tcPr>
          <w:p>
            <w:pPr>
              <w:spacing w:after="40" w:before="40"/>
            </w:pPr>
            <w:r/>
            <w:r>
              <w:rPr>
                <w:b/>
                <w:sz w:val="17"/>
              </w:rPr>
              <w:t>Reduction vs. 6.181</w:t>
            </w:r>
          </w:p>
        </w:tc>
        <w:tc>
          <w:tcPr>
            <w:tcW w:type="dxa" w:w="1584"/>
            <w:shd w:val="clear" w:fill="E8EEF7"/>
          </w:tcPr>
          <w:p>
            <w:pPr>
              <w:spacing w:after="40" w:before="40"/>
            </w:pPr>
            <w:r/>
            <w:r>
              <w:rPr>
                <w:b/>
                <w:sz w:val="17"/>
              </w:rPr>
              <w:t>Reduction vs. 6.2009</w:t>
            </w:r>
          </w:p>
        </w:tc>
        <w:tc>
          <w:tcPr>
            <w:tcW w:type="dxa" w:w="1152"/>
            <w:shd w:val="clear" w:fill="E8EEF7"/>
          </w:tcPr>
          <w:p>
            <w:pPr>
              <w:spacing w:after="40" w:before="40"/>
            </w:pPr>
            <w:r/>
            <w:r>
              <w:rPr>
                <w:b/>
                <w:sz w:val="17"/>
              </w:rPr>
              <w:t>MAE (in)</w:t>
            </w:r>
          </w:p>
        </w:tc>
        <w:tc>
          <w:tcPr>
            <w:tcW w:type="dxa" w:w="1080"/>
            <w:shd w:val="clear" w:fill="E8EEF7"/>
          </w:tcPr>
          <w:p>
            <w:pPr>
              <w:spacing w:after="40" w:before="40"/>
            </w:pPr>
            <w:r/>
            <w:r>
              <w:rPr>
                <w:b/>
                <w:sz w:val="17"/>
              </w:rPr>
              <w:t>MAPE (%)</w:t>
            </w:r>
          </w:p>
        </w:tc>
        <w:tc>
          <w:tcPr>
            <w:tcW w:type="dxa" w:w="1008"/>
            <w:shd w:val="clear" w:fill="E8EEF7"/>
          </w:tcPr>
          <w:p>
            <w:pPr>
              <w:spacing w:after="40" w:before="40"/>
            </w:pPr>
            <w:r/>
            <w:r>
              <w:rPr>
                <w:b/>
                <w:sz w:val="17"/>
              </w:rPr>
              <w:t>R²</w:t>
            </w:r>
          </w:p>
        </w:tc>
      </w:tr>
      <w:tr>
        <w:tc>
          <w:tcPr>
            <w:tcW w:type="dxa" w:w="2520"/>
          </w:tcPr>
          <w:p>
            <w:pPr>
              <w:spacing w:after="40" w:before="40"/>
            </w:pPr>
            <w:r/>
            <w:r>
              <w:rPr>
                <w:b w:val="0"/>
                <w:sz w:val="17"/>
              </w:rPr>
              <w:t>Baseline (stated in the study)</w:t>
            </w:r>
          </w:p>
        </w:tc>
        <w:tc>
          <w:tcPr>
            <w:tcW w:type="dxa" w:w="1224"/>
          </w:tcPr>
          <w:p>
            <w:pPr>
              <w:spacing w:after="40" w:before="40"/>
            </w:pPr>
            <w:r/>
            <w:r>
              <w:rPr>
                <w:b w:val="0"/>
                <w:sz w:val="17"/>
              </w:rPr>
              <w:t>6.1810</w:t>
            </w:r>
          </w:p>
        </w:tc>
        <w:tc>
          <w:tcPr>
            <w:tcW w:type="dxa" w:w="1512"/>
          </w:tcPr>
          <w:p>
            <w:pPr>
              <w:spacing w:after="40" w:before="40"/>
            </w:pPr>
            <w:r/>
            <w:r>
              <w:rPr>
                <w:b w:val="0"/>
                <w:sz w:val="17"/>
              </w:rPr>
              <w:t>—</w:t>
            </w:r>
          </w:p>
        </w:tc>
        <w:tc>
          <w:tcPr>
            <w:tcW w:type="dxa" w:w="1584"/>
          </w:tcPr>
          <w:p>
            <w:pPr>
              <w:spacing w:after="40" w:before="40"/>
            </w:pPr>
            <w:r/>
            <w:r>
              <w:rPr>
                <w:b w:val="0"/>
                <w:sz w:val="17"/>
              </w:rPr>
              <w:t>—</w:t>
            </w:r>
          </w:p>
        </w:tc>
        <w:tc>
          <w:tcPr>
            <w:tcW w:type="dxa" w:w="1152"/>
          </w:tcPr>
          <w:p>
            <w:pPr>
              <w:spacing w:after="40" w:before="40"/>
            </w:pPr>
            <w:r/>
            <w:r>
              <w:rPr>
                <w:b w:val="0"/>
                <w:sz w:val="17"/>
              </w:rPr>
              <w:t>—</w:t>
            </w:r>
          </w:p>
        </w:tc>
        <w:tc>
          <w:tcPr>
            <w:tcW w:type="dxa" w:w="1080"/>
          </w:tcPr>
          <w:p>
            <w:pPr>
              <w:spacing w:after="40" w:before="40"/>
            </w:pPr>
            <w:r/>
            <w:r>
              <w:rPr>
                <w:b w:val="0"/>
                <w:sz w:val="17"/>
              </w:rPr>
              <w:t>—</w:t>
            </w:r>
          </w:p>
        </w:tc>
        <w:tc>
          <w:tcPr>
            <w:tcW w:type="dxa" w:w="1008"/>
          </w:tcPr>
          <w:p>
            <w:pPr>
              <w:spacing w:after="40" w:before="40"/>
            </w:pPr>
            <w:r/>
            <w:r>
              <w:rPr>
                <w:b w:val="0"/>
                <w:sz w:val="17"/>
              </w:rPr>
              <w:t>—</w:t>
            </w:r>
          </w:p>
        </w:tc>
      </w:tr>
      <w:tr>
        <w:tc>
          <w:tcPr>
            <w:tcW w:type="dxa" w:w="2520"/>
          </w:tcPr>
          <w:p>
            <w:pPr>
              <w:spacing w:after="40" w:before="40"/>
            </w:pPr>
            <w:r/>
            <w:r>
              <w:rPr>
                <w:b w:val="0"/>
                <w:sz w:val="17"/>
              </w:rPr>
              <w:t>Baseline (reproduced here)</w:t>
            </w:r>
          </w:p>
        </w:tc>
        <w:tc>
          <w:tcPr>
            <w:tcW w:type="dxa" w:w="1224"/>
          </w:tcPr>
          <w:p>
            <w:pPr>
              <w:spacing w:after="40" w:before="40"/>
            </w:pPr>
            <w:r/>
            <w:r>
              <w:rPr>
                <w:b w:val="0"/>
                <w:sz w:val="17"/>
              </w:rPr>
              <w:t>6.2009</w:t>
            </w:r>
          </w:p>
        </w:tc>
        <w:tc>
          <w:tcPr>
            <w:tcW w:type="dxa" w:w="1512"/>
          </w:tcPr>
          <w:p>
            <w:pPr>
              <w:spacing w:after="40" w:before="40"/>
            </w:pPr>
            <w:r/>
            <w:r>
              <w:rPr>
                <w:b w:val="0"/>
                <w:sz w:val="17"/>
              </w:rPr>
              <w:t>—</w:t>
            </w:r>
          </w:p>
        </w:tc>
        <w:tc>
          <w:tcPr>
            <w:tcW w:type="dxa" w:w="1584"/>
          </w:tcPr>
          <w:p>
            <w:pPr>
              <w:spacing w:after="40" w:before="40"/>
            </w:pPr>
            <w:r/>
            <w:r>
              <w:rPr>
                <w:b w:val="0"/>
                <w:sz w:val="17"/>
              </w:rPr>
              <w:t>—</w:t>
            </w:r>
          </w:p>
        </w:tc>
        <w:tc>
          <w:tcPr>
            <w:tcW w:type="dxa" w:w="1152"/>
          </w:tcPr>
          <w:p>
            <w:pPr>
              <w:spacing w:after="40" w:before="40"/>
            </w:pPr>
            <w:r/>
            <w:r>
              <w:rPr>
                <w:b w:val="0"/>
                <w:sz w:val="17"/>
              </w:rPr>
              <w:t>2.3244</w:t>
            </w:r>
          </w:p>
        </w:tc>
        <w:tc>
          <w:tcPr>
            <w:tcW w:type="dxa" w:w="1080"/>
          </w:tcPr>
          <w:p>
            <w:pPr>
              <w:spacing w:after="40" w:before="40"/>
            </w:pPr>
            <w:r/>
            <w:r>
              <w:rPr>
                <w:b w:val="0"/>
                <w:sz w:val="17"/>
              </w:rPr>
              <w:t>81.10</w:t>
            </w:r>
          </w:p>
        </w:tc>
        <w:tc>
          <w:tcPr>
            <w:tcW w:type="dxa" w:w="1008"/>
          </w:tcPr>
          <w:p>
            <w:pPr>
              <w:spacing w:after="40" w:before="40"/>
            </w:pPr>
            <w:r/>
            <w:r>
              <w:rPr>
                <w:b w:val="0"/>
                <w:sz w:val="17"/>
              </w:rPr>
              <w:t>—</w:t>
            </w:r>
          </w:p>
        </w:tc>
      </w:tr>
      <w:tr>
        <w:tc>
          <w:tcPr>
            <w:tcW w:type="dxa" w:w="2520"/>
          </w:tcPr>
          <w:p>
            <w:pPr>
              <w:spacing w:after="40" w:before="40"/>
            </w:pPr>
            <w:r/>
            <w:r>
              <w:rPr>
                <w:b w:val="0"/>
                <w:sz w:val="17"/>
              </w:rPr>
              <w:t>LSTM (standalone)</w:t>
            </w:r>
          </w:p>
        </w:tc>
        <w:tc>
          <w:tcPr>
            <w:tcW w:type="dxa" w:w="1224"/>
          </w:tcPr>
          <w:p>
            <w:pPr>
              <w:spacing w:after="40" w:before="40"/>
            </w:pPr>
            <w:r/>
            <w:r>
              <w:rPr>
                <w:b w:val="0"/>
                <w:sz w:val="17"/>
              </w:rPr>
              <w:t>5.9586</w:t>
            </w:r>
          </w:p>
        </w:tc>
        <w:tc>
          <w:tcPr>
            <w:tcW w:type="dxa" w:w="1512"/>
          </w:tcPr>
          <w:p>
            <w:pPr>
              <w:spacing w:after="40" w:before="40"/>
            </w:pPr>
            <w:r/>
            <w:r>
              <w:rPr>
                <w:b w:val="0"/>
                <w:sz w:val="17"/>
              </w:rPr>
              <w:t>3.6%</w:t>
            </w:r>
          </w:p>
        </w:tc>
        <w:tc>
          <w:tcPr>
            <w:tcW w:type="dxa" w:w="1584"/>
          </w:tcPr>
          <w:p>
            <w:pPr>
              <w:spacing w:after="40" w:before="40"/>
            </w:pPr>
            <w:r/>
            <w:r>
              <w:rPr>
                <w:b w:val="0"/>
                <w:sz w:val="17"/>
              </w:rPr>
              <w:t>3.9%</w:t>
            </w:r>
          </w:p>
        </w:tc>
        <w:tc>
          <w:tcPr>
            <w:tcW w:type="dxa" w:w="1152"/>
          </w:tcPr>
          <w:p>
            <w:pPr>
              <w:spacing w:after="40" w:before="40"/>
            </w:pPr>
            <w:r/>
            <w:r>
              <w:rPr>
                <w:b/>
                <w:sz w:val="17"/>
              </w:rPr>
              <w:t>2.2724</w:t>
            </w:r>
          </w:p>
        </w:tc>
        <w:tc>
          <w:tcPr>
            <w:tcW w:type="dxa" w:w="1080"/>
          </w:tcPr>
          <w:p>
            <w:pPr>
              <w:spacing w:after="40" w:before="40"/>
            </w:pPr>
            <w:r/>
            <w:r>
              <w:rPr>
                <w:b w:val="0"/>
                <w:sz w:val="17"/>
              </w:rPr>
              <w:t>93.56</w:t>
            </w:r>
          </w:p>
        </w:tc>
        <w:tc>
          <w:tcPr>
            <w:tcW w:type="dxa" w:w="1008"/>
          </w:tcPr>
          <w:p>
            <w:pPr>
              <w:spacing w:after="40" w:before="40"/>
            </w:pPr>
            <w:r/>
            <w:r>
              <w:rPr>
                <w:b w:val="0"/>
                <w:sz w:val="17"/>
              </w:rPr>
              <w:t>−0.157</w:t>
            </w:r>
          </w:p>
        </w:tc>
      </w:tr>
      <w:tr>
        <w:tc>
          <w:tcPr>
            <w:tcW w:type="dxa" w:w="2520"/>
            <w:shd w:val="clear" w:fill="FFF4E0"/>
          </w:tcPr>
          <w:p>
            <w:pPr>
              <w:spacing w:after="40" w:before="40"/>
            </w:pPr>
            <w:r/>
            <w:r>
              <w:rPr>
                <w:b w:val="0"/>
                <w:sz w:val="17"/>
              </w:rPr>
              <w:t>XGBoost (standalone)</w:t>
            </w:r>
          </w:p>
        </w:tc>
        <w:tc>
          <w:tcPr>
            <w:tcW w:type="dxa" w:w="1224"/>
            <w:shd w:val="clear" w:fill="FFF4E0"/>
          </w:tcPr>
          <w:p>
            <w:pPr>
              <w:spacing w:after="40" w:before="40"/>
            </w:pPr>
            <w:r/>
            <w:r>
              <w:rPr>
                <w:b/>
                <w:sz w:val="17"/>
              </w:rPr>
              <w:t>5.5320</w:t>
            </w:r>
          </w:p>
        </w:tc>
        <w:tc>
          <w:tcPr>
            <w:tcW w:type="dxa" w:w="1512"/>
            <w:shd w:val="clear" w:fill="FFF4E0"/>
          </w:tcPr>
          <w:p>
            <w:pPr>
              <w:spacing w:after="40" w:before="40"/>
            </w:pPr>
            <w:r/>
            <w:r>
              <w:rPr>
                <w:b/>
                <w:sz w:val="17"/>
              </w:rPr>
              <w:t>10.5%</w:t>
            </w:r>
          </w:p>
        </w:tc>
        <w:tc>
          <w:tcPr>
            <w:tcW w:type="dxa" w:w="1584"/>
            <w:shd w:val="clear" w:fill="FFF4E0"/>
          </w:tcPr>
          <w:p>
            <w:pPr>
              <w:spacing w:after="40" w:before="40"/>
            </w:pPr>
            <w:r/>
            <w:r>
              <w:rPr>
                <w:b/>
                <w:sz w:val="17"/>
              </w:rPr>
              <w:t>10.8%</w:t>
            </w:r>
          </w:p>
        </w:tc>
        <w:tc>
          <w:tcPr>
            <w:tcW w:type="dxa" w:w="1152"/>
            <w:shd w:val="clear" w:fill="FFF4E0"/>
          </w:tcPr>
          <w:p>
            <w:pPr>
              <w:spacing w:after="40" w:before="40"/>
            </w:pPr>
            <w:r/>
            <w:r>
              <w:rPr>
                <w:b w:val="0"/>
                <w:sz w:val="17"/>
              </w:rPr>
              <w:t>3.1341</w:t>
            </w:r>
          </w:p>
        </w:tc>
        <w:tc>
          <w:tcPr>
            <w:tcW w:type="dxa" w:w="1080"/>
            <w:shd w:val="clear" w:fill="FFF4E0"/>
          </w:tcPr>
          <w:p>
            <w:pPr>
              <w:spacing w:after="40" w:before="40"/>
            </w:pPr>
            <w:r/>
            <w:r>
              <w:rPr>
                <w:b w:val="0"/>
                <w:sz w:val="17"/>
              </w:rPr>
              <w:t>176.85</w:t>
            </w:r>
          </w:p>
        </w:tc>
        <w:tc>
          <w:tcPr>
            <w:tcW w:type="dxa" w:w="1008"/>
            <w:shd w:val="clear" w:fill="FFF4E0"/>
          </w:tcPr>
          <w:p>
            <w:pPr>
              <w:spacing w:after="40" w:before="40"/>
            </w:pPr>
            <w:r/>
            <w:r>
              <w:rPr>
                <w:b w:val="0"/>
                <w:sz w:val="17"/>
              </w:rPr>
              <w:t>0.003</w:t>
            </w:r>
          </w:p>
        </w:tc>
      </w:tr>
      <w:tr>
        <w:tc>
          <w:tcPr>
            <w:tcW w:type="dxa" w:w="2520"/>
          </w:tcPr>
          <w:p>
            <w:pPr>
              <w:spacing w:after="40" w:before="40"/>
            </w:pPr>
            <w:r/>
            <w:r>
              <w:rPr>
                <w:b w:val="0"/>
                <w:sz w:val="17"/>
              </w:rPr>
              <w:t>Ensemble (inverse-RMSE)</w:t>
            </w:r>
          </w:p>
        </w:tc>
        <w:tc>
          <w:tcPr>
            <w:tcW w:type="dxa" w:w="1224"/>
          </w:tcPr>
          <w:p>
            <w:pPr>
              <w:spacing w:after="40" w:before="40"/>
            </w:pPr>
            <w:r/>
            <w:r>
              <w:rPr>
                <w:b w:val="0"/>
                <w:sz w:val="17"/>
              </w:rPr>
              <w:t>5.6419</w:t>
            </w:r>
          </w:p>
        </w:tc>
        <w:tc>
          <w:tcPr>
            <w:tcW w:type="dxa" w:w="1512"/>
          </w:tcPr>
          <w:p>
            <w:pPr>
              <w:spacing w:after="40" w:before="40"/>
            </w:pPr>
            <w:r/>
            <w:r>
              <w:rPr>
                <w:b w:val="0"/>
                <w:sz w:val="17"/>
              </w:rPr>
              <w:t>8.7%</w:t>
            </w:r>
          </w:p>
        </w:tc>
        <w:tc>
          <w:tcPr>
            <w:tcW w:type="dxa" w:w="1584"/>
          </w:tcPr>
          <w:p>
            <w:pPr>
              <w:spacing w:after="40" w:before="40"/>
            </w:pPr>
            <w:r/>
            <w:r>
              <w:rPr>
                <w:b w:val="0"/>
                <w:sz w:val="17"/>
              </w:rPr>
              <w:t>9.0%</w:t>
            </w:r>
          </w:p>
        </w:tc>
        <w:tc>
          <w:tcPr>
            <w:tcW w:type="dxa" w:w="1152"/>
          </w:tcPr>
          <w:p>
            <w:pPr>
              <w:spacing w:after="40" w:before="40"/>
            </w:pPr>
            <w:r/>
            <w:r>
              <w:rPr>
                <w:b w:val="0"/>
                <w:sz w:val="17"/>
              </w:rPr>
              <w:t>2.6107</w:t>
            </w:r>
          </w:p>
        </w:tc>
        <w:tc>
          <w:tcPr>
            <w:tcW w:type="dxa" w:w="1080"/>
          </w:tcPr>
          <w:p>
            <w:pPr>
              <w:spacing w:after="40" w:before="40"/>
            </w:pPr>
            <w:r/>
            <w:r>
              <w:rPr>
                <w:b w:val="0"/>
                <w:sz w:val="17"/>
              </w:rPr>
              <w:t>101.51</w:t>
            </w:r>
          </w:p>
        </w:tc>
        <w:tc>
          <w:tcPr>
            <w:tcW w:type="dxa" w:w="1008"/>
          </w:tcPr>
          <w:p>
            <w:pPr>
              <w:spacing w:after="40" w:before="40"/>
            </w:pPr>
            <w:r/>
            <w:r>
              <w:rPr>
                <w:b w:val="0"/>
                <w:sz w:val="17"/>
              </w:rPr>
              <w:t>−0.037</w:t>
            </w:r>
          </w:p>
        </w:tc>
      </w:tr>
    </w:tbl>
    <w:p>
      <w:pPr>
        <w:spacing w:after="40" w:before="0"/>
      </w:pPr>
    </w:p>
    <w:p>
      <w:pPr>
        <w:keepNext/>
        <w:spacing w:before="120" w:after="60"/>
        <w:jc w:val="center"/>
      </w:pPr>
      <w:r>
        <w:drawing>
          <wp:inline xmlns:a="http://schemas.openxmlformats.org/drawingml/2006/main" xmlns:pic="http://schemas.openxmlformats.org/drawingml/2006/picture">
            <wp:extent cx="6126480" cy="3696923"/>
            <wp:docPr id="1" name="Picture 1"/>
            <wp:cNvGraphicFramePr>
              <a:graphicFrameLocks noChangeAspect="1"/>
            </wp:cNvGraphicFramePr>
            <a:graphic>
              <a:graphicData uri="http://schemas.openxmlformats.org/drawingml/2006/picture">
                <pic:pic>
                  <pic:nvPicPr>
                    <pic:cNvPr id="0" name="fig03_rmse_target.png"/>
                    <pic:cNvPicPr/>
                  </pic:nvPicPr>
                  <pic:blipFill>
                    <a:blip r:embed="rId9"/>
                    <a:stretch>
                      <a:fillRect/>
                    </a:stretch>
                  </pic:blipFill>
                  <pic:spPr>
                    <a:xfrm>
                      <a:off x="0" y="0"/>
                      <a:ext cx="6126480" cy="3696923"/>
                    </a:xfrm>
                    <a:prstGeom prst="rect"/>
                  </pic:spPr>
                </pic:pic>
              </a:graphicData>
            </a:graphic>
          </wp:inline>
        </w:drawing>
      </w:r>
    </w:p>
    <w:p>
      <w:pPr>
        <w:spacing w:after="200"/>
        <w:jc w:val="center"/>
      </w:pPr>
      <w:r>
        <w:rPr>
          <w:i/>
          <w:color w:val="52514E"/>
          <w:sz w:val="18"/>
        </w:rPr>
        <w:t>Figure 1.  One-day-ahead RMSE against the 5.56-inch target. XGBoost clears it outright; the ensemble lands 0.082 in above it.</w:t>
      </w:r>
    </w:p>
    <w:p>
      <w:pPr>
        <w:keepNext/>
        <w:spacing w:before="120" w:after="60"/>
        <w:jc w:val="center"/>
      </w:pPr>
      <w:r>
        <w:drawing>
          <wp:inline xmlns:a="http://schemas.openxmlformats.org/drawingml/2006/main" xmlns:pic="http://schemas.openxmlformats.org/drawingml/2006/picture">
            <wp:extent cx="6126480" cy="3377815"/>
            <wp:docPr id="2" name="Picture 2"/>
            <wp:cNvGraphicFramePr>
              <a:graphicFrameLocks noChangeAspect="1"/>
            </wp:cNvGraphicFramePr>
            <a:graphic>
              <a:graphicData uri="http://schemas.openxmlformats.org/drawingml/2006/picture">
                <pic:pic>
                  <pic:nvPicPr>
                    <pic:cNvPr id="0" name="fig20_rmse_reduction.png"/>
                    <pic:cNvPicPr/>
                  </pic:nvPicPr>
                  <pic:blipFill>
                    <a:blip r:embed="rId10"/>
                    <a:stretch>
                      <a:fillRect/>
                    </a:stretch>
                  </pic:blipFill>
                  <pic:spPr>
                    <a:xfrm>
                      <a:off x="0" y="0"/>
                      <a:ext cx="6126480" cy="3377815"/>
                    </a:xfrm>
                    <a:prstGeom prst="rect"/>
                  </pic:spPr>
                </pic:pic>
              </a:graphicData>
            </a:graphic>
          </wp:inline>
        </w:drawing>
      </w:r>
    </w:p>
    <w:p>
      <w:pPr>
        <w:spacing w:after="200"/>
        <w:jc w:val="center"/>
      </w:pPr>
      <w:r>
        <w:rPr>
          <w:i/>
          <w:color w:val="52514E"/>
          <w:sz w:val="18"/>
        </w:rPr>
        <w:t>Figure 2.  The same result expressed as the objective states it, as a percentage reduction against the baseline. The requirement is met against both the stated and the reproduced baseline figure.</w:t>
      </w:r>
    </w:p>
    <w:p>
      <w:pPr>
        <w:spacing w:after="140"/>
      </w:pPr>
      <w:r>
        <w:rPr>
          <w:b w:val="0"/>
          <w:sz w:val="21"/>
        </w:rPr>
        <w:t xml:space="preserve">MAE and MAPE are named in the objective as metrics to be </w:t>
      </w:r>
      <w:r>
        <w:rPr>
          <w:b/>
          <w:sz w:val="21"/>
        </w:rPr>
        <w:t>evaluated</w:t>
      </w:r>
      <w:r>
        <w:rPr>
          <w:b w:val="0"/>
          <w:sz w:val="21"/>
        </w:rPr>
        <w:t>, not as thresholds to be cleared, and Table 2 reports them on that basis. Both are measured on every model, on an identical test set, and broken down further in Sections 9 and 12. The LSTM returns the lowest MAE of the three at 2.2724 in, marginally better than the reproduced baseline; XGBoost returns the lowest RMSE and the only non-negative R². Figure 3 shows all four quantities as measured.</w:t>
      </w:r>
    </w:p>
    <w:p>
      <w:pPr>
        <w:keepNext/>
        <w:spacing w:before="120" w:after="60"/>
        <w:jc w:val="center"/>
      </w:pPr>
      <w:r>
        <w:drawing>
          <wp:inline xmlns:a="http://schemas.openxmlformats.org/drawingml/2006/main" xmlns:pic="http://schemas.openxmlformats.org/drawingml/2006/picture">
            <wp:extent cx="6126480" cy="2805349"/>
            <wp:docPr id="3" name="Picture 3"/>
            <wp:cNvGraphicFramePr>
              <a:graphicFrameLocks noChangeAspect="1"/>
            </wp:cNvGraphicFramePr>
            <a:graphic>
              <a:graphicData uri="http://schemas.openxmlformats.org/drawingml/2006/picture">
                <pic:pic>
                  <pic:nvPicPr>
                    <pic:cNvPr id="0" name="fig04_scorecard.png"/>
                    <pic:cNvPicPr/>
                  </pic:nvPicPr>
                  <pic:blipFill>
                    <a:blip r:embed="rId11"/>
                    <a:stretch>
                      <a:fillRect/>
                    </a:stretch>
                  </pic:blipFill>
                  <pic:spPr>
                    <a:xfrm>
                      <a:off x="0" y="0"/>
                      <a:ext cx="6126480" cy="2805349"/>
                    </a:xfrm>
                    <a:prstGeom prst="rect"/>
                  </pic:spPr>
                </pic:pic>
              </a:graphicData>
            </a:graphic>
          </wp:inline>
        </w:drawing>
      </w:r>
    </w:p>
    <w:p>
      <w:pPr>
        <w:spacing w:after="200"/>
        <w:jc w:val="center"/>
      </w:pPr>
      <w:r>
        <w:rPr>
          <w:i/>
          <w:color w:val="52514E"/>
          <w:sz w:val="18"/>
        </w:rPr>
        <w:t>Figure 3.  The four evaluation metrics as measured. Only RMSE carries a numeric target; the others are reported as the evaluation the objective calls for.</w:t>
      </w:r>
    </w:p>
    <w:p>
      <w:pPr>
        <w:spacing w:after="140"/>
      </w:pPr>
      <w:r>
        <w:rPr>
          <w:b w:val="0"/>
          <w:sz w:val="21"/>
        </w:rPr>
        <w:t xml:space="preserve">For completeness, the methodology section of this study also set out an indicative success profile alongside the formal objectives, under which MAPE would fall below 20% and R² would exceed 0.85. Those two figures are not part of objective 1.3.1.1.4 and are not treated here as targets, but they are reported honestly: MAPE reaches 101.51% and R² reaches −0.037. Establishing </w:t>
      </w:r>
      <w:r>
        <w:rPr>
          <w:b/>
          <w:sz w:val="21"/>
        </w:rPr>
        <w:t>why</w:t>
      </w:r>
      <w:r>
        <w:rPr>
          <w:b w:val="0"/>
          <w:sz w:val="21"/>
        </w:rPr>
        <w:t xml:space="preserve"> those two levels are not reachable on a univariate zero-inflated daily series — and quantifying exactly how much of the available signal the models do capture — turned out to be the most substantive work in this chapter, and it is the subject of Sections 4 to 9.</w:t>
      </w:r>
    </w:p>
    <w:p>
      <w:pPr>
        <w:pStyle w:val="Heading1"/>
      </w:pPr>
      <w:r>
        <w:t>2.  The record and the evaluation setup</w:t>
      </w:r>
    </w:p>
    <w:p>
      <w:pPr>
        <w:spacing w:after="140"/>
      </w:pPr>
      <w:r>
        <w:rPr>
          <w:b w:val="0"/>
          <w:sz w:val="21"/>
        </w:rPr>
        <w:t>The study uses a single-station daily precipitation record of 11,323 consecutive days, from 1 January 1990 to 31 December 2020. The series is univariate: precipitation is the only variable, and every predictor the models see is a lagged value of the quantity they are asked to forecast. Table 3 sets out the record and the evaluation geometry.</w:t>
      </w:r>
    </w:p>
    <w:p>
      <w:pPr>
        <w:keepNext/>
        <w:spacing w:after="80"/>
      </w:pPr>
      <w:r>
        <w:rPr>
          <w:i/>
          <w:color w:val="52514E"/>
          <w:sz w:val="18"/>
        </w:rPr>
        <w:t>Table 3.  The record and the evaluation geometry.</w:t>
      </w:r>
    </w:p>
    <w:tbl>
      <w:tblPr>
        <w:tblStyle w:val="TableGrid"/>
        <w:tblW w:type="auto" w:w="0"/>
        <w:jc w:val="center"/>
        <w:tblLook w:firstColumn="1" w:firstRow="1" w:lastColumn="0" w:lastRow="0" w:noHBand="0" w:noVBand="1" w:val="04A0"/>
      </w:tblPr>
      <w:tblGrid>
        <w:gridCol w:w="3216"/>
        <w:gridCol w:w="3216"/>
        <w:gridCol w:w="3216"/>
      </w:tblGrid>
      <w:tr>
        <w:tc>
          <w:tcPr>
            <w:tcW w:type="dxa" w:w="2664"/>
            <w:shd w:val="clear" w:fill="E8EEF7"/>
          </w:tcPr>
          <w:p>
            <w:pPr>
              <w:spacing w:after="40" w:before="40"/>
            </w:pPr>
            <w:r/>
            <w:r>
              <w:rPr>
                <w:b/>
                <w:sz w:val="17"/>
              </w:rPr>
              <w:t>Property</w:t>
            </w:r>
          </w:p>
        </w:tc>
        <w:tc>
          <w:tcPr>
            <w:tcW w:type="dxa" w:w="2952"/>
            <w:shd w:val="clear" w:fill="E8EEF7"/>
          </w:tcPr>
          <w:p>
            <w:pPr>
              <w:spacing w:after="40" w:before="40"/>
            </w:pPr>
            <w:r/>
            <w:r>
              <w:rPr>
                <w:b/>
                <w:sz w:val="17"/>
              </w:rPr>
              <w:t>Value</w:t>
            </w:r>
          </w:p>
        </w:tc>
        <w:tc>
          <w:tcPr>
            <w:tcW w:type="dxa" w:w="4032"/>
            <w:shd w:val="clear" w:fill="E8EEF7"/>
          </w:tcPr>
          <w:p>
            <w:pPr>
              <w:spacing w:after="40" w:before="40"/>
            </w:pPr>
            <w:r/>
            <w:r>
              <w:rPr>
                <w:b/>
                <w:sz w:val="17"/>
              </w:rPr>
              <w:t>Consequence for the evaluation</w:t>
            </w:r>
          </w:p>
        </w:tc>
      </w:tr>
      <w:tr>
        <w:tc>
          <w:tcPr>
            <w:tcW w:type="dxa" w:w="2664"/>
          </w:tcPr>
          <w:p>
            <w:pPr>
              <w:spacing w:after="40" w:before="40"/>
            </w:pPr>
            <w:r/>
            <w:r>
              <w:rPr>
                <w:b w:val="0"/>
                <w:sz w:val="17"/>
              </w:rPr>
              <w:t>Records in the source file</w:t>
            </w:r>
          </w:p>
        </w:tc>
        <w:tc>
          <w:tcPr>
            <w:tcW w:type="dxa" w:w="2952"/>
          </w:tcPr>
          <w:p>
            <w:pPr>
              <w:spacing w:after="40" w:before="40"/>
            </w:pPr>
            <w:r/>
            <w:r>
              <w:rPr>
                <w:b w:val="0"/>
                <w:sz w:val="17"/>
              </w:rPr>
              <w:t>11,323 days (1990-01-01 to 2020-12-31)</w:t>
            </w:r>
          </w:p>
        </w:tc>
        <w:tc>
          <w:tcPr>
            <w:tcW w:type="dxa" w:w="4032"/>
          </w:tcPr>
          <w:p>
            <w:pPr>
              <w:spacing w:after="40" w:before="40"/>
            </w:pPr>
            <w:r/>
            <w:r>
              <w:rPr>
                <w:b w:val="0"/>
                <w:sz w:val="17"/>
              </w:rPr>
              <w:t>Thirty-one full years at one station.</w:t>
            </w:r>
          </w:p>
        </w:tc>
      </w:tr>
      <w:tr>
        <w:tc>
          <w:tcPr>
            <w:tcW w:type="dxa" w:w="2664"/>
          </w:tcPr>
          <w:p>
            <w:pPr>
              <w:spacing w:after="40" w:before="40"/>
            </w:pPr>
            <w:r/>
            <w:r>
              <w:rPr>
                <w:b w:val="0"/>
                <w:sz w:val="17"/>
              </w:rPr>
              <w:t>Series length used for modelling</w:t>
            </w:r>
          </w:p>
        </w:tc>
        <w:tc>
          <w:tcPr>
            <w:tcW w:type="dxa" w:w="2952"/>
          </w:tcPr>
          <w:p>
            <w:pPr>
              <w:spacing w:after="40" w:before="40"/>
            </w:pPr>
            <w:r/>
            <w:r>
              <w:rPr>
                <w:b w:val="0"/>
                <w:sz w:val="17"/>
              </w:rPr>
              <w:t>10,988 days</w:t>
            </w:r>
          </w:p>
        </w:tc>
        <w:tc>
          <w:tcPr>
            <w:tcW w:type="dxa" w:w="4032"/>
          </w:tcPr>
          <w:p>
            <w:pPr>
              <w:spacing w:after="40" w:before="40"/>
            </w:pPr>
            <w:r/>
            <w:r>
              <w:rPr>
                <w:b w:val="0"/>
                <w:sz w:val="17"/>
              </w:rPr>
              <w:t>A fixed length cap; the final 335 days are held outside the pipeline.</w:t>
            </w:r>
          </w:p>
        </w:tc>
      </w:tr>
      <w:tr>
        <w:tc>
          <w:tcPr>
            <w:tcW w:type="dxa" w:w="2664"/>
          </w:tcPr>
          <w:p>
            <w:pPr>
              <w:spacing w:after="40" w:before="40"/>
            </w:pPr>
            <w:r/>
            <w:r>
              <w:rPr>
                <w:b w:val="0"/>
                <w:sz w:val="17"/>
              </w:rPr>
              <w:t>Chronological split point</w:t>
            </w:r>
          </w:p>
        </w:tc>
        <w:tc>
          <w:tcPr>
            <w:tcW w:type="dxa" w:w="2952"/>
          </w:tcPr>
          <w:p>
            <w:pPr>
              <w:spacing w:after="40" w:before="40"/>
            </w:pPr>
            <w:r/>
            <w:r>
              <w:rPr>
                <w:b w:val="0"/>
                <w:sz w:val="17"/>
              </w:rPr>
              <w:t>index 9,058 (2014-10-20)</w:t>
            </w:r>
          </w:p>
        </w:tc>
        <w:tc>
          <w:tcPr>
            <w:tcW w:type="dxa" w:w="4032"/>
          </w:tcPr>
          <w:p>
            <w:pPr>
              <w:spacing w:after="40" w:before="40"/>
            </w:pPr>
            <w:r/>
            <w:r>
              <w:rPr>
                <w:b w:val="0"/>
                <w:sz w:val="17"/>
              </w:rPr>
              <w:t>Training and test are strictly ordered in time, so no future information reaches training.</w:t>
            </w:r>
          </w:p>
        </w:tc>
      </w:tr>
      <w:tr>
        <w:tc>
          <w:tcPr>
            <w:tcW w:type="dxa" w:w="2664"/>
          </w:tcPr>
          <w:p>
            <w:pPr>
              <w:spacing w:after="40" w:before="40"/>
            </w:pPr>
            <w:r/>
            <w:r>
              <w:rPr>
                <w:b w:val="0"/>
                <w:sz w:val="17"/>
              </w:rPr>
              <w:t>Look-back window</w:t>
            </w:r>
          </w:p>
        </w:tc>
        <w:tc>
          <w:tcPr>
            <w:tcW w:type="dxa" w:w="2952"/>
          </w:tcPr>
          <w:p>
            <w:pPr>
              <w:spacing w:after="40" w:before="40"/>
            </w:pPr>
            <w:r/>
            <w:r>
              <w:rPr>
                <w:b w:val="0"/>
                <w:sz w:val="17"/>
              </w:rPr>
              <w:t>70 days</w:t>
            </w:r>
          </w:p>
        </w:tc>
        <w:tc>
          <w:tcPr>
            <w:tcW w:type="dxa" w:w="4032"/>
          </w:tcPr>
          <w:p>
            <w:pPr>
              <w:spacing w:after="40" w:before="40"/>
            </w:pPr>
            <w:r/>
            <w:r>
              <w:rPr>
                <w:b w:val="0"/>
                <w:sz w:val="17"/>
              </w:rPr>
              <w:t>Shared by both components. The first 70 test days are consumed as context and never scored.</w:t>
            </w:r>
          </w:p>
        </w:tc>
      </w:tr>
      <w:tr>
        <w:tc>
          <w:tcPr>
            <w:tcW w:type="dxa" w:w="2664"/>
          </w:tcPr>
          <w:p>
            <w:pPr>
              <w:spacing w:after="40" w:before="40"/>
            </w:pPr>
            <w:r/>
            <w:r>
              <w:rPr>
                <w:b w:val="0"/>
                <w:sz w:val="17"/>
              </w:rPr>
              <w:t>Scored test days</w:t>
            </w:r>
          </w:p>
        </w:tc>
        <w:tc>
          <w:tcPr>
            <w:tcW w:type="dxa" w:w="2952"/>
          </w:tcPr>
          <w:p>
            <w:pPr>
              <w:spacing w:after="40" w:before="40"/>
            </w:pPr>
            <w:r/>
            <w:r>
              <w:rPr>
                <w:b w:val="0"/>
                <w:sz w:val="17"/>
              </w:rPr>
              <w:t>1,860 (2014-12-29 to 2020-01-31)</w:t>
            </w:r>
          </w:p>
        </w:tc>
        <w:tc>
          <w:tcPr>
            <w:tcW w:type="dxa" w:w="4032"/>
          </w:tcPr>
          <w:p>
            <w:pPr>
              <w:spacing w:after="40" w:before="40"/>
            </w:pPr>
            <w:r/>
            <w:r>
              <w:rPr>
                <w:b w:val="0"/>
                <w:sz w:val="17"/>
              </w:rPr>
              <w:t>The sample every metric in this chapter is computed over.</w:t>
            </w:r>
          </w:p>
        </w:tc>
      </w:tr>
      <w:tr>
        <w:tc>
          <w:tcPr>
            <w:tcW w:type="dxa" w:w="2664"/>
          </w:tcPr>
          <w:p>
            <w:pPr>
              <w:spacing w:after="40" w:before="40"/>
            </w:pPr>
            <w:r/>
            <w:r>
              <w:rPr>
                <w:b w:val="0"/>
                <w:sz w:val="17"/>
              </w:rPr>
              <w:t>Days with zero rain</w:t>
            </w:r>
          </w:p>
        </w:tc>
        <w:tc>
          <w:tcPr>
            <w:tcW w:type="dxa" w:w="2952"/>
          </w:tcPr>
          <w:p>
            <w:pPr>
              <w:spacing w:after="40" w:before="40"/>
            </w:pPr>
            <w:r/>
            <w:r>
              <w:rPr>
                <w:b w:val="0"/>
                <w:sz w:val="17"/>
              </w:rPr>
              <w:t>60.3% of the record</w:t>
            </w:r>
          </w:p>
        </w:tc>
        <w:tc>
          <w:tcPr>
            <w:tcW w:type="dxa" w:w="4032"/>
          </w:tcPr>
          <w:p>
            <w:pPr>
              <w:spacing w:after="40" w:before="40"/>
            </w:pPr>
            <w:r/>
            <w:r>
              <w:rPr>
                <w:b w:val="0"/>
                <w:sz w:val="17"/>
              </w:rPr>
              <w:t>The target is strongly zero-inflated.</w:t>
            </w:r>
          </w:p>
        </w:tc>
      </w:tr>
      <w:tr>
        <w:tc>
          <w:tcPr>
            <w:tcW w:type="dxa" w:w="2664"/>
          </w:tcPr>
          <w:p>
            <w:pPr>
              <w:spacing w:after="40" w:before="40"/>
            </w:pPr>
            <w:r/>
            <w:r>
              <w:rPr>
                <w:b w:val="0"/>
                <w:sz w:val="17"/>
              </w:rPr>
              <w:t>Mean and standard deviation of the test target</w:t>
            </w:r>
          </w:p>
        </w:tc>
        <w:tc>
          <w:tcPr>
            <w:tcW w:type="dxa" w:w="2952"/>
          </w:tcPr>
          <w:p>
            <w:pPr>
              <w:spacing w:after="40" w:before="40"/>
            </w:pPr>
            <w:r/>
            <w:r>
              <w:rPr>
                <w:b w:val="0"/>
                <w:sz w:val="17"/>
              </w:rPr>
              <w:t>2.261 in and 5.540 in</w:t>
            </w:r>
          </w:p>
        </w:tc>
        <w:tc>
          <w:tcPr>
            <w:tcW w:type="dxa" w:w="4032"/>
          </w:tcPr>
          <w:p>
            <w:pPr>
              <w:spacing w:after="40" w:before="40"/>
            </w:pPr>
            <w:r/>
            <w:r>
              <w:rPr>
                <w:b w:val="0"/>
                <w:sz w:val="17"/>
              </w:rPr>
              <w:t>The spread a forecast must track to earn a positive R².</w:t>
            </w:r>
          </w:p>
        </w:tc>
      </w:tr>
      <w:tr>
        <w:tc>
          <w:tcPr>
            <w:tcW w:type="dxa" w:w="2664"/>
          </w:tcPr>
          <w:p>
            <w:pPr>
              <w:spacing w:after="40" w:before="40"/>
            </w:pPr>
            <w:r/>
            <w:r>
              <w:rPr>
                <w:b w:val="0"/>
                <w:sz w:val="17"/>
              </w:rPr>
              <w:t>Largest single day in the record</w:t>
            </w:r>
          </w:p>
        </w:tc>
        <w:tc>
          <w:tcPr>
            <w:tcW w:type="dxa" w:w="2952"/>
          </w:tcPr>
          <w:p>
            <w:pPr>
              <w:spacing w:after="40" w:before="40"/>
            </w:pPr>
            <w:r/>
            <w:r>
              <w:rPr>
                <w:b w:val="0"/>
                <w:sz w:val="17"/>
              </w:rPr>
              <w:t>91.2 in (2020-07-26)</w:t>
            </w:r>
          </w:p>
        </w:tc>
        <w:tc>
          <w:tcPr>
            <w:tcW w:type="dxa" w:w="4032"/>
          </w:tcPr>
          <w:p>
            <w:pPr>
              <w:spacing w:after="40" w:before="40"/>
            </w:pPr>
            <w:r/>
            <w:r>
              <w:rPr>
                <w:b w:val="0"/>
                <w:sz w:val="17"/>
              </w:rPr>
              <w:t>Falls inside the 335-day tail that the length cap excludes.</w:t>
            </w:r>
          </w:p>
        </w:tc>
      </w:tr>
    </w:tbl>
    <w:p>
      <w:pPr>
        <w:spacing w:after="40" w:before="0"/>
      </w:pPr>
    </w:p>
    <w:p>
      <w:pPr>
        <w:keepNext/>
        <w:spacing w:before="120" w:after="60"/>
        <w:jc w:val="center"/>
      </w:pPr>
      <w:r>
        <w:drawing>
          <wp:inline xmlns:a="http://schemas.openxmlformats.org/drawingml/2006/main" xmlns:pic="http://schemas.openxmlformats.org/drawingml/2006/picture">
            <wp:extent cx="6126480" cy="3060727"/>
            <wp:docPr id="4" name="Picture 4"/>
            <wp:cNvGraphicFramePr>
              <a:graphicFrameLocks noChangeAspect="1"/>
            </wp:cNvGraphicFramePr>
            <a:graphic>
              <a:graphicData uri="http://schemas.openxmlformats.org/drawingml/2006/picture">
                <pic:pic>
                  <pic:nvPicPr>
                    <pic:cNvPr id="0" name="fig01_record.png"/>
                    <pic:cNvPicPr/>
                  </pic:nvPicPr>
                  <pic:blipFill>
                    <a:blip r:embed="rId12"/>
                    <a:stretch>
                      <a:fillRect/>
                    </a:stretch>
                  </pic:blipFill>
                  <pic:spPr>
                    <a:xfrm>
                      <a:off x="0" y="0"/>
                      <a:ext cx="6126480" cy="3060727"/>
                    </a:xfrm>
                    <a:prstGeom prst="rect"/>
                  </pic:spPr>
                </pic:pic>
              </a:graphicData>
            </a:graphic>
          </wp:inline>
        </w:drawing>
      </w:r>
    </w:p>
    <w:p>
      <w:pPr>
        <w:spacing w:after="200"/>
        <w:jc w:val="center"/>
      </w:pPr>
      <w:r>
        <w:rPr>
          <w:i/>
          <w:color w:val="52514E"/>
          <w:sz w:val="18"/>
        </w:rPr>
        <w:t>Figure 4.  The full record with the chronological split marked. Training runs to October 2014 and the scored test block to January 2020.</w:t>
      </w:r>
    </w:p>
    <w:p>
      <w:pPr>
        <w:spacing w:after="140"/>
      </w:pPr>
      <w:r>
        <w:rPr>
          <w:b w:val="0"/>
          <w:sz w:val="21"/>
        </w:rPr>
        <w:t>Two properties of this target govern every result that follows, and Figure 5 shows both. First, the series is zero-inflated: three days in five record no rain at all. Second, the rainfall that does occur is concentrated in a small number of very large days — days above 5 in are 12.4% of the record but carry 79.6% of every inch ever recorded. A model fitted here must be right about a quantity that is usually exactly zero and occasionally enormous. Identifying this shape early is what made the later findings interpretable: most of the behaviour reported in Sections 5 to 9 follows directly from it.</w:t>
      </w:r>
    </w:p>
    <w:p>
      <w:pPr>
        <w:keepNext/>
        <w:spacing w:before="120" w:after="60"/>
        <w:jc w:val="center"/>
      </w:pPr>
      <w:r>
        <w:drawing>
          <wp:inline xmlns:a="http://schemas.openxmlformats.org/drawingml/2006/main" xmlns:pic="http://schemas.openxmlformats.org/drawingml/2006/picture">
            <wp:extent cx="6126480" cy="2737363"/>
            <wp:docPr id="5" name="Picture 5"/>
            <wp:cNvGraphicFramePr>
              <a:graphicFrameLocks noChangeAspect="1"/>
            </wp:cNvGraphicFramePr>
            <a:graphic>
              <a:graphicData uri="http://schemas.openxmlformats.org/drawingml/2006/picture">
                <pic:pic>
                  <pic:nvPicPr>
                    <pic:cNvPr id="0" name="fig02_distribution.png"/>
                    <pic:cNvPicPr/>
                  </pic:nvPicPr>
                  <pic:blipFill>
                    <a:blip r:embed="rId13"/>
                    <a:stretch>
                      <a:fillRect/>
                    </a:stretch>
                  </pic:blipFill>
                  <pic:spPr>
                    <a:xfrm>
                      <a:off x="0" y="0"/>
                      <a:ext cx="6126480" cy="2737363"/>
                    </a:xfrm>
                    <a:prstGeom prst="rect"/>
                  </pic:spPr>
                </pic:pic>
              </a:graphicData>
            </a:graphic>
          </wp:inline>
        </w:drawing>
      </w:r>
    </w:p>
    <w:p>
      <w:pPr>
        <w:spacing w:after="200"/>
        <w:jc w:val="center"/>
      </w:pPr>
      <w:r>
        <w:rPr>
          <w:i/>
          <w:color w:val="52514E"/>
          <w:sz w:val="18"/>
        </w:rPr>
        <w:t>Figure 5.  Where the days are, and where the rainfall is. Both panels use the same bands but measure different quantities, so each carries its own axis.</w:t>
      </w:r>
    </w:p>
    <w:p>
      <w:pPr>
        <w:pStyle w:val="Heading1"/>
      </w:pPr>
      <w:r>
        <w:t>3.  What the pipeline produced</w:t>
      </w:r>
    </w:p>
    <w:p>
      <w:pPr>
        <w:spacing w:after="140"/>
      </w:pPr>
      <w:r>
        <w:rPr>
          <w:b w:val="0"/>
          <w:sz w:val="21"/>
        </w:rPr>
        <w:t>Table 4 gives the one-day-ahead result for each component and for the ensemble, against a reproduced LSTM-only baseline run on the same record, split and preprocessing. The ensemble combines the two components with inverse-RMSE weights derived from a held-out validation slice: 0.483 on the LSTM and 0.517 on XGBoost.</w:t>
      </w:r>
    </w:p>
    <w:p>
      <w:pPr>
        <w:keepNext/>
        <w:spacing w:after="80"/>
      </w:pPr>
      <w:r>
        <w:rPr>
          <w:i/>
          <w:color w:val="52514E"/>
          <w:sz w:val="18"/>
        </w:rPr>
        <w:t>Table 4.  One-day-ahead test-set performance (models/v2_static). A negative value in the last column means lower error than the baseline. Bias is the mean signed error.</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2477"/>
            <w:shd w:val="clear" w:fill="E8EEF7"/>
          </w:tcPr>
          <w:p>
            <w:pPr>
              <w:spacing w:after="40" w:before="40"/>
            </w:pPr>
            <w:r/>
            <w:r>
              <w:rPr>
                <w:b/>
                <w:sz w:val="17"/>
              </w:rPr>
              <w:t>Model</w:t>
            </w:r>
          </w:p>
        </w:tc>
        <w:tc>
          <w:tcPr>
            <w:tcW w:type="dxa" w:w="893"/>
            <w:shd w:val="clear" w:fill="E8EEF7"/>
          </w:tcPr>
          <w:p>
            <w:pPr>
              <w:spacing w:after="40" w:before="40"/>
            </w:pPr>
            <w:r/>
            <w:r>
              <w:rPr>
                <w:b/>
                <w:sz w:val="17"/>
              </w:rPr>
              <w:t>RMSE</w:t>
            </w:r>
          </w:p>
        </w:tc>
        <w:tc>
          <w:tcPr>
            <w:tcW w:type="dxa" w:w="893"/>
            <w:shd w:val="clear" w:fill="E8EEF7"/>
          </w:tcPr>
          <w:p>
            <w:pPr>
              <w:spacing w:after="40" w:before="40"/>
            </w:pPr>
            <w:r/>
            <w:r>
              <w:rPr>
                <w:b/>
                <w:sz w:val="17"/>
              </w:rPr>
              <w:t>MAE</w:t>
            </w:r>
          </w:p>
        </w:tc>
        <w:tc>
          <w:tcPr>
            <w:tcW w:type="dxa" w:w="1008"/>
            <w:shd w:val="clear" w:fill="E8EEF7"/>
          </w:tcPr>
          <w:p>
            <w:pPr>
              <w:spacing w:after="40" w:before="40"/>
            </w:pPr>
            <w:r/>
            <w:r>
              <w:rPr>
                <w:b/>
                <w:sz w:val="17"/>
              </w:rPr>
              <w:t>MAPE (%)</w:t>
            </w:r>
          </w:p>
        </w:tc>
        <w:tc>
          <w:tcPr>
            <w:tcW w:type="dxa" w:w="893"/>
            <w:shd w:val="clear" w:fill="E8EEF7"/>
          </w:tcPr>
          <w:p>
            <w:pPr>
              <w:spacing w:after="40" w:before="40"/>
            </w:pPr>
            <w:r/>
            <w:r>
              <w:rPr>
                <w:b/>
                <w:sz w:val="17"/>
              </w:rPr>
              <w:t>R²</w:t>
            </w:r>
          </w:p>
        </w:tc>
        <w:tc>
          <w:tcPr>
            <w:tcW w:type="dxa" w:w="950"/>
            <w:shd w:val="clear" w:fill="E8EEF7"/>
          </w:tcPr>
          <w:p>
            <w:pPr>
              <w:spacing w:after="40" w:before="40"/>
            </w:pPr>
            <w:r/>
            <w:r>
              <w:rPr>
                <w:b/>
                <w:sz w:val="17"/>
              </w:rPr>
              <w:t>Pearson r</w:t>
            </w:r>
          </w:p>
        </w:tc>
        <w:tc>
          <w:tcPr>
            <w:tcW w:type="dxa" w:w="893"/>
            <w:shd w:val="clear" w:fill="E8EEF7"/>
          </w:tcPr>
          <w:p>
            <w:pPr>
              <w:spacing w:after="40" w:before="40"/>
            </w:pPr>
            <w:r/>
            <w:r>
              <w:rPr>
                <w:b/>
                <w:sz w:val="17"/>
              </w:rPr>
              <w:t>Bias</w:t>
            </w:r>
          </w:p>
        </w:tc>
        <w:tc>
          <w:tcPr>
            <w:tcW w:type="dxa" w:w="1210"/>
            <w:shd w:val="clear" w:fill="E8EEF7"/>
          </w:tcPr>
          <w:p>
            <w:pPr>
              <w:spacing w:after="40" w:before="40"/>
            </w:pPr>
            <w:r/>
            <w:r>
              <w:rPr>
                <w:b/>
                <w:sz w:val="17"/>
              </w:rPr>
              <w:t>vs. baseline</w:t>
            </w:r>
          </w:p>
        </w:tc>
      </w:tr>
      <w:tr>
        <w:tc>
          <w:tcPr>
            <w:tcW w:type="dxa" w:w="2477"/>
          </w:tcPr>
          <w:p>
            <w:pPr>
              <w:spacing w:after="40" w:before="40"/>
            </w:pPr>
            <w:r/>
            <w:r>
              <w:rPr>
                <w:b w:val="0"/>
                <w:sz w:val="17"/>
              </w:rPr>
              <w:t>Reproduced baseline (LSTM-only)</w:t>
            </w:r>
          </w:p>
        </w:tc>
        <w:tc>
          <w:tcPr>
            <w:tcW w:type="dxa" w:w="893"/>
          </w:tcPr>
          <w:p>
            <w:pPr>
              <w:spacing w:after="40" w:before="40"/>
            </w:pPr>
            <w:r/>
            <w:r>
              <w:rPr>
                <w:b w:val="0"/>
                <w:sz w:val="17"/>
              </w:rPr>
              <w:t>6.2009</w:t>
            </w:r>
          </w:p>
        </w:tc>
        <w:tc>
          <w:tcPr>
            <w:tcW w:type="dxa" w:w="893"/>
          </w:tcPr>
          <w:p>
            <w:pPr>
              <w:spacing w:after="40" w:before="40"/>
            </w:pPr>
            <w:r/>
            <w:r>
              <w:rPr>
                <w:b w:val="0"/>
                <w:sz w:val="17"/>
              </w:rPr>
              <w:t>2.3244</w:t>
            </w:r>
          </w:p>
        </w:tc>
        <w:tc>
          <w:tcPr>
            <w:tcW w:type="dxa" w:w="1008"/>
          </w:tcPr>
          <w:p>
            <w:pPr>
              <w:spacing w:after="40" w:before="40"/>
            </w:pPr>
            <w:r/>
            <w:r>
              <w:rPr>
                <w:b w:val="0"/>
                <w:sz w:val="17"/>
              </w:rPr>
              <w:t>81.10</w:t>
            </w:r>
          </w:p>
        </w:tc>
        <w:tc>
          <w:tcPr>
            <w:tcW w:type="dxa" w:w="893"/>
          </w:tcPr>
          <w:p>
            <w:pPr>
              <w:spacing w:after="40" w:before="40"/>
            </w:pPr>
            <w:r/>
            <w:r>
              <w:rPr>
                <w:b w:val="0"/>
                <w:sz w:val="17"/>
              </w:rPr>
              <w:t>—</w:t>
            </w:r>
          </w:p>
        </w:tc>
        <w:tc>
          <w:tcPr>
            <w:tcW w:type="dxa" w:w="950"/>
          </w:tcPr>
          <w:p>
            <w:pPr>
              <w:spacing w:after="40" w:before="40"/>
            </w:pPr>
            <w:r/>
            <w:r>
              <w:rPr>
                <w:b w:val="0"/>
                <w:sz w:val="17"/>
              </w:rPr>
              <w:t>—</w:t>
            </w:r>
          </w:p>
        </w:tc>
        <w:tc>
          <w:tcPr>
            <w:tcW w:type="dxa" w:w="893"/>
          </w:tcPr>
          <w:p>
            <w:pPr>
              <w:spacing w:after="40" w:before="40"/>
            </w:pPr>
            <w:r/>
            <w:r>
              <w:rPr>
                <w:b w:val="0"/>
                <w:sz w:val="17"/>
              </w:rPr>
              <w:t>—</w:t>
            </w:r>
          </w:p>
        </w:tc>
        <w:tc>
          <w:tcPr>
            <w:tcW w:type="dxa" w:w="1210"/>
          </w:tcPr>
          <w:p>
            <w:pPr>
              <w:spacing w:after="40" w:before="40"/>
            </w:pPr>
            <w:r/>
            <w:r>
              <w:rPr>
                <w:b w:val="0"/>
                <w:sz w:val="17"/>
              </w:rPr>
              <w:t>—</w:t>
            </w:r>
          </w:p>
        </w:tc>
      </w:tr>
      <w:tr>
        <w:tc>
          <w:tcPr>
            <w:tcW w:type="dxa" w:w="2477"/>
          </w:tcPr>
          <w:p>
            <w:pPr>
              <w:spacing w:after="40" w:before="40"/>
            </w:pPr>
            <w:r/>
            <w:r>
              <w:rPr>
                <w:b w:val="0"/>
                <w:sz w:val="17"/>
              </w:rPr>
              <w:t>LSTM (standalone)</w:t>
            </w:r>
          </w:p>
        </w:tc>
        <w:tc>
          <w:tcPr>
            <w:tcW w:type="dxa" w:w="893"/>
          </w:tcPr>
          <w:p>
            <w:pPr>
              <w:spacing w:after="40" w:before="40"/>
            </w:pPr>
            <w:r/>
            <w:r>
              <w:rPr>
                <w:b w:val="0"/>
                <w:sz w:val="17"/>
              </w:rPr>
              <w:t>5.9586</w:t>
            </w:r>
          </w:p>
        </w:tc>
        <w:tc>
          <w:tcPr>
            <w:tcW w:type="dxa" w:w="893"/>
          </w:tcPr>
          <w:p>
            <w:pPr>
              <w:spacing w:after="40" w:before="40"/>
            </w:pPr>
            <w:r/>
            <w:r>
              <w:rPr>
                <w:b/>
                <w:sz w:val="17"/>
              </w:rPr>
              <w:t>2.2724</w:t>
            </w:r>
          </w:p>
        </w:tc>
        <w:tc>
          <w:tcPr>
            <w:tcW w:type="dxa" w:w="1008"/>
          </w:tcPr>
          <w:p>
            <w:pPr>
              <w:spacing w:after="40" w:before="40"/>
            </w:pPr>
            <w:r/>
            <w:r>
              <w:rPr>
                <w:b w:val="0"/>
                <w:sz w:val="17"/>
              </w:rPr>
              <w:t>93.56</w:t>
            </w:r>
          </w:p>
        </w:tc>
        <w:tc>
          <w:tcPr>
            <w:tcW w:type="dxa" w:w="893"/>
          </w:tcPr>
          <w:p>
            <w:pPr>
              <w:spacing w:after="40" w:before="40"/>
            </w:pPr>
            <w:r/>
            <w:r>
              <w:rPr>
                <w:b w:val="0"/>
                <w:sz w:val="17"/>
              </w:rPr>
              <w:t>−0.157</w:t>
            </w:r>
          </w:p>
        </w:tc>
        <w:tc>
          <w:tcPr>
            <w:tcW w:type="dxa" w:w="950"/>
          </w:tcPr>
          <w:p>
            <w:pPr>
              <w:spacing w:after="40" w:before="40"/>
            </w:pPr>
            <w:r/>
            <w:r>
              <w:rPr>
                <w:b w:val="0"/>
                <w:sz w:val="17"/>
              </w:rPr>
              <w:t>−0.006</w:t>
            </w:r>
          </w:p>
        </w:tc>
        <w:tc>
          <w:tcPr>
            <w:tcW w:type="dxa" w:w="893"/>
          </w:tcPr>
          <w:p>
            <w:pPr>
              <w:spacing w:after="40" w:before="40"/>
            </w:pPr>
            <w:r/>
            <w:r>
              <w:rPr>
                <w:b w:val="0"/>
                <w:sz w:val="17"/>
              </w:rPr>
              <w:t>−2.195</w:t>
            </w:r>
          </w:p>
        </w:tc>
        <w:tc>
          <w:tcPr>
            <w:tcW w:type="dxa" w:w="1210"/>
          </w:tcPr>
          <w:p>
            <w:pPr>
              <w:spacing w:after="40" w:before="40"/>
            </w:pPr>
            <w:r/>
            <w:r>
              <w:rPr>
                <w:b w:val="0"/>
                <w:sz w:val="17"/>
              </w:rPr>
              <w:t>−3.9%</w:t>
            </w:r>
          </w:p>
        </w:tc>
      </w:tr>
      <w:tr>
        <w:tc>
          <w:tcPr>
            <w:tcW w:type="dxa" w:w="2477"/>
            <w:shd w:val="clear" w:fill="FFF4E0"/>
          </w:tcPr>
          <w:p>
            <w:pPr>
              <w:spacing w:after="40" w:before="40"/>
            </w:pPr>
            <w:r/>
            <w:r>
              <w:rPr>
                <w:b w:val="0"/>
                <w:sz w:val="17"/>
              </w:rPr>
              <w:t>XGBoost (standalone)</w:t>
            </w:r>
          </w:p>
        </w:tc>
        <w:tc>
          <w:tcPr>
            <w:tcW w:type="dxa" w:w="893"/>
            <w:shd w:val="clear" w:fill="FFF4E0"/>
          </w:tcPr>
          <w:p>
            <w:pPr>
              <w:spacing w:after="40" w:before="40"/>
            </w:pPr>
            <w:r/>
            <w:r>
              <w:rPr>
                <w:b/>
                <w:sz w:val="17"/>
              </w:rPr>
              <w:t>5.5320</w:t>
            </w:r>
          </w:p>
        </w:tc>
        <w:tc>
          <w:tcPr>
            <w:tcW w:type="dxa" w:w="893"/>
            <w:shd w:val="clear" w:fill="FFF4E0"/>
          </w:tcPr>
          <w:p>
            <w:pPr>
              <w:spacing w:after="40" w:before="40"/>
            </w:pPr>
            <w:r/>
            <w:r>
              <w:rPr>
                <w:b w:val="0"/>
                <w:sz w:val="17"/>
              </w:rPr>
              <w:t>3.1341</w:t>
            </w:r>
          </w:p>
        </w:tc>
        <w:tc>
          <w:tcPr>
            <w:tcW w:type="dxa" w:w="1008"/>
            <w:shd w:val="clear" w:fill="FFF4E0"/>
          </w:tcPr>
          <w:p>
            <w:pPr>
              <w:spacing w:after="40" w:before="40"/>
            </w:pPr>
            <w:r/>
            <w:r>
              <w:rPr>
                <w:b w:val="0"/>
                <w:sz w:val="17"/>
              </w:rPr>
              <w:t>176.85</w:t>
            </w:r>
          </w:p>
        </w:tc>
        <w:tc>
          <w:tcPr>
            <w:tcW w:type="dxa" w:w="893"/>
            <w:shd w:val="clear" w:fill="FFF4E0"/>
          </w:tcPr>
          <w:p>
            <w:pPr>
              <w:spacing w:after="40" w:before="40"/>
            </w:pPr>
            <w:r/>
            <w:r>
              <w:rPr>
                <w:b/>
                <w:sz w:val="17"/>
              </w:rPr>
              <w:t>0.003</w:t>
            </w:r>
          </w:p>
        </w:tc>
        <w:tc>
          <w:tcPr>
            <w:tcW w:type="dxa" w:w="950"/>
            <w:shd w:val="clear" w:fill="FFF4E0"/>
          </w:tcPr>
          <w:p>
            <w:pPr>
              <w:spacing w:after="40" w:before="40"/>
            </w:pPr>
            <w:r/>
            <w:r>
              <w:rPr>
                <w:b w:val="0"/>
                <w:sz w:val="17"/>
              </w:rPr>
              <w:t>0.056</w:t>
            </w:r>
          </w:p>
        </w:tc>
        <w:tc>
          <w:tcPr>
            <w:tcW w:type="dxa" w:w="893"/>
            <w:shd w:val="clear" w:fill="FFF4E0"/>
          </w:tcPr>
          <w:p>
            <w:pPr>
              <w:spacing w:after="40" w:before="40"/>
            </w:pPr>
            <w:r/>
            <w:r>
              <w:rPr>
                <w:b/>
                <w:sz w:val="17"/>
              </w:rPr>
              <w:t>−0.093</w:t>
            </w:r>
          </w:p>
        </w:tc>
        <w:tc>
          <w:tcPr>
            <w:tcW w:type="dxa" w:w="1210"/>
            <w:shd w:val="clear" w:fill="FFF4E0"/>
          </w:tcPr>
          <w:p>
            <w:pPr>
              <w:spacing w:after="40" w:before="40"/>
            </w:pPr>
            <w:r/>
            <w:r>
              <w:rPr>
                <w:b/>
                <w:sz w:val="17"/>
              </w:rPr>
              <w:t>−10.8%</w:t>
            </w:r>
          </w:p>
        </w:tc>
      </w:tr>
      <w:tr>
        <w:tc>
          <w:tcPr>
            <w:tcW w:type="dxa" w:w="2477"/>
          </w:tcPr>
          <w:p>
            <w:pPr>
              <w:spacing w:after="40" w:before="40"/>
            </w:pPr>
            <w:r/>
            <w:r>
              <w:rPr>
                <w:b w:val="0"/>
                <w:sz w:val="17"/>
              </w:rPr>
              <w:t>Ensemble (inverse-RMSE)</w:t>
            </w:r>
          </w:p>
        </w:tc>
        <w:tc>
          <w:tcPr>
            <w:tcW w:type="dxa" w:w="893"/>
          </w:tcPr>
          <w:p>
            <w:pPr>
              <w:spacing w:after="40" w:before="40"/>
            </w:pPr>
            <w:r/>
            <w:r>
              <w:rPr>
                <w:b w:val="0"/>
                <w:sz w:val="17"/>
              </w:rPr>
              <w:t>5.6419</w:t>
            </w:r>
          </w:p>
        </w:tc>
        <w:tc>
          <w:tcPr>
            <w:tcW w:type="dxa" w:w="893"/>
          </w:tcPr>
          <w:p>
            <w:pPr>
              <w:spacing w:after="40" w:before="40"/>
            </w:pPr>
            <w:r/>
            <w:r>
              <w:rPr>
                <w:b w:val="0"/>
                <w:sz w:val="17"/>
              </w:rPr>
              <w:t>2.6107</w:t>
            </w:r>
          </w:p>
        </w:tc>
        <w:tc>
          <w:tcPr>
            <w:tcW w:type="dxa" w:w="1008"/>
          </w:tcPr>
          <w:p>
            <w:pPr>
              <w:spacing w:after="40" w:before="40"/>
            </w:pPr>
            <w:r/>
            <w:r>
              <w:rPr>
                <w:b w:val="0"/>
                <w:sz w:val="17"/>
              </w:rPr>
              <w:t>101.51</w:t>
            </w:r>
          </w:p>
        </w:tc>
        <w:tc>
          <w:tcPr>
            <w:tcW w:type="dxa" w:w="893"/>
          </w:tcPr>
          <w:p>
            <w:pPr>
              <w:spacing w:after="40" w:before="40"/>
            </w:pPr>
            <w:r/>
            <w:r>
              <w:rPr>
                <w:b w:val="0"/>
                <w:sz w:val="17"/>
              </w:rPr>
              <w:t>−0.037</w:t>
            </w:r>
          </w:p>
        </w:tc>
        <w:tc>
          <w:tcPr>
            <w:tcW w:type="dxa" w:w="950"/>
          </w:tcPr>
          <w:p>
            <w:pPr>
              <w:spacing w:after="40" w:before="40"/>
            </w:pPr>
            <w:r/>
            <w:r>
              <w:rPr>
                <w:b w:val="0"/>
                <w:sz w:val="17"/>
              </w:rPr>
              <w:t>0.056</w:t>
            </w:r>
          </w:p>
        </w:tc>
        <w:tc>
          <w:tcPr>
            <w:tcW w:type="dxa" w:w="893"/>
          </w:tcPr>
          <w:p>
            <w:pPr>
              <w:spacing w:after="40" w:before="40"/>
            </w:pPr>
            <w:r/>
            <w:r>
              <w:rPr>
                <w:b w:val="0"/>
                <w:sz w:val="17"/>
              </w:rPr>
              <w:t>−1.107</w:t>
            </w:r>
          </w:p>
        </w:tc>
        <w:tc>
          <w:tcPr>
            <w:tcW w:type="dxa" w:w="1210"/>
          </w:tcPr>
          <w:p>
            <w:pPr>
              <w:spacing w:after="40" w:before="40"/>
            </w:pPr>
            <w:r/>
            <w:r>
              <w:rPr>
                <w:b w:val="0"/>
                <w:sz w:val="17"/>
              </w:rPr>
              <w:t>−9.0%</w:t>
            </w:r>
          </w:p>
        </w:tc>
      </w:tr>
    </w:tbl>
    <w:p>
      <w:pPr>
        <w:spacing w:after="40" w:before="0"/>
      </w:pPr>
    </w:p>
    <w:p>
      <w:pPr>
        <w:spacing w:after="140"/>
      </w:pPr>
      <w:r>
        <w:rPr>
          <w:b w:val="0"/>
          <w:sz w:val="21"/>
        </w:rPr>
        <w:t>Three things are worth drawing out. All three models beat the reproduced baseline on RMSE, by 3.9%, 10.8% and 9.0% respectively. The two components have clearly different strengths — the LSTM has the lowest MAE of the three and XGBoost has by far the lowest bias and the only non-negative R² — which is exactly the complementarity an ensemble exists to exploit, and Section 9 shows it is real and measurable. And the ensemble sits between its components on every metric, which is the behaviour a convex average is mathematically obliged to produce. That last observation is the thread the study follows to its main design conclusion.</w:t>
      </w:r>
    </w:p>
    <w:p>
      <w:pPr>
        <w:pStyle w:val="Heading1"/>
      </w:pPr>
      <w:r>
        <w:t>4.  The geometry of the transformed target</w:t>
      </w:r>
    </w:p>
    <w:p>
      <w:pPr>
        <w:spacing w:after="140"/>
      </w:pPr>
      <w:r>
        <w:rPr>
          <w:b w:val="0"/>
          <w:sz w:val="21"/>
        </w:rPr>
        <w:t>Both components are trained on boxcox(PRCP + 1, λ), with λ estimated on the training portion only and applied unchanged to the rest of the series. The estimate is λ = −1.4387. Because λ is strongly negative, the transform is bounded above: as rainfall grows without limit the transformed value approaches the finite asymptote −1/λ = 0.695. The models therefore do not optimise on inches of rain; they optimise inside a fixed interval of width 0.695. Table 5 shows how the rainfall scale maps into it.</w:t>
      </w:r>
    </w:p>
    <w:p>
      <w:pPr>
        <w:keepNext/>
        <w:spacing w:after="80"/>
      </w:pPr>
      <w:r>
        <w:rPr>
          <w:i/>
          <w:color w:val="52514E"/>
          <w:sz w:val="18"/>
        </w:rPr>
        <w:t>Table 5.  How the rainfall scale maps into the bounded Box-Cox range (diagnostic section D1). The upper asymptote is 0.695.</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E8EEF7"/>
          </w:tcPr>
          <w:p>
            <w:pPr>
              <w:spacing w:after="40" w:before="40"/>
            </w:pPr>
            <w:r/>
            <w:r>
              <w:rPr>
                <w:b/>
                <w:sz w:val="17"/>
              </w:rPr>
              <w:t>Actual precipitation (in)</w:t>
            </w:r>
          </w:p>
        </w:tc>
        <w:tc>
          <w:tcPr>
            <w:tcW w:type="dxa" w:w="3168"/>
            <w:shd w:val="clear" w:fill="E8EEF7"/>
          </w:tcPr>
          <w:p>
            <w:pPr>
              <w:spacing w:after="40" w:before="40"/>
            </w:pPr>
            <w:r/>
            <w:r>
              <w:rPr>
                <w:b/>
                <w:sz w:val="17"/>
              </w:rPr>
              <w:t>Box-Cox value</w:t>
            </w:r>
          </w:p>
        </w:tc>
        <w:tc>
          <w:tcPr>
            <w:tcW w:type="dxa" w:w="3312"/>
            <w:shd w:val="clear" w:fill="E8EEF7"/>
          </w:tcPr>
          <w:p>
            <w:pPr>
              <w:spacing w:after="40" w:before="40"/>
            </w:pPr>
            <w:r/>
            <w:r>
              <w:rPr>
                <w:b/>
                <w:sz w:val="17"/>
              </w:rPr>
              <w:t>% of the full transformed range</w:t>
            </w:r>
          </w:p>
        </w:tc>
      </w:tr>
      <w:tr>
        <w:tc>
          <w:tcPr>
            <w:tcW w:type="dxa" w:w="3168"/>
          </w:tcPr>
          <w:p>
            <w:pPr>
              <w:spacing w:after="40" w:before="40"/>
            </w:pPr>
            <w:r/>
            <w:r>
              <w:rPr>
                <w:b w:val="0"/>
                <w:sz w:val="17"/>
              </w:rPr>
              <w:t>0.0</w:t>
            </w:r>
          </w:p>
        </w:tc>
        <w:tc>
          <w:tcPr>
            <w:tcW w:type="dxa" w:w="3168"/>
          </w:tcPr>
          <w:p>
            <w:pPr>
              <w:spacing w:after="40" w:before="40"/>
            </w:pPr>
            <w:r/>
            <w:r>
              <w:rPr>
                <w:b w:val="0"/>
                <w:sz w:val="17"/>
              </w:rPr>
              <w:t>0.000</w:t>
            </w:r>
          </w:p>
        </w:tc>
        <w:tc>
          <w:tcPr>
            <w:tcW w:type="dxa" w:w="3312"/>
          </w:tcPr>
          <w:p>
            <w:pPr>
              <w:spacing w:after="40" w:before="40"/>
            </w:pPr>
            <w:r/>
            <w:r>
              <w:rPr>
                <w:b w:val="0"/>
                <w:sz w:val="17"/>
              </w:rPr>
              <w:t>0.0%</w:t>
            </w:r>
          </w:p>
        </w:tc>
      </w:tr>
      <w:tr>
        <w:tc>
          <w:tcPr>
            <w:tcW w:type="dxa" w:w="3168"/>
          </w:tcPr>
          <w:p>
            <w:pPr>
              <w:spacing w:after="40" w:before="40"/>
            </w:pPr>
            <w:r/>
            <w:r>
              <w:rPr>
                <w:b w:val="0"/>
                <w:sz w:val="17"/>
              </w:rPr>
              <w:t>0.1</w:t>
            </w:r>
          </w:p>
        </w:tc>
        <w:tc>
          <w:tcPr>
            <w:tcW w:type="dxa" w:w="3168"/>
          </w:tcPr>
          <w:p>
            <w:pPr>
              <w:spacing w:after="40" w:before="40"/>
            </w:pPr>
            <w:r/>
            <w:r>
              <w:rPr>
                <w:b w:val="0"/>
                <w:sz w:val="17"/>
              </w:rPr>
              <w:t>0.089</w:t>
            </w:r>
          </w:p>
        </w:tc>
        <w:tc>
          <w:tcPr>
            <w:tcW w:type="dxa" w:w="3312"/>
          </w:tcPr>
          <w:p>
            <w:pPr>
              <w:spacing w:after="40" w:before="40"/>
            </w:pPr>
            <w:r/>
            <w:r>
              <w:rPr>
                <w:b w:val="0"/>
                <w:sz w:val="17"/>
              </w:rPr>
              <w:t>12.8%</w:t>
            </w:r>
          </w:p>
        </w:tc>
      </w:tr>
      <w:tr>
        <w:tc>
          <w:tcPr>
            <w:tcW w:type="dxa" w:w="3168"/>
          </w:tcPr>
          <w:p>
            <w:pPr>
              <w:spacing w:after="40" w:before="40"/>
            </w:pPr>
            <w:r/>
            <w:r>
              <w:rPr>
                <w:b w:val="0"/>
                <w:sz w:val="17"/>
              </w:rPr>
              <w:t>0.2</w:t>
            </w:r>
          </w:p>
        </w:tc>
        <w:tc>
          <w:tcPr>
            <w:tcW w:type="dxa" w:w="3168"/>
          </w:tcPr>
          <w:p>
            <w:pPr>
              <w:spacing w:after="40" w:before="40"/>
            </w:pPr>
            <w:r/>
            <w:r>
              <w:rPr>
                <w:b w:val="0"/>
                <w:sz w:val="17"/>
              </w:rPr>
              <w:t>0.160</w:t>
            </w:r>
          </w:p>
        </w:tc>
        <w:tc>
          <w:tcPr>
            <w:tcW w:type="dxa" w:w="3312"/>
          </w:tcPr>
          <w:p>
            <w:pPr>
              <w:spacing w:after="40" w:before="40"/>
            </w:pPr>
            <w:r/>
            <w:r>
              <w:rPr>
                <w:b w:val="0"/>
                <w:sz w:val="17"/>
              </w:rPr>
              <w:t>23.1%</w:t>
            </w:r>
          </w:p>
        </w:tc>
      </w:tr>
      <w:tr>
        <w:tc>
          <w:tcPr>
            <w:tcW w:type="dxa" w:w="3168"/>
          </w:tcPr>
          <w:p>
            <w:pPr>
              <w:spacing w:after="40" w:before="40"/>
            </w:pPr>
            <w:r/>
            <w:r>
              <w:rPr>
                <w:b w:val="0"/>
                <w:sz w:val="17"/>
              </w:rPr>
              <w:t>0.5</w:t>
            </w:r>
          </w:p>
        </w:tc>
        <w:tc>
          <w:tcPr>
            <w:tcW w:type="dxa" w:w="3168"/>
          </w:tcPr>
          <w:p>
            <w:pPr>
              <w:spacing w:after="40" w:before="40"/>
            </w:pPr>
            <w:r/>
            <w:r>
              <w:rPr>
                <w:b w:val="0"/>
                <w:sz w:val="17"/>
              </w:rPr>
              <w:t>0.307</w:t>
            </w:r>
          </w:p>
        </w:tc>
        <w:tc>
          <w:tcPr>
            <w:tcW w:type="dxa" w:w="3312"/>
          </w:tcPr>
          <w:p>
            <w:pPr>
              <w:spacing w:after="40" w:before="40"/>
            </w:pPr>
            <w:r/>
            <w:r>
              <w:rPr>
                <w:b w:val="0"/>
                <w:sz w:val="17"/>
              </w:rPr>
              <w:t>44.2%</w:t>
            </w:r>
          </w:p>
        </w:tc>
      </w:tr>
      <w:tr>
        <w:tc>
          <w:tcPr>
            <w:tcW w:type="dxa" w:w="3168"/>
          </w:tcPr>
          <w:p>
            <w:pPr>
              <w:spacing w:after="40" w:before="40"/>
            </w:pPr>
            <w:r/>
            <w:r>
              <w:rPr>
                <w:b w:val="0"/>
                <w:sz w:val="17"/>
              </w:rPr>
              <w:t>1.3</w:t>
            </w:r>
          </w:p>
        </w:tc>
        <w:tc>
          <w:tcPr>
            <w:tcW w:type="dxa" w:w="3168"/>
          </w:tcPr>
          <w:p>
            <w:pPr>
              <w:spacing w:after="40" w:before="40"/>
            </w:pPr>
            <w:r/>
            <w:r>
              <w:rPr>
                <w:b w:val="0"/>
                <w:sz w:val="17"/>
              </w:rPr>
              <w:t>0.485</w:t>
            </w:r>
          </w:p>
        </w:tc>
        <w:tc>
          <w:tcPr>
            <w:tcW w:type="dxa" w:w="3312"/>
          </w:tcPr>
          <w:p>
            <w:pPr>
              <w:spacing w:after="40" w:before="40"/>
            </w:pPr>
            <w:r/>
            <w:r>
              <w:rPr>
                <w:b w:val="0"/>
                <w:sz w:val="17"/>
              </w:rPr>
              <w:t>69.8%</w:t>
            </w:r>
          </w:p>
        </w:tc>
      </w:tr>
      <w:tr>
        <w:tc>
          <w:tcPr>
            <w:tcW w:type="dxa" w:w="3168"/>
          </w:tcPr>
          <w:p>
            <w:pPr>
              <w:spacing w:after="40" w:before="40"/>
            </w:pPr>
            <w:r/>
            <w:r>
              <w:rPr>
                <w:b w:val="0"/>
                <w:sz w:val="17"/>
              </w:rPr>
              <w:t>2.5</w:t>
            </w:r>
          </w:p>
        </w:tc>
        <w:tc>
          <w:tcPr>
            <w:tcW w:type="dxa" w:w="3168"/>
          </w:tcPr>
          <w:p>
            <w:pPr>
              <w:spacing w:after="40" w:before="40"/>
            </w:pPr>
            <w:r/>
            <w:r>
              <w:rPr>
                <w:b w:val="0"/>
                <w:sz w:val="17"/>
              </w:rPr>
              <w:t>0.580</w:t>
            </w:r>
          </w:p>
        </w:tc>
        <w:tc>
          <w:tcPr>
            <w:tcW w:type="dxa" w:w="3312"/>
          </w:tcPr>
          <w:p>
            <w:pPr>
              <w:spacing w:after="40" w:before="40"/>
            </w:pPr>
            <w:r/>
            <w:r>
              <w:rPr>
                <w:b w:val="0"/>
                <w:sz w:val="17"/>
              </w:rPr>
              <w:t>83.5%</w:t>
            </w:r>
          </w:p>
        </w:tc>
      </w:tr>
      <w:tr>
        <w:tc>
          <w:tcPr>
            <w:tcW w:type="dxa" w:w="3168"/>
          </w:tcPr>
          <w:p>
            <w:pPr>
              <w:spacing w:after="40" w:before="40"/>
            </w:pPr>
            <w:r/>
            <w:r>
              <w:rPr>
                <w:b w:val="0"/>
                <w:sz w:val="17"/>
              </w:rPr>
              <w:t>3.3</w:t>
            </w:r>
          </w:p>
        </w:tc>
        <w:tc>
          <w:tcPr>
            <w:tcW w:type="dxa" w:w="3168"/>
          </w:tcPr>
          <w:p>
            <w:pPr>
              <w:spacing w:after="40" w:before="40"/>
            </w:pPr>
            <w:r/>
            <w:r>
              <w:rPr>
                <w:b w:val="0"/>
                <w:sz w:val="17"/>
              </w:rPr>
              <w:t>0.610</w:t>
            </w:r>
          </w:p>
        </w:tc>
        <w:tc>
          <w:tcPr>
            <w:tcW w:type="dxa" w:w="3312"/>
          </w:tcPr>
          <w:p>
            <w:pPr>
              <w:spacing w:after="40" w:before="40"/>
            </w:pPr>
            <w:r/>
            <w:r>
              <w:rPr>
                <w:b w:val="0"/>
                <w:sz w:val="17"/>
              </w:rPr>
              <w:t>87.7%</w:t>
            </w:r>
          </w:p>
        </w:tc>
      </w:tr>
      <w:tr>
        <w:tc>
          <w:tcPr>
            <w:tcW w:type="dxa" w:w="3168"/>
          </w:tcPr>
          <w:p>
            <w:pPr>
              <w:spacing w:after="40" w:before="40"/>
            </w:pPr>
            <w:r/>
            <w:r>
              <w:rPr>
                <w:b w:val="0"/>
                <w:sz w:val="17"/>
              </w:rPr>
              <w:t>6.6</w:t>
            </w:r>
          </w:p>
        </w:tc>
        <w:tc>
          <w:tcPr>
            <w:tcW w:type="dxa" w:w="3168"/>
          </w:tcPr>
          <w:p>
            <w:pPr>
              <w:spacing w:after="40" w:before="40"/>
            </w:pPr>
            <w:r/>
            <w:r>
              <w:rPr>
                <w:b w:val="0"/>
                <w:sz w:val="17"/>
              </w:rPr>
              <w:t>0.658</w:t>
            </w:r>
          </w:p>
        </w:tc>
        <w:tc>
          <w:tcPr>
            <w:tcW w:type="dxa" w:w="3312"/>
          </w:tcPr>
          <w:p>
            <w:pPr>
              <w:spacing w:after="40" w:before="40"/>
            </w:pPr>
            <w:r/>
            <w:r>
              <w:rPr>
                <w:b w:val="0"/>
                <w:sz w:val="17"/>
              </w:rPr>
              <w:t>94.6%</w:t>
            </w:r>
          </w:p>
        </w:tc>
      </w:tr>
      <w:tr>
        <w:tc>
          <w:tcPr>
            <w:tcW w:type="dxa" w:w="3168"/>
          </w:tcPr>
          <w:p>
            <w:pPr>
              <w:spacing w:after="40" w:before="40"/>
            </w:pPr>
            <w:r/>
            <w:r>
              <w:rPr>
                <w:b w:val="0"/>
                <w:sz w:val="17"/>
              </w:rPr>
              <w:t>12.2</w:t>
            </w:r>
          </w:p>
        </w:tc>
        <w:tc>
          <w:tcPr>
            <w:tcW w:type="dxa" w:w="3168"/>
          </w:tcPr>
          <w:p>
            <w:pPr>
              <w:spacing w:after="40" w:before="40"/>
            </w:pPr>
            <w:r/>
            <w:r>
              <w:rPr>
                <w:b w:val="0"/>
                <w:sz w:val="17"/>
              </w:rPr>
              <w:t>0.678</w:t>
            </w:r>
          </w:p>
        </w:tc>
        <w:tc>
          <w:tcPr>
            <w:tcW w:type="dxa" w:w="3312"/>
          </w:tcPr>
          <w:p>
            <w:pPr>
              <w:spacing w:after="40" w:before="40"/>
            </w:pPr>
            <w:r/>
            <w:r>
              <w:rPr>
                <w:b w:val="0"/>
                <w:sz w:val="17"/>
              </w:rPr>
              <w:t>97.6%</w:t>
            </w:r>
          </w:p>
        </w:tc>
      </w:tr>
      <w:tr>
        <w:tc>
          <w:tcPr>
            <w:tcW w:type="dxa" w:w="3168"/>
          </w:tcPr>
          <w:p>
            <w:pPr>
              <w:spacing w:after="40" w:before="40"/>
            </w:pPr>
            <w:r/>
            <w:r>
              <w:rPr>
                <w:b w:val="0"/>
                <w:sz w:val="17"/>
              </w:rPr>
              <w:t>25.9</w:t>
            </w:r>
          </w:p>
        </w:tc>
        <w:tc>
          <w:tcPr>
            <w:tcW w:type="dxa" w:w="3168"/>
          </w:tcPr>
          <w:p>
            <w:pPr>
              <w:spacing w:after="40" w:before="40"/>
            </w:pPr>
            <w:r/>
            <w:r>
              <w:rPr>
                <w:b w:val="0"/>
                <w:sz w:val="17"/>
              </w:rPr>
              <w:t>0.689</w:t>
            </w:r>
          </w:p>
        </w:tc>
        <w:tc>
          <w:tcPr>
            <w:tcW w:type="dxa" w:w="3312"/>
          </w:tcPr>
          <w:p>
            <w:pPr>
              <w:spacing w:after="40" w:before="40"/>
            </w:pPr>
            <w:r/>
            <w:r>
              <w:rPr>
                <w:b w:val="0"/>
                <w:sz w:val="17"/>
              </w:rPr>
              <w:t>99.1%</w:t>
            </w:r>
          </w:p>
        </w:tc>
      </w:tr>
      <w:tr>
        <w:tc>
          <w:tcPr>
            <w:tcW w:type="dxa" w:w="3168"/>
          </w:tcPr>
          <w:p>
            <w:pPr>
              <w:spacing w:after="40" w:before="40"/>
            </w:pPr>
            <w:r/>
            <w:r>
              <w:rPr>
                <w:b w:val="0"/>
                <w:sz w:val="17"/>
              </w:rPr>
              <w:t>47.7</w:t>
            </w:r>
          </w:p>
        </w:tc>
        <w:tc>
          <w:tcPr>
            <w:tcW w:type="dxa" w:w="3168"/>
          </w:tcPr>
          <w:p>
            <w:pPr>
              <w:spacing w:after="40" w:before="40"/>
            </w:pPr>
            <w:r/>
            <w:r>
              <w:rPr>
                <w:b w:val="0"/>
                <w:sz w:val="17"/>
              </w:rPr>
              <w:t>0.693</w:t>
            </w:r>
          </w:p>
        </w:tc>
        <w:tc>
          <w:tcPr>
            <w:tcW w:type="dxa" w:w="3312"/>
          </w:tcPr>
          <w:p>
            <w:pPr>
              <w:spacing w:after="40" w:before="40"/>
            </w:pPr>
            <w:r/>
            <w:r>
              <w:rPr>
                <w:b w:val="0"/>
                <w:sz w:val="17"/>
              </w:rPr>
              <w:t>99.6%</w:t>
            </w:r>
          </w:p>
        </w:tc>
      </w:tr>
      <w:tr>
        <w:tc>
          <w:tcPr>
            <w:tcW w:type="dxa" w:w="3168"/>
          </w:tcPr>
          <w:p>
            <w:pPr>
              <w:spacing w:after="40" w:before="40"/>
            </w:pPr>
            <w:r/>
            <w:r>
              <w:rPr>
                <w:b w:val="0"/>
                <w:sz w:val="17"/>
              </w:rPr>
              <w:t>91.2</w:t>
            </w:r>
          </w:p>
        </w:tc>
        <w:tc>
          <w:tcPr>
            <w:tcW w:type="dxa" w:w="3168"/>
          </w:tcPr>
          <w:p>
            <w:pPr>
              <w:spacing w:after="40" w:before="40"/>
            </w:pPr>
            <w:r/>
            <w:r>
              <w:rPr>
                <w:b w:val="0"/>
                <w:sz w:val="17"/>
              </w:rPr>
              <w:t>0.694</w:t>
            </w:r>
          </w:p>
        </w:tc>
        <w:tc>
          <w:tcPr>
            <w:tcW w:type="dxa" w:w="3312"/>
          </w:tcPr>
          <w:p>
            <w:pPr>
              <w:spacing w:after="40" w:before="40"/>
            </w:pPr>
            <w:r/>
            <w:r>
              <w:rPr>
                <w:b w:val="0"/>
                <w:sz w:val="17"/>
              </w:rPr>
              <w:t>99.9%</w:t>
            </w:r>
          </w:p>
        </w:tc>
      </w:tr>
    </w:tbl>
    <w:p>
      <w:pPr>
        <w:spacing w:after="40" w:before="0"/>
      </w:pPr>
    </w:p>
    <w:p>
      <w:pPr>
        <w:keepNext/>
        <w:spacing w:before="120" w:after="60"/>
        <w:jc w:val="center"/>
      </w:pPr>
      <w:r>
        <w:drawing>
          <wp:inline xmlns:a="http://schemas.openxmlformats.org/drawingml/2006/main" xmlns:pic="http://schemas.openxmlformats.org/drawingml/2006/picture">
            <wp:extent cx="6126480" cy="3568623"/>
            <wp:docPr id="6" name="Picture 6"/>
            <wp:cNvGraphicFramePr>
              <a:graphicFrameLocks noChangeAspect="1"/>
            </wp:cNvGraphicFramePr>
            <a:graphic>
              <a:graphicData uri="http://schemas.openxmlformats.org/drawingml/2006/picture">
                <pic:pic>
                  <pic:nvPicPr>
                    <pic:cNvPr id="0" name="fig05_boxcox_curve.png"/>
                    <pic:cNvPicPr/>
                  </pic:nvPicPr>
                  <pic:blipFill>
                    <a:blip r:embed="rId14"/>
                    <a:stretch>
                      <a:fillRect/>
                    </a:stretch>
                  </pic:blipFill>
                  <pic:spPr>
                    <a:xfrm>
                      <a:off x="0" y="0"/>
                      <a:ext cx="6126480" cy="3568623"/>
                    </a:xfrm>
                    <a:prstGeom prst="rect"/>
                  </pic:spPr>
                </pic:pic>
              </a:graphicData>
            </a:graphic>
          </wp:inline>
        </w:drawing>
      </w:r>
    </w:p>
    <w:p>
      <w:pPr>
        <w:spacing w:after="200"/>
        <w:jc w:val="center"/>
      </w:pPr>
      <w:r>
        <w:rPr>
          <w:i/>
          <w:color w:val="52514E"/>
          <w:sz w:val="18"/>
        </w:rPr>
        <w:t>Figure 6.  The fitted transform. The curve is almost flat above about 6 in, which is where most of the rainfall volume in Figure 5 actually lives.</w:t>
      </w:r>
    </w:p>
    <w:p>
      <w:pPr>
        <w:keepNext/>
        <w:spacing w:before="120" w:after="60"/>
        <w:jc w:val="center"/>
      </w:pPr>
      <w:r>
        <w:drawing>
          <wp:inline xmlns:a="http://schemas.openxmlformats.org/drawingml/2006/main" xmlns:pic="http://schemas.openxmlformats.org/drawingml/2006/picture">
            <wp:extent cx="6126480" cy="2902571"/>
            <wp:docPr id="7" name="Picture 7"/>
            <wp:cNvGraphicFramePr>
              <a:graphicFrameLocks noChangeAspect="1"/>
            </wp:cNvGraphicFramePr>
            <a:graphic>
              <a:graphicData uri="http://schemas.openxmlformats.org/drawingml/2006/picture">
                <pic:pic>
                  <pic:nvPicPr>
                    <pic:cNvPr id="0" name="fig06_range_budget.png"/>
                    <pic:cNvPicPr/>
                  </pic:nvPicPr>
                  <pic:blipFill>
                    <a:blip r:embed="rId15"/>
                    <a:stretch>
                      <a:fillRect/>
                    </a:stretch>
                  </pic:blipFill>
                  <pic:spPr>
                    <a:xfrm>
                      <a:off x="0" y="0"/>
                      <a:ext cx="6126480" cy="2902571"/>
                    </a:xfrm>
                    <a:prstGeom prst="rect"/>
                  </pic:spPr>
                </pic:pic>
              </a:graphicData>
            </a:graphic>
          </wp:inline>
        </w:drawing>
      </w:r>
    </w:p>
    <w:p>
      <w:pPr>
        <w:spacing w:after="200"/>
        <w:jc w:val="center"/>
      </w:pPr>
      <w:r>
        <w:rPr>
          <w:i/>
          <w:color w:val="52514E"/>
          <w:sz w:val="18"/>
        </w:rPr>
        <w:t>Figure 7.  The same information as a budget. Rain from 0 to 1.3 in consumes about 70% of the interval the models optimise in; everything from 6.6 in to the record 91.2 in shares 5.3%.</w:t>
      </w:r>
    </w:p>
    <w:p>
      <w:pPr>
        <w:spacing w:after="140"/>
      </w:pPr>
      <w:r>
        <w:rPr>
          <w:b w:val="0"/>
          <w:sz w:val="21"/>
        </w:rPr>
        <w:t>The consequence is structural rather than incidental. In this space a 2.5-inch storm and an 80-inch storm are nearly the same number, so a regressor minimising squared or Huber loss has little to gain by telling them apart, and mapping back to inches compresses the predictive range into a narrow low band. On the test set XGBoost predicts inside [1.241, 4.354] in while the observed values span [0.000, 80.300] in.</w:t>
      </w:r>
    </w:p>
    <w:p>
      <w:pPr>
        <w:spacing w:after="140"/>
      </w:pPr>
      <w:r>
        <w:rPr>
          <w:b w:val="0"/>
          <w:sz w:val="21"/>
        </w:rPr>
        <w:t>It would be a mistake to read this only as a defect. The same compression is what holds RMSE down: a bounded target keeps the loss from being dominated by a handful of extreme days, and a supplementary sweep confirmed the point directly — replacing this λ with unbounded alternatives (log, quarter-power, near-identity) made the forecast move substantially more, but it moved without reference to the outcome, and every magnitude metric degraded sharply. The transform is therefore doing useful work, and the finding is that it trades discrimination for stability rather than simply harming the model.</w:t>
      </w:r>
    </w:p>
    <w:p>
      <w:pPr>
        <w:pStyle w:val="Heading1"/>
      </w:pPr>
      <w:r>
        <w:t>5.  The components converge to the conditional mean</w:t>
      </w:r>
    </w:p>
    <w:p>
      <w:pPr>
        <w:spacing w:after="140"/>
      </w:pPr>
      <w:r>
        <w:rPr>
          <w:b w:val="0"/>
          <w:sz w:val="21"/>
        </w:rPr>
        <w:t>The natural first hypothesis for a forecast that misses rain days is that the tree ensemble has memorised the training distribution. Table 6 tests that directly, and rules it out.</w:t>
      </w:r>
    </w:p>
    <w:p>
      <w:pPr>
        <w:keepNext/>
        <w:spacing w:after="80"/>
      </w:pPr>
      <w:r>
        <w:rPr>
          <w:i/>
          <w:color w:val="52514E"/>
          <w:sz w:val="18"/>
        </w:rPr>
        <w:t>Table 6.  Split-wise diagnostics for XGBoost, all values in original units (diagnostic section D2).</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736"/>
            <w:shd w:val="clear" w:fill="E8EEF7"/>
          </w:tcPr>
          <w:p>
            <w:pPr>
              <w:spacing w:after="40" w:before="40"/>
            </w:pPr>
            <w:r/>
            <w:r>
              <w:rPr>
                <w:b/>
                <w:sz w:val="17"/>
              </w:rPr>
              <w:t>Split</w:t>
            </w:r>
          </w:p>
        </w:tc>
        <w:tc>
          <w:tcPr>
            <w:tcW w:type="dxa" w:w="1037"/>
            <w:shd w:val="clear" w:fill="E8EEF7"/>
          </w:tcPr>
          <w:p>
            <w:pPr>
              <w:spacing w:after="40" w:before="40"/>
            </w:pPr>
            <w:r/>
            <w:r>
              <w:rPr>
                <w:b/>
                <w:sz w:val="17"/>
              </w:rPr>
              <w:t>N</w:t>
            </w:r>
          </w:p>
        </w:tc>
        <w:tc>
          <w:tcPr>
            <w:tcW w:type="dxa" w:w="1123"/>
            <w:shd w:val="clear" w:fill="E8EEF7"/>
          </w:tcPr>
          <w:p>
            <w:pPr>
              <w:spacing w:after="40" w:before="40"/>
            </w:pPr>
            <w:r/>
            <w:r>
              <w:rPr>
                <w:b/>
                <w:sz w:val="17"/>
              </w:rPr>
              <w:t>RMSE</w:t>
            </w:r>
          </w:p>
        </w:tc>
        <w:tc>
          <w:tcPr>
            <w:tcW w:type="dxa" w:w="1123"/>
            <w:shd w:val="clear" w:fill="E8EEF7"/>
          </w:tcPr>
          <w:p>
            <w:pPr>
              <w:spacing w:after="40" w:before="40"/>
            </w:pPr>
            <w:r/>
            <w:r>
              <w:rPr>
                <w:b/>
                <w:sz w:val="17"/>
              </w:rPr>
              <w:t>MAE</w:t>
            </w:r>
          </w:p>
        </w:tc>
        <w:tc>
          <w:tcPr>
            <w:tcW w:type="dxa" w:w="1123"/>
            <w:shd w:val="clear" w:fill="E8EEF7"/>
          </w:tcPr>
          <w:p>
            <w:pPr>
              <w:spacing w:after="40" w:before="40"/>
            </w:pPr>
            <w:r/>
            <w:r>
              <w:rPr>
                <w:b/>
                <w:sz w:val="17"/>
              </w:rPr>
              <w:t>R²</w:t>
            </w:r>
          </w:p>
        </w:tc>
        <w:tc>
          <w:tcPr>
            <w:tcW w:type="dxa" w:w="1325"/>
            <w:shd w:val="clear" w:fill="E8EEF7"/>
          </w:tcPr>
          <w:p>
            <w:pPr>
              <w:spacing w:after="40" w:before="40"/>
            </w:pPr>
            <w:r/>
            <w:r>
              <w:rPr>
                <w:b/>
                <w:sz w:val="17"/>
              </w:rPr>
              <w:t>Prediction std</w:t>
            </w:r>
          </w:p>
        </w:tc>
        <w:tc>
          <w:tcPr>
            <w:tcW w:type="dxa" w:w="1181"/>
            <w:shd w:val="clear" w:fill="E8EEF7"/>
          </w:tcPr>
          <w:p>
            <w:pPr>
              <w:spacing w:after="40" w:before="40"/>
            </w:pPr>
            <w:r/>
            <w:r>
              <w:rPr>
                <w:b/>
                <w:sz w:val="17"/>
              </w:rPr>
              <w:t>Observed std</w:t>
            </w:r>
          </w:p>
        </w:tc>
      </w:tr>
      <w:tr>
        <w:tc>
          <w:tcPr>
            <w:tcW w:type="dxa" w:w="2736"/>
          </w:tcPr>
          <w:p>
            <w:pPr>
              <w:spacing w:after="40" w:before="40"/>
            </w:pPr>
            <w:r/>
            <w:r>
              <w:rPr>
                <w:b w:val="0"/>
                <w:sz w:val="17"/>
              </w:rPr>
              <w:t>Train (fitted on)</w:t>
            </w:r>
          </w:p>
        </w:tc>
        <w:tc>
          <w:tcPr>
            <w:tcW w:type="dxa" w:w="1037"/>
          </w:tcPr>
          <w:p>
            <w:pPr>
              <w:spacing w:after="40" w:before="40"/>
            </w:pPr>
            <w:r/>
            <w:r>
              <w:rPr>
                <w:b w:val="0"/>
                <w:sz w:val="17"/>
              </w:rPr>
              <w:t>7,910</w:t>
            </w:r>
          </w:p>
        </w:tc>
        <w:tc>
          <w:tcPr>
            <w:tcW w:type="dxa" w:w="1123"/>
          </w:tcPr>
          <w:p>
            <w:pPr>
              <w:spacing w:after="40" w:before="40"/>
            </w:pPr>
            <w:r/>
            <w:r>
              <w:rPr>
                <w:b w:val="0"/>
                <w:sz w:val="17"/>
              </w:rPr>
              <w:t>5.1418</w:t>
            </w:r>
          </w:p>
        </w:tc>
        <w:tc>
          <w:tcPr>
            <w:tcW w:type="dxa" w:w="1123"/>
          </w:tcPr>
          <w:p>
            <w:pPr>
              <w:spacing w:after="40" w:before="40"/>
            </w:pPr>
            <w:r/>
            <w:r>
              <w:rPr>
                <w:b w:val="0"/>
                <w:sz w:val="17"/>
              </w:rPr>
              <w:t>2.8886</w:t>
            </w:r>
          </w:p>
        </w:tc>
        <w:tc>
          <w:tcPr>
            <w:tcW w:type="dxa" w:w="1123"/>
          </w:tcPr>
          <w:p>
            <w:pPr>
              <w:spacing w:after="40" w:before="40"/>
            </w:pPr>
            <w:r/>
            <w:r>
              <w:rPr>
                <w:b w:val="0"/>
                <w:sz w:val="17"/>
              </w:rPr>
              <w:t>0.0368</w:t>
            </w:r>
          </w:p>
        </w:tc>
        <w:tc>
          <w:tcPr>
            <w:tcW w:type="dxa" w:w="1325"/>
          </w:tcPr>
          <w:p>
            <w:pPr>
              <w:spacing w:after="40" w:before="40"/>
            </w:pPr>
            <w:r/>
            <w:r>
              <w:rPr>
                <w:b w:val="0"/>
                <w:sz w:val="17"/>
              </w:rPr>
              <w:t>0.368</w:t>
            </w:r>
          </w:p>
        </w:tc>
        <w:tc>
          <w:tcPr>
            <w:tcW w:type="dxa" w:w="1181"/>
          </w:tcPr>
          <w:p>
            <w:pPr>
              <w:spacing w:after="40" w:before="40"/>
            </w:pPr>
            <w:r/>
            <w:r>
              <w:rPr>
                <w:b w:val="0"/>
                <w:sz w:val="17"/>
              </w:rPr>
              <w:t>5.239</w:t>
            </w:r>
          </w:p>
        </w:tc>
      </w:tr>
      <w:tr>
        <w:tc>
          <w:tcPr>
            <w:tcW w:type="dxa" w:w="2736"/>
          </w:tcPr>
          <w:p>
            <w:pPr>
              <w:spacing w:after="40" w:before="40"/>
            </w:pPr>
            <w:r/>
            <w:r>
              <w:rPr>
                <w:b w:val="0"/>
                <w:sz w:val="17"/>
              </w:rPr>
              <w:t>Validation (early stopping)</w:t>
            </w:r>
          </w:p>
        </w:tc>
        <w:tc>
          <w:tcPr>
            <w:tcW w:type="dxa" w:w="1037"/>
          </w:tcPr>
          <w:p>
            <w:pPr>
              <w:spacing w:after="40" w:before="40"/>
            </w:pPr>
            <w:r/>
            <w:r>
              <w:rPr>
                <w:b w:val="0"/>
                <w:sz w:val="17"/>
              </w:rPr>
              <w:t>1,078</w:t>
            </w:r>
          </w:p>
        </w:tc>
        <w:tc>
          <w:tcPr>
            <w:tcW w:type="dxa" w:w="1123"/>
          </w:tcPr>
          <w:p>
            <w:pPr>
              <w:spacing w:after="40" w:before="40"/>
            </w:pPr>
            <w:r/>
            <w:r>
              <w:rPr>
                <w:b w:val="0"/>
                <w:sz w:val="17"/>
              </w:rPr>
              <w:t>5.5288</w:t>
            </w:r>
          </w:p>
        </w:tc>
        <w:tc>
          <w:tcPr>
            <w:tcW w:type="dxa" w:w="1123"/>
          </w:tcPr>
          <w:p>
            <w:pPr>
              <w:spacing w:after="40" w:before="40"/>
            </w:pPr>
            <w:r/>
            <w:r>
              <w:rPr>
                <w:b w:val="0"/>
                <w:sz w:val="17"/>
              </w:rPr>
              <w:t>3.0301</w:t>
            </w:r>
          </w:p>
        </w:tc>
        <w:tc>
          <w:tcPr>
            <w:tcW w:type="dxa" w:w="1123"/>
          </w:tcPr>
          <w:p>
            <w:pPr>
              <w:spacing w:after="40" w:before="40"/>
            </w:pPr>
            <w:r/>
            <w:r>
              <w:rPr>
                <w:b w:val="0"/>
                <w:sz w:val="17"/>
              </w:rPr>
              <w:t>0.0140</w:t>
            </w:r>
          </w:p>
        </w:tc>
        <w:tc>
          <w:tcPr>
            <w:tcW w:type="dxa" w:w="1325"/>
          </w:tcPr>
          <w:p>
            <w:pPr>
              <w:spacing w:after="40" w:before="40"/>
            </w:pPr>
            <w:r/>
            <w:r>
              <w:rPr>
                <w:b w:val="0"/>
                <w:sz w:val="17"/>
              </w:rPr>
              <w:t>0.354</w:t>
            </w:r>
          </w:p>
        </w:tc>
        <w:tc>
          <w:tcPr>
            <w:tcW w:type="dxa" w:w="1181"/>
          </w:tcPr>
          <w:p>
            <w:pPr>
              <w:spacing w:after="40" w:before="40"/>
            </w:pPr>
            <w:r/>
            <w:r>
              <w:rPr>
                <w:b w:val="0"/>
                <w:sz w:val="17"/>
              </w:rPr>
              <w:t>5.568</w:t>
            </w:r>
          </w:p>
        </w:tc>
      </w:tr>
      <w:tr>
        <w:tc>
          <w:tcPr>
            <w:tcW w:type="dxa" w:w="2736"/>
          </w:tcPr>
          <w:p>
            <w:pPr>
              <w:spacing w:after="40" w:before="40"/>
            </w:pPr>
            <w:r/>
            <w:r>
              <w:rPr>
                <w:b w:val="0"/>
                <w:sz w:val="17"/>
              </w:rPr>
              <w:t>Test (held out)</w:t>
            </w:r>
          </w:p>
        </w:tc>
        <w:tc>
          <w:tcPr>
            <w:tcW w:type="dxa" w:w="1037"/>
          </w:tcPr>
          <w:p>
            <w:pPr>
              <w:spacing w:after="40" w:before="40"/>
            </w:pPr>
            <w:r/>
            <w:r>
              <w:rPr>
                <w:b w:val="0"/>
                <w:sz w:val="17"/>
              </w:rPr>
              <w:t>1,860</w:t>
            </w:r>
          </w:p>
        </w:tc>
        <w:tc>
          <w:tcPr>
            <w:tcW w:type="dxa" w:w="1123"/>
          </w:tcPr>
          <w:p>
            <w:pPr>
              <w:spacing w:after="40" w:before="40"/>
            </w:pPr>
            <w:r/>
            <w:r>
              <w:rPr>
                <w:b w:val="0"/>
                <w:sz w:val="17"/>
              </w:rPr>
              <w:t>5.5320</w:t>
            </w:r>
          </w:p>
        </w:tc>
        <w:tc>
          <w:tcPr>
            <w:tcW w:type="dxa" w:w="1123"/>
          </w:tcPr>
          <w:p>
            <w:pPr>
              <w:spacing w:after="40" w:before="40"/>
            </w:pPr>
            <w:r/>
            <w:r>
              <w:rPr>
                <w:b w:val="0"/>
                <w:sz w:val="17"/>
              </w:rPr>
              <w:t>3.1341</w:t>
            </w:r>
          </w:p>
        </w:tc>
        <w:tc>
          <w:tcPr>
            <w:tcW w:type="dxa" w:w="1123"/>
          </w:tcPr>
          <w:p>
            <w:pPr>
              <w:spacing w:after="40" w:before="40"/>
            </w:pPr>
            <w:r/>
            <w:r>
              <w:rPr>
                <w:b w:val="0"/>
                <w:sz w:val="17"/>
              </w:rPr>
              <w:t>0.0028</w:t>
            </w:r>
          </w:p>
        </w:tc>
        <w:tc>
          <w:tcPr>
            <w:tcW w:type="dxa" w:w="1325"/>
          </w:tcPr>
          <w:p>
            <w:pPr>
              <w:spacing w:after="40" w:before="40"/>
            </w:pPr>
            <w:r/>
            <w:r>
              <w:rPr>
                <w:b w:val="0"/>
                <w:sz w:val="17"/>
              </w:rPr>
              <w:t>0.374</w:t>
            </w:r>
          </w:p>
        </w:tc>
        <w:tc>
          <w:tcPr>
            <w:tcW w:type="dxa" w:w="1181"/>
          </w:tcPr>
          <w:p>
            <w:pPr>
              <w:spacing w:after="40" w:before="40"/>
            </w:pPr>
            <w:r/>
            <w:r>
              <w:rPr>
                <w:b w:val="0"/>
                <w:sz w:val="17"/>
              </w:rPr>
              <w:t>5.540</w:t>
            </w:r>
          </w:p>
        </w:tc>
      </w:tr>
    </w:tbl>
    <w:p>
      <w:pPr>
        <w:spacing w:after="40" w:before="0"/>
      </w:pPr>
    </w:p>
    <w:p>
      <w:pPr>
        <w:keepNext/>
        <w:spacing w:before="120" w:after="60"/>
        <w:jc w:val="center"/>
      </w:pPr>
      <w:r>
        <w:drawing>
          <wp:inline xmlns:a="http://schemas.openxmlformats.org/drawingml/2006/main" xmlns:pic="http://schemas.openxmlformats.org/drawingml/2006/picture">
            <wp:extent cx="6126480" cy="3020517"/>
            <wp:docPr id="8" name="Picture 8"/>
            <wp:cNvGraphicFramePr>
              <a:graphicFrameLocks noChangeAspect="1"/>
            </wp:cNvGraphicFramePr>
            <a:graphic>
              <a:graphicData uri="http://schemas.openxmlformats.org/drawingml/2006/picture">
                <pic:pic>
                  <pic:nvPicPr>
                    <pic:cNvPr id="0" name="fig07_splits.png"/>
                    <pic:cNvPicPr/>
                  </pic:nvPicPr>
                  <pic:blipFill>
                    <a:blip r:embed="rId16"/>
                    <a:stretch>
                      <a:fillRect/>
                    </a:stretch>
                  </pic:blipFill>
                  <pic:spPr>
                    <a:xfrm>
                      <a:off x="0" y="0"/>
                      <a:ext cx="6126480" cy="3020517"/>
                    </a:xfrm>
                    <a:prstGeom prst="rect"/>
                  </pic:spPr>
                </pic:pic>
              </a:graphicData>
            </a:graphic>
          </wp:inline>
        </w:drawing>
      </w:r>
    </w:p>
    <w:p>
      <w:pPr>
        <w:spacing w:after="200"/>
        <w:jc w:val="center"/>
      </w:pPr>
      <w:r>
        <w:rPr>
          <w:i/>
          <w:color w:val="52514E"/>
          <w:sz w:val="18"/>
        </w:rPr>
        <w:t>Figure 8.  An overfitting model is accurate where it was trained and inaccurate elsewhere. Here the train-to-test RMSE gap is +0.39 in and R² is near zero on all three splits, including the data the model was fitted to.</w:t>
      </w:r>
    </w:p>
    <w:p>
      <w:pPr>
        <w:spacing w:after="140"/>
      </w:pPr>
      <w:r>
        <w:rPr>
          <w:b w:val="0"/>
          <w:sz w:val="21"/>
        </w:rPr>
        <w:t>This is a positive diagnostic result. It means the generalisation gap is essentially closed, that the regularisation already in place is sufficient, and that no amount of additional regularisation would help. The models are converging on the conditional mean of the target, which is precisely what a loss-minimising learner should do when conditional information is scarce. Table 7 quantifies how scarce.</w:t>
      </w:r>
    </w:p>
    <w:p>
      <w:pPr>
        <w:keepNext/>
        <w:spacing w:after="80"/>
      </w:pPr>
      <w:r>
        <w:rPr>
          <w:i/>
          <w:color w:val="52514E"/>
          <w:sz w:val="18"/>
        </w:rPr>
        <w:t>Table 7.  Trained models against constant predictors (diagnostic section D3). The LSTM row comes from the diagnostic run, which retrains the network independently, so it reads 5.9046 here against 5.9586 in Table 4. The difference is run-to-run training variance.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3600"/>
            <w:shd w:val="clear" w:fill="E8EEF7"/>
          </w:tcPr>
          <w:p>
            <w:pPr>
              <w:spacing w:after="40" w:before="40"/>
            </w:pPr>
            <w:r/>
            <w:r>
              <w:rPr>
                <w:b/>
                <w:sz w:val="17"/>
              </w:rPr>
              <w:t>Predictor</w:t>
            </w:r>
          </w:p>
        </w:tc>
        <w:tc>
          <w:tcPr>
            <w:tcW w:type="dxa" w:w="1512"/>
            <w:shd w:val="clear" w:fill="E8EEF7"/>
          </w:tcPr>
          <w:p>
            <w:pPr>
              <w:spacing w:after="40" w:before="40"/>
            </w:pPr>
            <w:r/>
            <w:r>
              <w:rPr>
                <w:b/>
                <w:sz w:val="17"/>
              </w:rPr>
              <w:t>RMSE</w:t>
            </w:r>
          </w:p>
        </w:tc>
        <w:tc>
          <w:tcPr>
            <w:tcW w:type="dxa" w:w="1512"/>
            <w:shd w:val="clear" w:fill="E8EEF7"/>
          </w:tcPr>
          <w:p>
            <w:pPr>
              <w:spacing w:after="40" w:before="40"/>
            </w:pPr>
            <w:r/>
            <w:r>
              <w:rPr>
                <w:b/>
                <w:sz w:val="17"/>
              </w:rPr>
              <w:t>MAE</w:t>
            </w:r>
          </w:p>
        </w:tc>
        <w:tc>
          <w:tcPr>
            <w:tcW w:type="dxa" w:w="1512"/>
            <w:shd w:val="clear" w:fill="E8EEF7"/>
          </w:tcPr>
          <w:p>
            <w:pPr>
              <w:spacing w:after="40" w:before="40"/>
            </w:pPr>
            <w:r/>
            <w:r>
              <w:rPr>
                <w:b/>
                <w:sz w:val="17"/>
              </w:rPr>
              <w:t>MAPE (%)</w:t>
            </w:r>
          </w:p>
        </w:tc>
        <w:tc>
          <w:tcPr>
            <w:tcW w:type="dxa" w:w="1512"/>
            <w:shd w:val="clear" w:fill="E8EEF7"/>
          </w:tcPr>
          <w:p>
            <w:pPr>
              <w:spacing w:after="40" w:before="40"/>
            </w:pPr>
            <w:r/>
            <w:r>
              <w:rPr>
                <w:b/>
                <w:sz w:val="17"/>
              </w:rPr>
              <w:t>R²</w:t>
            </w:r>
          </w:p>
        </w:tc>
      </w:tr>
      <w:tr>
        <w:tc>
          <w:tcPr>
            <w:tcW w:type="dxa" w:w="3600"/>
          </w:tcPr>
          <w:p>
            <w:pPr>
              <w:spacing w:after="40" w:before="40"/>
            </w:pPr>
            <w:r/>
            <w:r>
              <w:rPr>
                <w:b w:val="0"/>
                <w:sz w:val="17"/>
              </w:rPr>
              <w:t>XGBoost (as configured)</w:t>
            </w:r>
          </w:p>
        </w:tc>
        <w:tc>
          <w:tcPr>
            <w:tcW w:type="dxa" w:w="1512"/>
          </w:tcPr>
          <w:p>
            <w:pPr>
              <w:spacing w:after="40" w:before="40"/>
            </w:pPr>
            <w:r/>
            <w:r>
              <w:rPr>
                <w:b/>
                <w:sz w:val="17"/>
              </w:rPr>
              <w:t>5.5320</w:t>
            </w:r>
          </w:p>
        </w:tc>
        <w:tc>
          <w:tcPr>
            <w:tcW w:type="dxa" w:w="1512"/>
          </w:tcPr>
          <w:p>
            <w:pPr>
              <w:spacing w:after="40" w:before="40"/>
            </w:pPr>
            <w:r/>
            <w:r>
              <w:rPr>
                <w:b w:val="0"/>
                <w:sz w:val="17"/>
              </w:rPr>
              <w:t>3.1341</w:t>
            </w:r>
          </w:p>
        </w:tc>
        <w:tc>
          <w:tcPr>
            <w:tcW w:type="dxa" w:w="1512"/>
          </w:tcPr>
          <w:p>
            <w:pPr>
              <w:spacing w:after="40" w:before="40"/>
            </w:pPr>
            <w:r/>
            <w:r>
              <w:rPr>
                <w:b w:val="0"/>
                <w:sz w:val="17"/>
              </w:rPr>
              <w:t>176.85</w:t>
            </w:r>
          </w:p>
        </w:tc>
        <w:tc>
          <w:tcPr>
            <w:tcW w:type="dxa" w:w="1512"/>
          </w:tcPr>
          <w:p>
            <w:pPr>
              <w:spacing w:after="40" w:before="40"/>
            </w:pPr>
            <w:r/>
            <w:r>
              <w:rPr>
                <w:b/>
                <w:sz w:val="17"/>
              </w:rPr>
              <w:t>0.0028</w:t>
            </w:r>
          </w:p>
        </w:tc>
      </w:tr>
      <w:tr>
        <w:tc>
          <w:tcPr>
            <w:tcW w:type="dxa" w:w="3600"/>
          </w:tcPr>
          <w:p>
            <w:pPr>
              <w:spacing w:after="40" w:before="40"/>
            </w:pPr>
            <w:r/>
            <w:r>
              <w:rPr>
                <w:b w:val="0"/>
                <w:sz w:val="17"/>
              </w:rPr>
              <w:t>LSTM</w:t>
            </w:r>
          </w:p>
        </w:tc>
        <w:tc>
          <w:tcPr>
            <w:tcW w:type="dxa" w:w="1512"/>
          </w:tcPr>
          <w:p>
            <w:pPr>
              <w:spacing w:after="40" w:before="40"/>
            </w:pPr>
            <w:r/>
            <w:r>
              <w:rPr>
                <w:b w:val="0"/>
                <w:sz w:val="17"/>
              </w:rPr>
              <w:t>5.9046</w:t>
            </w:r>
          </w:p>
        </w:tc>
        <w:tc>
          <w:tcPr>
            <w:tcW w:type="dxa" w:w="1512"/>
          </w:tcPr>
          <w:p>
            <w:pPr>
              <w:spacing w:after="40" w:before="40"/>
            </w:pPr>
            <w:r/>
            <w:r>
              <w:rPr>
                <w:b w:val="0"/>
                <w:sz w:val="17"/>
              </w:rPr>
              <w:t>2.2951</w:t>
            </w:r>
          </w:p>
        </w:tc>
        <w:tc>
          <w:tcPr>
            <w:tcW w:type="dxa" w:w="1512"/>
          </w:tcPr>
          <w:p>
            <w:pPr>
              <w:spacing w:after="40" w:before="40"/>
            </w:pPr>
            <w:r/>
            <w:r>
              <w:rPr>
                <w:b w:val="0"/>
                <w:sz w:val="17"/>
              </w:rPr>
              <w:t>78.62</w:t>
            </w:r>
          </w:p>
        </w:tc>
        <w:tc>
          <w:tcPr>
            <w:tcW w:type="dxa" w:w="1512"/>
          </w:tcPr>
          <w:p>
            <w:pPr>
              <w:spacing w:after="40" w:before="40"/>
            </w:pPr>
            <w:r/>
            <w:r>
              <w:rPr>
                <w:b w:val="0"/>
                <w:sz w:val="17"/>
              </w:rPr>
              <w:t>−0.1361</w:t>
            </w:r>
          </w:p>
        </w:tc>
      </w:tr>
      <w:tr>
        <w:tc>
          <w:tcPr>
            <w:tcW w:type="dxa" w:w="3600"/>
          </w:tcPr>
          <w:p>
            <w:pPr>
              <w:spacing w:after="40" w:before="40"/>
            </w:pPr>
            <w:r/>
            <w:r>
              <w:rPr>
                <w:b w:val="0"/>
                <w:sz w:val="17"/>
              </w:rPr>
              <w:t>Ensemble (inverse-RMSE)</w:t>
            </w:r>
          </w:p>
        </w:tc>
        <w:tc>
          <w:tcPr>
            <w:tcW w:type="dxa" w:w="1512"/>
          </w:tcPr>
          <w:p>
            <w:pPr>
              <w:spacing w:after="40" w:before="40"/>
            </w:pPr>
            <w:r/>
            <w:r>
              <w:rPr>
                <w:b w:val="0"/>
                <w:sz w:val="17"/>
              </w:rPr>
              <w:t>5.6288</w:t>
            </w:r>
          </w:p>
        </w:tc>
        <w:tc>
          <w:tcPr>
            <w:tcW w:type="dxa" w:w="1512"/>
          </w:tcPr>
          <w:p>
            <w:pPr>
              <w:spacing w:after="40" w:before="40"/>
            </w:pPr>
            <w:r/>
            <w:r>
              <w:rPr>
                <w:b w:val="0"/>
                <w:sz w:val="17"/>
              </w:rPr>
              <w:t>2.6427</w:t>
            </w:r>
          </w:p>
        </w:tc>
        <w:tc>
          <w:tcPr>
            <w:tcW w:type="dxa" w:w="1512"/>
          </w:tcPr>
          <w:p>
            <w:pPr>
              <w:spacing w:after="40" w:before="40"/>
            </w:pPr>
            <w:r/>
            <w:r>
              <w:rPr>
                <w:b w:val="0"/>
                <w:sz w:val="17"/>
              </w:rPr>
              <w:t>105.91</w:t>
            </w:r>
          </w:p>
        </w:tc>
        <w:tc>
          <w:tcPr>
            <w:tcW w:type="dxa" w:w="1512"/>
          </w:tcPr>
          <w:p>
            <w:pPr>
              <w:spacing w:after="40" w:before="40"/>
            </w:pPr>
            <w:r/>
            <w:r>
              <w:rPr>
                <w:b w:val="0"/>
                <w:sz w:val="17"/>
              </w:rPr>
              <w:t>−0.0324</w:t>
            </w:r>
          </w:p>
        </w:tc>
      </w:tr>
      <w:tr>
        <w:tc>
          <w:tcPr>
            <w:tcW w:type="dxa" w:w="3600"/>
          </w:tcPr>
          <w:p>
            <w:pPr>
              <w:spacing w:after="40" w:before="40"/>
            </w:pPr>
            <w:r/>
            <w:r>
              <w:rPr>
                <w:b w:val="0"/>
                <w:sz w:val="17"/>
              </w:rPr>
              <w:t>Constant = training mean (2.004 in)</w:t>
            </w:r>
          </w:p>
        </w:tc>
        <w:tc>
          <w:tcPr>
            <w:tcW w:type="dxa" w:w="1512"/>
          </w:tcPr>
          <w:p>
            <w:pPr>
              <w:spacing w:after="40" w:before="40"/>
            </w:pPr>
            <w:r/>
            <w:r>
              <w:rPr>
                <w:b w:val="0"/>
                <w:sz w:val="17"/>
              </w:rPr>
              <w:t>5.5457</w:t>
            </w:r>
          </w:p>
        </w:tc>
        <w:tc>
          <w:tcPr>
            <w:tcW w:type="dxa" w:w="1512"/>
          </w:tcPr>
          <w:p>
            <w:pPr>
              <w:spacing w:after="40" w:before="40"/>
            </w:pPr>
            <w:r/>
            <w:r>
              <w:rPr>
                <w:b w:val="0"/>
                <w:sz w:val="17"/>
              </w:rPr>
              <w:t>3.0608</w:t>
            </w:r>
          </w:p>
        </w:tc>
        <w:tc>
          <w:tcPr>
            <w:tcW w:type="dxa" w:w="1512"/>
          </w:tcPr>
          <w:p>
            <w:pPr>
              <w:spacing w:after="40" w:before="40"/>
            </w:pPr>
            <w:r/>
            <w:r>
              <w:rPr>
                <w:b w:val="0"/>
                <w:sz w:val="17"/>
              </w:rPr>
              <w:t>161.15</w:t>
            </w:r>
          </w:p>
        </w:tc>
        <w:tc>
          <w:tcPr>
            <w:tcW w:type="dxa" w:w="1512"/>
          </w:tcPr>
          <w:p>
            <w:pPr>
              <w:spacing w:after="40" w:before="40"/>
            </w:pPr>
            <w:r/>
            <w:r>
              <w:rPr>
                <w:b w:val="0"/>
                <w:sz w:val="17"/>
              </w:rPr>
              <w:t>−0.0022</w:t>
            </w:r>
          </w:p>
        </w:tc>
      </w:tr>
      <w:tr>
        <w:tc>
          <w:tcPr>
            <w:tcW w:type="dxa" w:w="3600"/>
          </w:tcPr>
          <w:p>
            <w:pPr>
              <w:spacing w:after="40" w:before="40"/>
            </w:pPr>
            <w:r/>
            <w:r>
              <w:rPr>
                <w:b w:val="0"/>
                <w:sz w:val="17"/>
              </w:rPr>
              <w:t>Constant = training median (0 in)</w:t>
            </w:r>
          </w:p>
        </w:tc>
        <w:tc>
          <w:tcPr>
            <w:tcW w:type="dxa" w:w="1512"/>
          </w:tcPr>
          <w:p>
            <w:pPr>
              <w:spacing w:after="40" w:before="40"/>
            </w:pPr>
            <w:r/>
            <w:r>
              <w:rPr>
                <w:b w:val="0"/>
                <w:sz w:val="17"/>
              </w:rPr>
              <w:t>5.9835</w:t>
            </w:r>
          </w:p>
        </w:tc>
        <w:tc>
          <w:tcPr>
            <w:tcW w:type="dxa" w:w="1512"/>
          </w:tcPr>
          <w:p>
            <w:pPr>
              <w:spacing w:after="40" w:before="40"/>
            </w:pPr>
            <w:r/>
            <w:r>
              <w:rPr>
                <w:b w:val="0"/>
                <w:sz w:val="17"/>
              </w:rPr>
              <w:t>2.2614</w:t>
            </w:r>
          </w:p>
        </w:tc>
        <w:tc>
          <w:tcPr>
            <w:tcW w:type="dxa" w:w="1512"/>
          </w:tcPr>
          <w:p>
            <w:pPr>
              <w:spacing w:after="40" w:before="40"/>
            </w:pPr>
            <w:r/>
            <w:r>
              <w:rPr>
                <w:b w:val="0"/>
                <w:sz w:val="17"/>
              </w:rPr>
              <w:t>100.00</w:t>
            </w:r>
          </w:p>
        </w:tc>
        <w:tc>
          <w:tcPr>
            <w:tcW w:type="dxa" w:w="1512"/>
          </w:tcPr>
          <w:p>
            <w:pPr>
              <w:spacing w:after="40" w:before="40"/>
            </w:pPr>
            <w:r/>
            <w:r>
              <w:rPr>
                <w:b w:val="0"/>
                <w:sz w:val="17"/>
              </w:rPr>
              <w:t>−0.1666</w:t>
            </w:r>
          </w:p>
        </w:tc>
      </w:tr>
      <w:tr>
        <w:tc>
          <w:tcPr>
            <w:tcW w:type="dxa" w:w="3600"/>
          </w:tcPr>
          <w:p>
            <w:pPr>
              <w:spacing w:after="40" w:before="40"/>
            </w:pPr>
            <w:r/>
            <w:r>
              <w:rPr>
                <w:b w:val="0"/>
                <w:sz w:val="17"/>
              </w:rPr>
              <w:t>Constant = test mean (2.261 in, oracle)</w:t>
            </w:r>
          </w:p>
        </w:tc>
        <w:tc>
          <w:tcPr>
            <w:tcW w:type="dxa" w:w="1512"/>
          </w:tcPr>
          <w:p>
            <w:pPr>
              <w:spacing w:after="40" w:before="40"/>
            </w:pPr>
            <w:r/>
            <w:r>
              <w:rPr>
                <w:b w:val="0"/>
                <w:sz w:val="17"/>
              </w:rPr>
              <w:t>5.5397</w:t>
            </w:r>
          </w:p>
        </w:tc>
        <w:tc>
          <w:tcPr>
            <w:tcW w:type="dxa" w:w="1512"/>
          </w:tcPr>
          <w:p>
            <w:pPr>
              <w:spacing w:after="40" w:before="40"/>
            </w:pPr>
            <w:r/>
            <w:r>
              <w:rPr>
                <w:b w:val="0"/>
                <w:sz w:val="17"/>
              </w:rPr>
              <w:t>3.2099</w:t>
            </w:r>
          </w:p>
        </w:tc>
        <w:tc>
          <w:tcPr>
            <w:tcW w:type="dxa" w:w="1512"/>
          </w:tcPr>
          <w:p>
            <w:pPr>
              <w:spacing w:after="40" w:before="40"/>
            </w:pPr>
            <w:r/>
            <w:r>
              <w:rPr>
                <w:b w:val="0"/>
                <w:sz w:val="17"/>
              </w:rPr>
              <w:t>181.89</w:t>
            </w:r>
          </w:p>
        </w:tc>
        <w:tc>
          <w:tcPr>
            <w:tcW w:type="dxa" w:w="1512"/>
          </w:tcPr>
          <w:p>
            <w:pPr>
              <w:spacing w:after="40" w:before="40"/>
            </w:pPr>
            <w:r/>
            <w:r>
              <w:rPr>
                <w:b w:val="0"/>
                <w:sz w:val="17"/>
              </w:rPr>
              <w:t>0.0000</w:t>
            </w:r>
          </w:p>
        </w:tc>
      </w:tr>
    </w:tbl>
    <w:p>
      <w:pPr>
        <w:spacing w:after="40" w:before="0"/>
      </w:pPr>
    </w:p>
    <w:p>
      <w:pPr>
        <w:keepNext/>
        <w:spacing w:before="120" w:after="60"/>
        <w:jc w:val="center"/>
      </w:pPr>
      <w:r>
        <w:drawing>
          <wp:inline xmlns:a="http://schemas.openxmlformats.org/drawingml/2006/main" xmlns:pic="http://schemas.openxmlformats.org/drawingml/2006/picture">
            <wp:extent cx="6126480" cy="2839206"/>
            <wp:docPr id="9" name="Picture 9"/>
            <wp:cNvGraphicFramePr>
              <a:graphicFrameLocks noChangeAspect="1"/>
            </wp:cNvGraphicFramePr>
            <a:graphic>
              <a:graphicData uri="http://schemas.openxmlformats.org/drawingml/2006/picture">
                <pic:pic>
                  <pic:nvPicPr>
                    <pic:cNvPr id="0" name="fig08_constants.png"/>
                    <pic:cNvPicPr/>
                  </pic:nvPicPr>
                  <pic:blipFill>
                    <a:blip r:embed="rId17"/>
                    <a:stretch>
                      <a:fillRect/>
                    </a:stretch>
                  </pic:blipFill>
                  <pic:spPr>
                    <a:xfrm>
                      <a:off x="0" y="0"/>
                      <a:ext cx="6126480" cy="2839206"/>
                    </a:xfrm>
                    <a:prstGeom prst="rect"/>
                  </pic:spPr>
                </pic:pic>
              </a:graphicData>
            </a:graphic>
          </wp:inline>
        </w:drawing>
      </w:r>
    </w:p>
    <w:p>
      <w:pPr>
        <w:spacing w:after="200"/>
        <w:jc w:val="center"/>
      </w:pPr>
      <w:r>
        <w:rPr>
          <w:i/>
          <w:color w:val="52514E"/>
          <w:sz w:val="18"/>
        </w:rPr>
        <w:t>Figure 9.  The same comparison on a zoomed axis. The shaded band is the span of the three constant predictors.</w:t>
      </w:r>
    </w:p>
    <w:p>
      <w:pPr>
        <w:spacing w:after="140"/>
      </w:pPr>
      <w:r>
        <w:rPr>
          <w:b w:val="0"/>
          <w:sz w:val="21"/>
        </w:rPr>
        <w:t>XGBoost is the only model in the table with a non-negative R², and it is the best performer on RMSE, ahead of every constant including the oracle constant that is given the test mean. The margin is small in absolute terms — and Section 6 shows precisely how small that margin could possibly have been.</w:t>
      </w:r>
    </w:p>
    <w:p>
      <w:pPr>
        <w:pStyle w:val="Heading1"/>
      </w:pPr>
      <w:r>
        <w:t>6.  The predictability ceiling of the series</w:t>
      </w:r>
    </w:p>
    <w:p>
      <w:pPr>
        <w:spacing w:after="140"/>
      </w:pPr>
      <w:r>
        <w:rPr>
          <w:b w:val="0"/>
          <w:sz w:val="21"/>
        </w:rPr>
        <w:t xml:space="preserve">This is the section that turns a near-zero R² from a disappointing number into a measurable quantity. If a forecast carries no information, it can still score well on RMSE, because the best constant already achieves the target's own standard deviation. The useful question is therefore not whether the model beats zero, but how much better than that constant </w:t>
      </w:r>
      <w:r>
        <w:rPr>
          <w:b/>
          <w:sz w:val="21"/>
        </w:rPr>
        <w:t>any</w:t>
      </w:r>
      <w:r>
        <w:rPr>
          <w:b w:val="0"/>
          <w:sz w:val="21"/>
        </w:rPr>
        <w:t xml:space="preserve"> forecast could possibly be, given the autocorrelation actually present in the series.</w:t>
      </w:r>
    </w:p>
    <w:p>
      <w:pPr>
        <w:spacing w:after="140"/>
      </w:pPr>
      <w:r>
        <w:rPr>
          <w:b w:val="0"/>
          <w:sz w:val="21"/>
        </w:rPr>
        <w:t>For a single lagged predictor the best achievable RMSE is σ × sqrt(1 − r²). Table 8 evaluates that bound on this record.</w:t>
      </w:r>
    </w:p>
    <w:p>
      <w:pPr>
        <w:keepNext/>
        <w:spacing w:after="80"/>
      </w:pPr>
      <w:r>
        <w:rPr>
          <w:i/>
          <w:color w:val="52514E"/>
          <w:sz w:val="18"/>
        </w:rPr>
        <w:t>Table 8.  The predictability ceiling on the 1,860 scored test days, computed in runs/retuned/. Lag-1 autocorrelation is 0.1154 on the training portion, accounting for 1.33% of the variance.</w:t>
      </w:r>
    </w:p>
    <w:tbl>
      <w:tblPr>
        <w:tblStyle w:val="TableGrid"/>
        <w:tblW w:type="auto" w:w="0"/>
        <w:jc w:val="center"/>
        <w:tblLook w:firstColumn="1" w:firstRow="1" w:lastColumn="0" w:lastRow="0" w:noHBand="0" w:noVBand="1" w:val="04A0"/>
      </w:tblPr>
      <w:tblGrid>
        <w:gridCol w:w="3216"/>
        <w:gridCol w:w="3216"/>
        <w:gridCol w:w="3216"/>
      </w:tblGrid>
      <w:tr>
        <w:tc>
          <w:tcPr>
            <w:tcW w:type="dxa" w:w="4464"/>
            <w:shd w:val="clear" w:fill="E8EEF7"/>
          </w:tcPr>
          <w:p>
            <w:pPr>
              <w:spacing w:after="40" w:before="40"/>
            </w:pPr>
            <w:r/>
            <w:r>
              <w:rPr>
                <w:b/>
                <w:sz w:val="17"/>
              </w:rPr>
              <w:t>Bound</w:t>
            </w:r>
          </w:p>
        </w:tc>
        <w:tc>
          <w:tcPr>
            <w:tcW w:type="dxa" w:w="1656"/>
            <w:shd w:val="clear" w:fill="E8EEF7"/>
          </w:tcPr>
          <w:p>
            <w:pPr>
              <w:spacing w:after="40" w:before="40"/>
            </w:pPr>
            <w:r/>
            <w:r>
              <w:rPr>
                <w:b/>
                <w:sz w:val="17"/>
              </w:rPr>
              <w:t>RMSE (in)</w:t>
            </w:r>
          </w:p>
        </w:tc>
        <w:tc>
          <w:tcPr>
            <w:tcW w:type="dxa" w:w="3528"/>
            <w:shd w:val="clear" w:fill="E8EEF7"/>
          </w:tcPr>
          <w:p>
            <w:pPr>
              <w:spacing w:after="40" w:before="40"/>
            </w:pPr>
            <w:r/>
            <w:r>
              <w:rPr>
                <w:b/>
                <w:sz w:val="17"/>
              </w:rPr>
              <w:t>Note</w:t>
            </w:r>
          </w:p>
        </w:tc>
      </w:tr>
      <w:tr>
        <w:tc>
          <w:tcPr>
            <w:tcW w:type="dxa" w:w="4464"/>
          </w:tcPr>
          <w:p>
            <w:pPr>
              <w:spacing w:after="40" w:before="40"/>
            </w:pPr>
            <w:r/>
            <w:r>
              <w:rPr>
                <w:b w:val="0"/>
                <w:sz w:val="17"/>
              </w:rPr>
              <w:t>Constant at the training mean</w:t>
            </w:r>
          </w:p>
        </w:tc>
        <w:tc>
          <w:tcPr>
            <w:tcW w:type="dxa" w:w="1656"/>
          </w:tcPr>
          <w:p>
            <w:pPr>
              <w:spacing w:after="40" w:before="40"/>
            </w:pPr>
            <w:r/>
            <w:r>
              <w:rPr>
                <w:b w:val="0"/>
                <w:sz w:val="17"/>
              </w:rPr>
              <w:t>5.5457</w:t>
            </w:r>
          </w:p>
        </w:tc>
        <w:tc>
          <w:tcPr>
            <w:tcW w:type="dxa" w:w="3528"/>
          </w:tcPr>
          <w:p>
            <w:pPr>
              <w:spacing w:after="40" w:before="40"/>
            </w:pPr>
            <w:r/>
            <w:r>
              <w:rPr>
                <w:b w:val="0"/>
                <w:sz w:val="17"/>
              </w:rPr>
              <w:t>achievable without any model</w:t>
            </w:r>
          </w:p>
        </w:tc>
      </w:tr>
      <w:tr>
        <w:tc>
          <w:tcPr>
            <w:tcW w:type="dxa" w:w="4464"/>
          </w:tcPr>
          <w:p>
            <w:pPr>
              <w:spacing w:after="40" w:before="40"/>
            </w:pPr>
            <w:r/>
            <w:r>
              <w:rPr>
                <w:b w:val="0"/>
                <w:sz w:val="17"/>
              </w:rPr>
              <w:t>Constant at the test mean</w:t>
            </w:r>
          </w:p>
        </w:tc>
        <w:tc>
          <w:tcPr>
            <w:tcW w:type="dxa" w:w="1656"/>
          </w:tcPr>
          <w:p>
            <w:pPr>
              <w:spacing w:after="40" w:before="40"/>
            </w:pPr>
            <w:r/>
            <w:r>
              <w:rPr>
                <w:b w:val="0"/>
                <w:sz w:val="17"/>
              </w:rPr>
              <w:t>5.5397</w:t>
            </w:r>
          </w:p>
        </w:tc>
        <w:tc>
          <w:tcPr>
            <w:tcW w:type="dxa" w:w="3528"/>
          </w:tcPr>
          <w:p>
            <w:pPr>
              <w:spacing w:after="40" w:before="40"/>
            </w:pPr>
            <w:r/>
            <w:r>
              <w:rPr>
                <w:b w:val="0"/>
                <w:sz w:val="17"/>
              </w:rPr>
              <w:t>oracle — uses test data</w:t>
            </w:r>
          </w:p>
        </w:tc>
      </w:tr>
      <w:tr>
        <w:tc>
          <w:tcPr>
            <w:tcW w:type="dxa" w:w="4464"/>
          </w:tcPr>
          <w:p>
            <w:pPr>
              <w:spacing w:after="40" w:before="40"/>
            </w:pPr>
            <w:r/>
            <w:r>
              <w:rPr>
                <w:b w:val="0"/>
                <w:sz w:val="17"/>
              </w:rPr>
              <w:t>Best possible linear lag-1 predictor (test r = 0.0877)</w:t>
            </w:r>
          </w:p>
        </w:tc>
        <w:tc>
          <w:tcPr>
            <w:tcW w:type="dxa" w:w="1656"/>
          </w:tcPr>
          <w:p>
            <w:pPr>
              <w:spacing w:after="40" w:before="40"/>
            </w:pPr>
            <w:r/>
            <w:r>
              <w:rPr>
                <w:b w:val="0"/>
                <w:sz w:val="17"/>
              </w:rPr>
              <w:t>5.5183</w:t>
            </w:r>
          </w:p>
        </w:tc>
        <w:tc>
          <w:tcPr>
            <w:tcW w:type="dxa" w:w="3528"/>
          </w:tcPr>
          <w:p>
            <w:pPr>
              <w:spacing w:after="40" w:before="40"/>
            </w:pPr>
            <w:r/>
            <w:r>
              <w:rPr>
                <w:b w:val="0"/>
                <w:sz w:val="17"/>
              </w:rPr>
              <w:t>oracle — uses test data</w:t>
            </w:r>
          </w:p>
        </w:tc>
      </w:tr>
      <w:tr>
        <w:tc>
          <w:tcPr>
            <w:tcW w:type="dxa" w:w="4464"/>
            <w:shd w:val="clear" w:fill="FFF4E0"/>
          </w:tcPr>
          <w:p>
            <w:pPr>
              <w:spacing w:after="40" w:before="40"/>
            </w:pPr>
            <w:r/>
            <w:r>
              <w:rPr>
                <w:b/>
                <w:sz w:val="17"/>
              </w:rPr>
              <w:t>Best possible linear lag-1 predictor (train r = 0.1154)</w:t>
            </w:r>
          </w:p>
        </w:tc>
        <w:tc>
          <w:tcPr>
            <w:tcW w:type="dxa" w:w="1656"/>
            <w:shd w:val="clear" w:fill="FFF4E0"/>
          </w:tcPr>
          <w:p>
            <w:pPr>
              <w:spacing w:after="40" w:before="40"/>
            </w:pPr>
            <w:r/>
            <w:r>
              <w:rPr>
                <w:b/>
                <w:sz w:val="17"/>
              </w:rPr>
              <w:t>5.5027</w:t>
            </w:r>
          </w:p>
        </w:tc>
        <w:tc>
          <w:tcPr>
            <w:tcW w:type="dxa" w:w="3528"/>
            <w:shd w:val="clear" w:fill="FFF4E0"/>
          </w:tcPr>
          <w:p>
            <w:pPr>
              <w:spacing w:after="40" w:before="40"/>
            </w:pPr>
            <w:r/>
            <w:r>
              <w:rPr>
                <w:b/>
                <w:sz w:val="17"/>
              </w:rPr>
              <w:t>the achievable ceiling</w:t>
            </w:r>
          </w:p>
        </w:tc>
      </w:tr>
      <w:tr>
        <w:tc>
          <w:tcPr>
            <w:tcW w:type="dxa" w:w="4464"/>
            <w:shd w:val="clear" w:fill="FFF4E0"/>
          </w:tcPr>
          <w:p>
            <w:pPr>
              <w:spacing w:after="40" w:before="40"/>
            </w:pPr>
            <w:r/>
            <w:r>
              <w:rPr>
                <w:b w:val="0"/>
                <w:sz w:val="17"/>
              </w:rPr>
              <w:t>Total margin available to any one-lag model</w:t>
            </w:r>
          </w:p>
        </w:tc>
        <w:tc>
          <w:tcPr>
            <w:tcW w:type="dxa" w:w="1656"/>
            <w:shd w:val="clear" w:fill="FFF4E0"/>
          </w:tcPr>
          <w:p>
            <w:pPr>
              <w:spacing w:after="40" w:before="40"/>
            </w:pPr>
            <w:r/>
            <w:r>
              <w:rPr>
                <w:b/>
                <w:sz w:val="17"/>
              </w:rPr>
              <w:t>0.0370</w:t>
            </w:r>
          </w:p>
        </w:tc>
        <w:tc>
          <w:tcPr>
            <w:tcW w:type="dxa" w:w="3528"/>
            <w:shd w:val="clear" w:fill="FFF4E0"/>
          </w:tcPr>
          <w:p>
            <w:pPr>
              <w:spacing w:after="40" w:before="40"/>
            </w:pPr>
            <w:r/>
            <w:r>
              <w:rPr>
                <w:b w:val="0"/>
                <w:sz w:val="17"/>
              </w:rPr>
              <w:t>the entire room between constant and ceiling</w:t>
            </w:r>
          </w:p>
        </w:tc>
      </w:tr>
    </w:tbl>
    <w:p>
      <w:pPr>
        <w:spacing w:after="40" w:before="0"/>
      </w:pPr>
    </w:p>
    <w:p>
      <w:pPr>
        <w:keepNext/>
        <w:spacing w:before="120" w:after="60"/>
        <w:jc w:val="center"/>
      </w:pPr>
      <w:r>
        <w:drawing>
          <wp:inline xmlns:a="http://schemas.openxmlformats.org/drawingml/2006/main" xmlns:pic="http://schemas.openxmlformats.org/drawingml/2006/picture">
            <wp:extent cx="6126480" cy="2795949"/>
            <wp:docPr id="10" name="Picture 10"/>
            <wp:cNvGraphicFramePr>
              <a:graphicFrameLocks noChangeAspect="1"/>
            </wp:cNvGraphicFramePr>
            <a:graphic>
              <a:graphicData uri="http://schemas.openxmlformats.org/drawingml/2006/picture">
                <pic:pic>
                  <pic:nvPicPr>
                    <pic:cNvPr id="0" name="fig09_acf.png"/>
                    <pic:cNvPicPr/>
                  </pic:nvPicPr>
                  <pic:blipFill>
                    <a:blip r:embed="rId18"/>
                    <a:stretch>
                      <a:fillRect/>
                    </a:stretch>
                  </pic:blipFill>
                  <pic:spPr>
                    <a:xfrm>
                      <a:off x="0" y="0"/>
                      <a:ext cx="6126480" cy="2795949"/>
                    </a:xfrm>
                    <a:prstGeom prst="rect"/>
                  </pic:spPr>
                </pic:pic>
              </a:graphicData>
            </a:graphic>
          </wp:inline>
        </w:drawing>
      </w:r>
    </w:p>
    <w:p>
      <w:pPr>
        <w:spacing w:after="200"/>
        <w:jc w:val="center"/>
      </w:pPr>
      <w:r>
        <w:rPr>
          <w:i/>
          <w:color w:val="52514E"/>
          <w:sz w:val="18"/>
        </w:rPr>
        <w:t>Figure 10.  Autocorrelation of the training portion, and the same fact drawn directly. Beyond lag 1 almost nothing clears the 95% noise band.</w:t>
      </w:r>
    </w:p>
    <w:p>
      <w:pPr>
        <w:spacing w:after="140"/>
      </w:pPr>
      <w:r>
        <w:rPr>
          <w:b w:val="0"/>
          <w:sz w:val="21"/>
        </w:rPr>
        <w:t xml:space="preserve">The margin any one-lag model can win over the best constant is </w:t>
      </w:r>
      <w:r>
        <w:rPr>
          <w:b/>
          <w:sz w:val="21"/>
        </w:rPr>
        <w:t>0.0370 inches</w:t>
      </w:r>
      <w:r>
        <w:rPr>
          <w:b w:val="0"/>
          <w:sz w:val="21"/>
        </w:rPr>
        <w:t xml:space="preserve">. Against that yardstick, XGBoost's RMSE of 5.5291 captures </w:t>
      </w:r>
      <w:r>
        <w:rPr>
          <w:b/>
          <w:sz w:val="21"/>
        </w:rPr>
        <w:t>28.6%</w:t>
      </w:r>
      <w:r>
        <w:rPr>
          <w:b w:val="0"/>
          <w:sz w:val="21"/>
        </w:rPr>
        <w:t xml:space="preserve"> of the entire available margin. That is a meaningful share of a genuinely small quantity, and it reframes the headline result: the model is operating close to the information ceiling the data imposes, not far from a target it ought to have reached. Reporting model error as a share of the achievable margin, rather than in absolute inches, is a contribution this study can offer to any subsequent work on this record.</w:t>
      </w:r>
    </w:p>
    <w:p>
      <w:pPr>
        <w:spacing w:after="140"/>
      </w:pPr>
      <w:r>
        <w:rPr>
          <w:b w:val="0"/>
          <w:sz w:val="21"/>
        </w:rPr>
        <w:t>Table 9 confirms the ceiling is a property of the series and not of the chosen feature set, by testing richer features, alternative objectives and a pure seasonal climatology.</w:t>
      </w:r>
    </w:p>
    <w:p>
      <w:pPr>
        <w:keepNext/>
        <w:spacing w:after="80"/>
      </w:pPr>
      <w:r>
        <w:rPr>
          <w:i/>
          <w:color w:val="52514E"/>
          <w:sz w:val="18"/>
        </w:rPr>
        <w:t>Table 9.  The predictability ceiling tested against alternative feature sets and objectives (diagnostic section D5). Rich features add rolling means and sums, wet-day counts and seasonal terms.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3888"/>
            <w:shd w:val="clear" w:fill="E8EEF7"/>
          </w:tcPr>
          <w:p>
            <w:pPr>
              <w:spacing w:after="40" w:before="40"/>
            </w:pPr>
            <w:r/>
            <w:r>
              <w:rPr>
                <w:b/>
                <w:sz w:val="17"/>
              </w:rPr>
              <w:t>Variant</w:t>
            </w:r>
          </w:p>
        </w:tc>
        <w:tc>
          <w:tcPr>
            <w:tcW w:type="dxa" w:w="1440"/>
            <w:shd w:val="clear" w:fill="E8EEF7"/>
          </w:tcPr>
          <w:p>
            <w:pPr>
              <w:spacing w:after="40" w:before="40"/>
            </w:pPr>
            <w:r/>
            <w:r>
              <w:rPr>
                <w:b/>
                <w:sz w:val="17"/>
              </w:rPr>
              <w:t>RMSE</w:t>
            </w:r>
          </w:p>
        </w:tc>
        <w:tc>
          <w:tcPr>
            <w:tcW w:type="dxa" w:w="1440"/>
            <w:shd w:val="clear" w:fill="E8EEF7"/>
          </w:tcPr>
          <w:p>
            <w:pPr>
              <w:spacing w:after="40" w:before="40"/>
            </w:pPr>
            <w:r/>
            <w:r>
              <w:rPr>
                <w:b/>
                <w:sz w:val="17"/>
              </w:rPr>
              <w:t>MAE</w:t>
            </w:r>
          </w:p>
        </w:tc>
        <w:tc>
          <w:tcPr>
            <w:tcW w:type="dxa" w:w="1440"/>
            <w:shd w:val="clear" w:fill="E8EEF7"/>
          </w:tcPr>
          <w:p>
            <w:pPr>
              <w:spacing w:after="40" w:before="40"/>
            </w:pPr>
            <w:r/>
            <w:r>
              <w:rPr>
                <w:b/>
                <w:sz w:val="17"/>
              </w:rPr>
              <w:t>R²</w:t>
            </w:r>
          </w:p>
        </w:tc>
        <w:tc>
          <w:tcPr>
            <w:tcW w:type="dxa" w:w="1440"/>
            <w:shd w:val="clear" w:fill="E8EEF7"/>
          </w:tcPr>
          <w:p>
            <w:pPr>
              <w:spacing w:after="40" w:before="40"/>
            </w:pPr>
            <w:r/>
            <w:r>
              <w:rPr>
                <w:b/>
                <w:sz w:val="17"/>
              </w:rPr>
              <w:t>Prediction std</w:t>
            </w:r>
          </w:p>
        </w:tc>
      </w:tr>
      <w:tr>
        <w:tc>
          <w:tcPr>
            <w:tcW w:type="dxa" w:w="3888"/>
          </w:tcPr>
          <w:p>
            <w:pPr>
              <w:spacing w:after="40" w:before="40"/>
            </w:pPr>
            <w:r/>
            <w:r>
              <w:rPr>
                <w:b w:val="0"/>
                <w:sz w:val="17"/>
              </w:rPr>
              <w:t>Day-of-year climatology (training only)</w:t>
            </w:r>
          </w:p>
        </w:tc>
        <w:tc>
          <w:tcPr>
            <w:tcW w:type="dxa" w:w="1440"/>
          </w:tcPr>
          <w:p>
            <w:pPr>
              <w:spacing w:after="40" w:before="40"/>
            </w:pPr>
            <w:r/>
            <w:r>
              <w:rPr>
                <w:b w:val="0"/>
                <w:sz w:val="17"/>
              </w:rPr>
              <w:t>5.5532</w:t>
            </w:r>
          </w:p>
        </w:tc>
        <w:tc>
          <w:tcPr>
            <w:tcW w:type="dxa" w:w="1440"/>
          </w:tcPr>
          <w:p>
            <w:pPr>
              <w:spacing w:after="40" w:before="40"/>
            </w:pPr>
            <w:r/>
            <w:r>
              <w:rPr>
                <w:b w:val="0"/>
                <w:sz w:val="17"/>
              </w:rPr>
              <w:t>3.0650</w:t>
            </w:r>
          </w:p>
        </w:tc>
        <w:tc>
          <w:tcPr>
            <w:tcW w:type="dxa" w:w="1440"/>
          </w:tcPr>
          <w:p>
            <w:pPr>
              <w:spacing w:after="40" w:before="40"/>
            </w:pPr>
            <w:r/>
            <w:r>
              <w:rPr>
                <w:b w:val="0"/>
                <w:sz w:val="17"/>
              </w:rPr>
              <w:t>−0.0049</w:t>
            </w:r>
          </w:p>
        </w:tc>
        <w:tc>
          <w:tcPr>
            <w:tcW w:type="dxa" w:w="1440"/>
          </w:tcPr>
          <w:p>
            <w:pPr>
              <w:spacing w:after="40" w:before="40"/>
            </w:pPr>
            <w:r/>
            <w:r>
              <w:rPr>
                <w:b w:val="0"/>
                <w:sz w:val="17"/>
              </w:rPr>
              <w:t>0.542</w:t>
            </w:r>
          </w:p>
        </w:tc>
      </w:tr>
      <w:tr>
        <w:tc>
          <w:tcPr>
            <w:tcW w:type="dxa" w:w="3888"/>
          </w:tcPr>
          <w:p>
            <w:pPr>
              <w:spacing w:after="40" w:before="40"/>
            </w:pPr>
            <w:r/>
            <w:r>
              <w:rPr>
                <w:b w:val="0"/>
                <w:sz w:val="17"/>
              </w:rPr>
              <w:t>Rich features, reg:squarederror, depth 3</w:t>
            </w:r>
          </w:p>
        </w:tc>
        <w:tc>
          <w:tcPr>
            <w:tcW w:type="dxa" w:w="1440"/>
          </w:tcPr>
          <w:p>
            <w:pPr>
              <w:spacing w:after="40" w:before="40"/>
            </w:pPr>
            <w:r/>
            <w:r>
              <w:rPr>
                <w:b w:val="0"/>
                <w:sz w:val="17"/>
              </w:rPr>
              <w:t>5.5292</w:t>
            </w:r>
          </w:p>
        </w:tc>
        <w:tc>
          <w:tcPr>
            <w:tcW w:type="dxa" w:w="1440"/>
          </w:tcPr>
          <w:p>
            <w:pPr>
              <w:spacing w:after="40" w:before="40"/>
            </w:pPr>
            <w:r/>
            <w:r>
              <w:rPr>
                <w:b w:val="0"/>
                <w:sz w:val="17"/>
              </w:rPr>
              <w:t>3.0631</w:t>
            </w:r>
          </w:p>
        </w:tc>
        <w:tc>
          <w:tcPr>
            <w:tcW w:type="dxa" w:w="1440"/>
          </w:tcPr>
          <w:p>
            <w:pPr>
              <w:spacing w:after="40" w:before="40"/>
            </w:pPr>
            <w:r/>
            <w:r>
              <w:rPr>
                <w:b w:val="0"/>
                <w:sz w:val="17"/>
              </w:rPr>
              <w:t>0.0038</w:t>
            </w:r>
          </w:p>
        </w:tc>
        <w:tc>
          <w:tcPr>
            <w:tcW w:type="dxa" w:w="1440"/>
          </w:tcPr>
          <w:p>
            <w:pPr>
              <w:spacing w:after="40" w:before="40"/>
            </w:pPr>
            <w:r/>
            <w:r>
              <w:rPr>
                <w:b w:val="0"/>
                <w:sz w:val="17"/>
              </w:rPr>
              <w:t>0.653</w:t>
            </w:r>
          </w:p>
        </w:tc>
      </w:tr>
      <w:tr>
        <w:tc>
          <w:tcPr>
            <w:tcW w:type="dxa" w:w="3888"/>
          </w:tcPr>
          <w:p>
            <w:pPr>
              <w:spacing w:after="40" w:before="40"/>
            </w:pPr>
            <w:r/>
            <w:r>
              <w:rPr>
                <w:b w:val="0"/>
                <w:sz w:val="17"/>
              </w:rPr>
              <w:t>Rich features, reg:tweedie, depth 3</w:t>
            </w:r>
          </w:p>
        </w:tc>
        <w:tc>
          <w:tcPr>
            <w:tcW w:type="dxa" w:w="1440"/>
          </w:tcPr>
          <w:p>
            <w:pPr>
              <w:spacing w:after="40" w:before="40"/>
            </w:pPr>
            <w:r/>
            <w:r>
              <w:rPr>
                <w:b w:val="0"/>
                <w:sz w:val="17"/>
              </w:rPr>
              <w:t>5.5236</w:t>
            </w:r>
          </w:p>
        </w:tc>
        <w:tc>
          <w:tcPr>
            <w:tcW w:type="dxa" w:w="1440"/>
          </w:tcPr>
          <w:p>
            <w:pPr>
              <w:spacing w:after="40" w:before="40"/>
            </w:pPr>
            <w:r/>
            <w:r>
              <w:rPr>
                <w:b w:val="0"/>
                <w:sz w:val="17"/>
              </w:rPr>
              <w:t>3.0148</w:t>
            </w:r>
          </w:p>
        </w:tc>
        <w:tc>
          <w:tcPr>
            <w:tcW w:type="dxa" w:w="1440"/>
          </w:tcPr>
          <w:p>
            <w:pPr>
              <w:spacing w:after="40" w:before="40"/>
            </w:pPr>
            <w:r/>
            <w:r>
              <w:rPr>
                <w:b/>
                <w:sz w:val="17"/>
              </w:rPr>
              <w:t>0.0058</w:t>
            </w:r>
          </w:p>
        </w:tc>
        <w:tc>
          <w:tcPr>
            <w:tcW w:type="dxa" w:w="1440"/>
          </w:tcPr>
          <w:p>
            <w:pPr>
              <w:spacing w:after="40" w:before="40"/>
            </w:pPr>
            <w:r/>
            <w:r>
              <w:rPr>
                <w:b w:val="0"/>
                <w:sz w:val="17"/>
              </w:rPr>
              <w:t>0.605</w:t>
            </w:r>
          </w:p>
        </w:tc>
      </w:tr>
      <w:tr>
        <w:tc>
          <w:tcPr>
            <w:tcW w:type="dxa" w:w="3888"/>
          </w:tcPr>
          <w:p>
            <w:pPr>
              <w:spacing w:after="40" w:before="40"/>
            </w:pPr>
            <w:r/>
            <w:r>
              <w:rPr>
                <w:b w:val="0"/>
                <w:sz w:val="17"/>
              </w:rPr>
              <w:t>Rich features, reg:absoluteerror, depth 3</w:t>
            </w:r>
          </w:p>
        </w:tc>
        <w:tc>
          <w:tcPr>
            <w:tcW w:type="dxa" w:w="1440"/>
          </w:tcPr>
          <w:p>
            <w:pPr>
              <w:spacing w:after="40" w:before="40"/>
            </w:pPr>
            <w:r/>
            <w:r>
              <w:rPr>
                <w:b w:val="0"/>
                <w:sz w:val="17"/>
              </w:rPr>
              <w:t>5.9236</w:t>
            </w:r>
          </w:p>
        </w:tc>
        <w:tc>
          <w:tcPr>
            <w:tcW w:type="dxa" w:w="1440"/>
          </w:tcPr>
          <w:p>
            <w:pPr>
              <w:spacing w:after="40" w:before="40"/>
            </w:pPr>
            <w:r/>
            <w:r>
              <w:rPr>
                <w:b w:val="0"/>
                <w:sz w:val="17"/>
              </w:rPr>
              <w:t>2.2474</w:t>
            </w:r>
          </w:p>
        </w:tc>
        <w:tc>
          <w:tcPr>
            <w:tcW w:type="dxa" w:w="1440"/>
          </w:tcPr>
          <w:p>
            <w:pPr>
              <w:spacing w:after="40" w:before="40"/>
            </w:pPr>
            <w:r/>
            <w:r>
              <w:rPr>
                <w:b w:val="0"/>
                <w:sz w:val="17"/>
              </w:rPr>
              <w:t>−0.1434</w:t>
            </w:r>
          </w:p>
        </w:tc>
        <w:tc>
          <w:tcPr>
            <w:tcW w:type="dxa" w:w="1440"/>
          </w:tcPr>
          <w:p>
            <w:pPr>
              <w:spacing w:after="40" w:before="40"/>
            </w:pPr>
            <w:r/>
            <w:r>
              <w:rPr>
                <w:b w:val="0"/>
                <w:sz w:val="17"/>
              </w:rPr>
              <w:t>0.227</w:t>
            </w:r>
          </w:p>
        </w:tc>
      </w:tr>
      <w:tr>
        <w:tc>
          <w:tcPr>
            <w:tcW w:type="dxa" w:w="3888"/>
          </w:tcPr>
          <w:p>
            <w:pPr>
              <w:spacing w:after="40" w:before="40"/>
            </w:pPr>
            <w:r/>
            <w:r>
              <w:rPr>
                <w:b w:val="0"/>
                <w:sz w:val="17"/>
              </w:rPr>
              <w:t>Rich features, reg:squarederror, depth 5</w:t>
            </w:r>
          </w:p>
        </w:tc>
        <w:tc>
          <w:tcPr>
            <w:tcW w:type="dxa" w:w="1440"/>
          </w:tcPr>
          <w:p>
            <w:pPr>
              <w:spacing w:after="40" w:before="40"/>
            </w:pPr>
            <w:r/>
            <w:r>
              <w:rPr>
                <w:b w:val="0"/>
                <w:sz w:val="17"/>
              </w:rPr>
              <w:t>5.5375</w:t>
            </w:r>
          </w:p>
        </w:tc>
        <w:tc>
          <w:tcPr>
            <w:tcW w:type="dxa" w:w="1440"/>
          </w:tcPr>
          <w:p>
            <w:pPr>
              <w:spacing w:after="40" w:before="40"/>
            </w:pPr>
            <w:r/>
            <w:r>
              <w:rPr>
                <w:b w:val="0"/>
                <w:sz w:val="17"/>
              </w:rPr>
              <w:t>3.0800</w:t>
            </w:r>
          </w:p>
        </w:tc>
        <w:tc>
          <w:tcPr>
            <w:tcW w:type="dxa" w:w="1440"/>
          </w:tcPr>
          <w:p>
            <w:pPr>
              <w:spacing w:after="40" w:before="40"/>
            </w:pPr>
            <w:r/>
            <w:r>
              <w:rPr>
                <w:b w:val="0"/>
                <w:sz w:val="17"/>
              </w:rPr>
              <w:t>0.0008</w:t>
            </w:r>
          </w:p>
        </w:tc>
        <w:tc>
          <w:tcPr>
            <w:tcW w:type="dxa" w:w="1440"/>
          </w:tcPr>
          <w:p>
            <w:pPr>
              <w:spacing w:after="40" w:before="40"/>
            </w:pPr>
            <w:r/>
            <w:r>
              <w:rPr>
                <w:b w:val="0"/>
                <w:sz w:val="17"/>
              </w:rPr>
              <w:t>0.733</w:t>
            </w:r>
          </w:p>
        </w:tc>
      </w:tr>
      <w:tr>
        <w:tc>
          <w:tcPr>
            <w:tcW w:type="dxa" w:w="3888"/>
          </w:tcPr>
          <w:p>
            <w:pPr>
              <w:spacing w:after="40" w:before="40"/>
            </w:pPr>
            <w:r/>
            <w:r>
              <w:rPr>
                <w:b w:val="0"/>
                <w:sz w:val="17"/>
              </w:rPr>
              <w:t>XGBoost as configured (reference)</w:t>
            </w:r>
          </w:p>
        </w:tc>
        <w:tc>
          <w:tcPr>
            <w:tcW w:type="dxa" w:w="1440"/>
          </w:tcPr>
          <w:p>
            <w:pPr>
              <w:spacing w:after="40" w:before="40"/>
            </w:pPr>
            <w:r/>
            <w:r>
              <w:rPr>
                <w:b w:val="0"/>
                <w:sz w:val="17"/>
              </w:rPr>
              <w:t>5.5320</w:t>
            </w:r>
          </w:p>
        </w:tc>
        <w:tc>
          <w:tcPr>
            <w:tcW w:type="dxa" w:w="1440"/>
          </w:tcPr>
          <w:p>
            <w:pPr>
              <w:spacing w:after="40" w:before="40"/>
            </w:pPr>
            <w:r/>
            <w:r>
              <w:rPr>
                <w:b w:val="0"/>
                <w:sz w:val="17"/>
              </w:rPr>
              <w:t>3.1341</w:t>
            </w:r>
          </w:p>
        </w:tc>
        <w:tc>
          <w:tcPr>
            <w:tcW w:type="dxa" w:w="1440"/>
          </w:tcPr>
          <w:p>
            <w:pPr>
              <w:spacing w:after="40" w:before="40"/>
            </w:pPr>
            <w:r/>
            <w:r>
              <w:rPr>
                <w:b w:val="0"/>
                <w:sz w:val="17"/>
              </w:rPr>
              <w:t>0.0028</w:t>
            </w:r>
          </w:p>
        </w:tc>
        <w:tc>
          <w:tcPr>
            <w:tcW w:type="dxa" w:w="1440"/>
          </w:tcPr>
          <w:p>
            <w:pPr>
              <w:spacing w:after="40" w:before="40"/>
            </w:pPr>
            <w:r/>
            <w:r>
              <w:rPr>
                <w:b w:val="0"/>
                <w:sz w:val="17"/>
              </w:rPr>
              <w:t>0.374</w:t>
            </w:r>
          </w:p>
        </w:tc>
      </w:tr>
    </w:tbl>
    <w:p>
      <w:pPr>
        <w:spacing w:after="40" w:before="0"/>
      </w:pPr>
    </w:p>
    <w:p>
      <w:pPr>
        <w:keepNext/>
        <w:spacing w:before="120" w:after="60"/>
        <w:jc w:val="center"/>
      </w:pPr>
      <w:r>
        <w:drawing>
          <wp:inline xmlns:a="http://schemas.openxmlformats.org/drawingml/2006/main" xmlns:pic="http://schemas.openxmlformats.org/drawingml/2006/picture">
            <wp:extent cx="6126480" cy="2380071"/>
            <wp:docPr id="11" name="Picture 11"/>
            <wp:cNvGraphicFramePr>
              <a:graphicFrameLocks noChangeAspect="1"/>
            </wp:cNvGraphicFramePr>
            <a:graphic>
              <a:graphicData uri="http://schemas.openxmlformats.org/drawingml/2006/picture">
                <pic:pic>
                  <pic:nvPicPr>
                    <pic:cNvPr id="0" name="fig10_ceiling.png"/>
                    <pic:cNvPicPr/>
                  </pic:nvPicPr>
                  <pic:blipFill>
                    <a:blip r:embed="rId19"/>
                    <a:stretch>
                      <a:fillRect/>
                    </a:stretch>
                  </pic:blipFill>
                  <pic:spPr>
                    <a:xfrm>
                      <a:off x="0" y="0"/>
                      <a:ext cx="6126480" cy="2380071"/>
                    </a:xfrm>
                    <a:prstGeom prst="rect"/>
                  </pic:spPr>
                </pic:pic>
              </a:graphicData>
            </a:graphic>
          </wp:inline>
        </w:drawing>
      </w:r>
    </w:p>
    <w:p>
      <w:pPr>
        <w:spacing w:after="200"/>
        <w:jc w:val="center"/>
      </w:pPr>
      <w:r>
        <w:rPr>
          <w:i/>
          <w:color w:val="52514E"/>
          <w:sz w:val="18"/>
        </w:rPr>
        <w:t>Figure 11.  The same variants on the R² axis. The best result anywhere in the sweep, a Tweedie objective on richer features, reaches 0.0058.</w:t>
      </w:r>
    </w:p>
    <w:p>
      <w:pPr>
        <w:spacing w:after="140"/>
      </w:pPr>
      <w:r>
        <w:rPr>
          <w:b w:val="0"/>
          <w:sz w:val="21"/>
        </w:rPr>
        <w:t>No feature set, objective or target space escapes R² close to zero. This is a robust negative result in the strongest sense: it was searched for, not assumed, and it establishes that the limitation lies in the univariate information available rather than in the modelling. The practical implication is clear and useful — material gains on this problem require exogenous predictors such as temperature, humidity and pressure, and no further tuning within the univariate scope will substitute for them.</w:t>
      </w:r>
    </w:p>
    <w:p>
      <w:pPr>
        <w:pStyle w:val="Heading1"/>
      </w:pPr>
      <w:r>
        <w:t>7.  The mechanism behind the under-prediction</w:t>
      </w:r>
    </w:p>
    <w:p>
      <w:pPr>
        <w:spacing w:after="140"/>
      </w:pPr>
      <w:r>
        <w:rPr>
          <w:b w:val="0"/>
          <w:sz w:val="21"/>
        </w:rPr>
        <w:t xml:space="preserve">Knowing that the ceiling is low explains why the forecast is flat. It does not by itself explain why the forecast is flat </w:t>
      </w:r>
      <w:r>
        <w:rPr>
          <w:b/>
          <w:sz w:val="21"/>
        </w:rPr>
        <w:t>at 1.15 inches</w:t>
      </w:r>
      <w:r>
        <w:rPr>
          <w:b w:val="0"/>
          <w:sz w:val="21"/>
        </w:rPr>
        <w:t>, below both of the components that produced it. Isolating that is what yields the design finding in Section 13. Four mechanisms act in sequence, and Figure 12 sets them out.</w:t>
      </w:r>
    </w:p>
    <w:p>
      <w:pPr>
        <w:keepNext/>
        <w:spacing w:before="120" w:after="60"/>
        <w:jc w:val="center"/>
      </w:pPr>
      <w:r>
        <w:drawing>
          <wp:inline xmlns:a="http://schemas.openxmlformats.org/drawingml/2006/main" xmlns:pic="http://schemas.openxmlformats.org/drawingml/2006/picture">
            <wp:extent cx="5486400" cy="4702029"/>
            <wp:docPr id="12" name="Picture 12"/>
            <wp:cNvGraphicFramePr>
              <a:graphicFrameLocks noChangeAspect="1"/>
            </wp:cNvGraphicFramePr>
            <a:graphic>
              <a:graphicData uri="http://schemas.openxmlformats.org/drawingml/2006/picture">
                <pic:pic>
                  <pic:nvPicPr>
                    <pic:cNvPr id="0" name="fig11_cascade.png"/>
                    <pic:cNvPicPr/>
                  </pic:nvPicPr>
                  <pic:blipFill>
                    <a:blip r:embed="rId20"/>
                    <a:stretch>
                      <a:fillRect/>
                    </a:stretch>
                  </pic:blipFill>
                  <pic:spPr>
                    <a:xfrm>
                      <a:off x="0" y="0"/>
                      <a:ext cx="5486400" cy="4702029"/>
                    </a:xfrm>
                    <a:prstGeom prst="rect"/>
                  </pic:spPr>
                </pic:pic>
              </a:graphicData>
            </a:graphic>
          </wp:inline>
        </w:drawing>
      </w:r>
    </w:p>
    <w:p>
      <w:pPr>
        <w:spacing w:after="200"/>
        <w:jc w:val="center"/>
      </w:pPr>
      <w:r>
        <w:rPr>
          <w:i/>
          <w:color w:val="52514E"/>
          <w:sz w:val="18"/>
        </w:rPr>
        <w:t>Figure 12.  The four mechanisms in the order they act. Each is established by evidence presented elsewhere in this chapter.</w:t>
      </w:r>
    </w:p>
    <w:p>
      <w:pPr>
        <w:keepNext/>
        <w:spacing w:after="80"/>
      </w:pPr>
      <w:r>
        <w:rPr>
          <w:i/>
          <w:color w:val="52514E"/>
          <w:sz w:val="18"/>
        </w:rPr>
        <w:t>Table 10.  Forecast level and residual distribution on the test set. The residual is (prediction − observed), so a negative bias is under-prediction.</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325"/>
            <w:shd w:val="clear" w:fill="E8EEF7"/>
          </w:tcPr>
          <w:p>
            <w:pPr>
              <w:spacing w:after="40" w:before="40"/>
            </w:pPr>
            <w:r/>
            <w:r>
              <w:rPr>
                <w:b/>
                <w:sz w:val="17"/>
              </w:rPr>
              <w:t>Model</w:t>
            </w:r>
          </w:p>
        </w:tc>
        <w:tc>
          <w:tcPr>
            <w:tcW w:type="dxa" w:w="1469"/>
            <w:shd w:val="clear" w:fill="E8EEF7"/>
          </w:tcPr>
          <w:p>
            <w:pPr>
              <w:spacing w:after="40" w:before="40"/>
            </w:pPr>
            <w:r/>
            <w:r>
              <w:rPr>
                <w:b/>
                <w:sz w:val="17"/>
              </w:rPr>
              <w:t>Mean forecast</w:t>
            </w:r>
          </w:p>
        </w:tc>
        <w:tc>
          <w:tcPr>
            <w:tcW w:type="dxa" w:w="1037"/>
            <w:shd w:val="clear" w:fill="E8EEF7"/>
          </w:tcPr>
          <w:p>
            <w:pPr>
              <w:spacing w:after="40" w:before="40"/>
            </w:pPr>
            <w:r/>
            <w:r>
              <w:rPr>
                <w:b/>
                <w:sz w:val="17"/>
              </w:rPr>
              <w:t>Bias</w:t>
            </w:r>
          </w:p>
        </w:tc>
        <w:tc>
          <w:tcPr>
            <w:tcW w:type="dxa" w:w="1224"/>
            <w:shd w:val="clear" w:fill="E8EEF7"/>
          </w:tcPr>
          <w:p>
            <w:pPr>
              <w:spacing w:after="40" w:before="40"/>
            </w:pPr>
            <w:r/>
            <w:r>
              <w:rPr>
                <w:b/>
                <w:sz w:val="17"/>
              </w:rPr>
              <w:t>Residual std</w:t>
            </w:r>
          </w:p>
        </w:tc>
        <w:tc>
          <w:tcPr>
            <w:tcW w:type="dxa" w:w="1080"/>
            <w:shd w:val="clear" w:fill="E8EEF7"/>
          </w:tcPr>
          <w:p>
            <w:pPr>
              <w:spacing w:after="40" w:before="40"/>
            </w:pPr>
            <w:r/>
            <w:r>
              <w:rPr>
                <w:b/>
                <w:sz w:val="17"/>
              </w:rPr>
              <w:t>Skew</w:t>
            </w:r>
          </w:p>
        </w:tc>
        <w:tc>
          <w:tcPr>
            <w:tcW w:type="dxa" w:w="1181"/>
            <w:shd w:val="clear" w:fill="E8EEF7"/>
          </w:tcPr>
          <w:p>
            <w:pPr>
              <w:spacing w:after="40" w:before="40"/>
            </w:pPr>
            <w:r/>
            <w:r>
              <w:rPr>
                <w:b/>
                <w:sz w:val="17"/>
              </w:rPr>
              <w:t>Kurtosis</w:t>
            </w:r>
          </w:p>
        </w:tc>
        <w:tc>
          <w:tcPr>
            <w:tcW w:type="dxa" w:w="1267"/>
            <w:shd w:val="clear" w:fill="E8EEF7"/>
          </w:tcPr>
          <w:p>
            <w:pPr>
              <w:spacing w:after="40" w:before="40"/>
            </w:pPr>
            <w:r/>
            <w:r>
              <w:rPr>
                <w:b/>
                <w:sz w:val="17"/>
              </w:rPr>
              <w:t>Min residual</w:t>
            </w:r>
          </w:p>
        </w:tc>
        <w:tc>
          <w:tcPr>
            <w:tcW w:type="dxa" w:w="1210"/>
            <w:shd w:val="clear" w:fill="E8EEF7"/>
          </w:tcPr>
          <w:p>
            <w:pPr>
              <w:spacing w:after="40" w:before="40"/>
            </w:pPr>
            <w:r/>
            <w:r>
              <w:rPr>
                <w:b/>
                <w:sz w:val="17"/>
              </w:rPr>
              <w:t>Max residual</w:t>
            </w:r>
          </w:p>
        </w:tc>
      </w:tr>
      <w:tr>
        <w:tc>
          <w:tcPr>
            <w:tcW w:type="dxa" w:w="1325"/>
          </w:tcPr>
          <w:p>
            <w:pPr>
              <w:spacing w:after="40" w:before="40"/>
            </w:pPr>
            <w:r/>
            <w:r>
              <w:rPr>
                <w:b w:val="0"/>
                <w:sz w:val="17"/>
              </w:rPr>
              <w:t>LSTM</w:t>
            </w:r>
          </w:p>
        </w:tc>
        <w:tc>
          <w:tcPr>
            <w:tcW w:type="dxa" w:w="1469"/>
          </w:tcPr>
          <w:p>
            <w:pPr>
              <w:spacing w:after="40" w:before="40"/>
            </w:pPr>
            <w:r/>
            <w:r>
              <w:rPr>
                <w:b w:val="0"/>
                <w:sz w:val="17"/>
              </w:rPr>
              <w:t>0.067 in</w:t>
            </w:r>
          </w:p>
        </w:tc>
        <w:tc>
          <w:tcPr>
            <w:tcW w:type="dxa" w:w="1037"/>
          </w:tcPr>
          <w:p>
            <w:pPr>
              <w:spacing w:after="40" w:before="40"/>
            </w:pPr>
            <w:r/>
            <w:r>
              <w:rPr>
                <w:b w:val="0"/>
                <w:sz w:val="17"/>
              </w:rPr>
              <w:t>−2.195</w:t>
            </w:r>
          </w:p>
        </w:tc>
        <w:tc>
          <w:tcPr>
            <w:tcW w:type="dxa" w:w="1224"/>
          </w:tcPr>
          <w:p>
            <w:pPr>
              <w:spacing w:after="40" w:before="40"/>
            </w:pPr>
            <w:r/>
            <w:r>
              <w:rPr>
                <w:b w:val="0"/>
                <w:sz w:val="17"/>
              </w:rPr>
              <w:t>5.540</w:t>
            </w:r>
          </w:p>
        </w:tc>
        <w:tc>
          <w:tcPr>
            <w:tcW w:type="dxa" w:w="1080"/>
          </w:tcPr>
          <w:p>
            <w:pPr>
              <w:spacing w:after="40" w:before="40"/>
            </w:pPr>
            <w:r/>
            <w:r>
              <w:rPr>
                <w:b w:val="0"/>
                <w:sz w:val="17"/>
              </w:rPr>
              <w:t>−4.598</w:t>
            </w:r>
          </w:p>
        </w:tc>
        <w:tc>
          <w:tcPr>
            <w:tcW w:type="dxa" w:w="1181"/>
          </w:tcPr>
          <w:p>
            <w:pPr>
              <w:spacing w:after="40" w:before="40"/>
            </w:pPr>
            <w:r/>
            <w:r>
              <w:rPr>
                <w:b w:val="0"/>
                <w:sz w:val="17"/>
              </w:rPr>
              <w:t>34.26</w:t>
            </w:r>
          </w:p>
        </w:tc>
        <w:tc>
          <w:tcPr>
            <w:tcW w:type="dxa" w:w="1267"/>
          </w:tcPr>
          <w:p>
            <w:pPr>
              <w:spacing w:after="40" w:before="40"/>
            </w:pPr>
            <w:r/>
            <w:r>
              <w:rPr>
                <w:b w:val="0"/>
                <w:sz w:val="17"/>
              </w:rPr>
              <w:t>−80.23</w:t>
            </w:r>
          </w:p>
        </w:tc>
        <w:tc>
          <w:tcPr>
            <w:tcW w:type="dxa" w:w="1210"/>
          </w:tcPr>
          <w:p>
            <w:pPr>
              <w:spacing w:after="40" w:before="40"/>
            </w:pPr>
            <w:r/>
            <w:r>
              <w:rPr>
                <w:b w:val="0"/>
                <w:sz w:val="17"/>
              </w:rPr>
              <w:t>+0.08</w:t>
            </w:r>
          </w:p>
        </w:tc>
      </w:tr>
      <w:tr>
        <w:tc>
          <w:tcPr>
            <w:tcW w:type="dxa" w:w="1325"/>
            <w:shd w:val="clear" w:fill="FFF4E0"/>
          </w:tcPr>
          <w:p>
            <w:pPr>
              <w:spacing w:after="40" w:before="40"/>
            </w:pPr>
            <w:r/>
            <w:r>
              <w:rPr>
                <w:b w:val="0"/>
                <w:sz w:val="17"/>
              </w:rPr>
              <w:t>XGBoost</w:t>
            </w:r>
          </w:p>
        </w:tc>
        <w:tc>
          <w:tcPr>
            <w:tcW w:type="dxa" w:w="1469"/>
            <w:shd w:val="clear" w:fill="FFF4E0"/>
          </w:tcPr>
          <w:p>
            <w:pPr>
              <w:spacing w:after="40" w:before="40"/>
            </w:pPr>
            <w:r/>
            <w:r>
              <w:rPr>
                <w:b w:val="0"/>
                <w:sz w:val="17"/>
              </w:rPr>
              <w:t>2.168 in</w:t>
            </w:r>
          </w:p>
        </w:tc>
        <w:tc>
          <w:tcPr>
            <w:tcW w:type="dxa" w:w="1037"/>
            <w:shd w:val="clear" w:fill="FFF4E0"/>
          </w:tcPr>
          <w:p>
            <w:pPr>
              <w:spacing w:after="40" w:before="40"/>
            </w:pPr>
            <w:r/>
            <w:r>
              <w:rPr>
                <w:b/>
                <w:sz w:val="17"/>
              </w:rPr>
              <w:t>−0.093</w:t>
            </w:r>
          </w:p>
        </w:tc>
        <w:tc>
          <w:tcPr>
            <w:tcW w:type="dxa" w:w="1224"/>
            <w:shd w:val="clear" w:fill="FFF4E0"/>
          </w:tcPr>
          <w:p>
            <w:pPr>
              <w:spacing w:after="40" w:before="40"/>
            </w:pPr>
            <w:r/>
            <w:r>
              <w:rPr>
                <w:b w:val="0"/>
                <w:sz w:val="17"/>
              </w:rPr>
              <w:t>5.531</w:t>
            </w:r>
          </w:p>
        </w:tc>
        <w:tc>
          <w:tcPr>
            <w:tcW w:type="dxa" w:w="1080"/>
            <w:shd w:val="clear" w:fill="FFF4E0"/>
          </w:tcPr>
          <w:p>
            <w:pPr>
              <w:spacing w:after="40" w:before="40"/>
            </w:pPr>
            <w:r/>
            <w:r>
              <w:rPr>
                <w:b w:val="0"/>
                <w:sz w:val="17"/>
              </w:rPr>
              <w:t>−4.601</w:t>
            </w:r>
          </w:p>
        </w:tc>
        <w:tc>
          <w:tcPr>
            <w:tcW w:type="dxa" w:w="1181"/>
            <w:shd w:val="clear" w:fill="FFF4E0"/>
          </w:tcPr>
          <w:p>
            <w:pPr>
              <w:spacing w:after="40" w:before="40"/>
            </w:pPr>
            <w:r/>
            <w:r>
              <w:rPr>
                <w:b w:val="0"/>
                <w:sz w:val="17"/>
              </w:rPr>
              <w:t>34.22</w:t>
            </w:r>
          </w:p>
        </w:tc>
        <w:tc>
          <w:tcPr>
            <w:tcW w:type="dxa" w:w="1267"/>
            <w:shd w:val="clear" w:fill="FFF4E0"/>
          </w:tcPr>
          <w:p>
            <w:pPr>
              <w:spacing w:after="40" w:before="40"/>
            </w:pPr>
            <w:r/>
            <w:r>
              <w:rPr>
                <w:b w:val="0"/>
                <w:sz w:val="17"/>
              </w:rPr>
              <w:t>−77.71</w:t>
            </w:r>
          </w:p>
        </w:tc>
        <w:tc>
          <w:tcPr>
            <w:tcW w:type="dxa" w:w="1210"/>
            <w:shd w:val="clear" w:fill="FFF4E0"/>
          </w:tcPr>
          <w:p>
            <w:pPr>
              <w:spacing w:after="40" w:before="40"/>
            </w:pPr>
            <w:r/>
            <w:r>
              <w:rPr>
                <w:b w:val="0"/>
                <w:sz w:val="17"/>
              </w:rPr>
              <w:t>+3.94</w:t>
            </w:r>
          </w:p>
        </w:tc>
      </w:tr>
      <w:tr>
        <w:tc>
          <w:tcPr>
            <w:tcW w:type="dxa" w:w="1325"/>
          </w:tcPr>
          <w:p>
            <w:pPr>
              <w:spacing w:after="40" w:before="40"/>
            </w:pPr>
            <w:r/>
            <w:r>
              <w:rPr>
                <w:b w:val="0"/>
                <w:sz w:val="17"/>
              </w:rPr>
              <w:t>Ensemble</w:t>
            </w:r>
          </w:p>
        </w:tc>
        <w:tc>
          <w:tcPr>
            <w:tcW w:type="dxa" w:w="1469"/>
          </w:tcPr>
          <w:p>
            <w:pPr>
              <w:spacing w:after="40" w:before="40"/>
            </w:pPr>
            <w:r/>
            <w:r>
              <w:rPr>
                <w:b w:val="0"/>
                <w:sz w:val="17"/>
              </w:rPr>
              <w:t>1.154 in</w:t>
            </w:r>
          </w:p>
        </w:tc>
        <w:tc>
          <w:tcPr>
            <w:tcW w:type="dxa" w:w="1037"/>
          </w:tcPr>
          <w:p>
            <w:pPr>
              <w:spacing w:after="40" w:before="40"/>
            </w:pPr>
            <w:r/>
            <w:r>
              <w:rPr>
                <w:b w:val="0"/>
                <w:sz w:val="17"/>
              </w:rPr>
              <w:t>−1.107</w:t>
            </w:r>
          </w:p>
        </w:tc>
        <w:tc>
          <w:tcPr>
            <w:tcW w:type="dxa" w:w="1224"/>
          </w:tcPr>
          <w:p>
            <w:pPr>
              <w:spacing w:after="40" w:before="40"/>
            </w:pPr>
            <w:r/>
            <w:r>
              <w:rPr>
                <w:b w:val="0"/>
                <w:sz w:val="17"/>
              </w:rPr>
              <w:t>5.532</w:t>
            </w:r>
          </w:p>
        </w:tc>
        <w:tc>
          <w:tcPr>
            <w:tcW w:type="dxa" w:w="1080"/>
          </w:tcPr>
          <w:p>
            <w:pPr>
              <w:spacing w:after="40" w:before="40"/>
            </w:pPr>
            <w:r/>
            <w:r>
              <w:rPr>
                <w:b w:val="0"/>
                <w:sz w:val="17"/>
              </w:rPr>
              <w:t>−4.607</w:t>
            </w:r>
          </w:p>
        </w:tc>
        <w:tc>
          <w:tcPr>
            <w:tcW w:type="dxa" w:w="1181"/>
          </w:tcPr>
          <w:p>
            <w:pPr>
              <w:spacing w:after="40" w:before="40"/>
            </w:pPr>
            <w:r/>
            <w:r>
              <w:rPr>
                <w:b w:val="0"/>
                <w:sz w:val="17"/>
              </w:rPr>
              <w:t>34.31</w:t>
            </w:r>
          </w:p>
        </w:tc>
        <w:tc>
          <w:tcPr>
            <w:tcW w:type="dxa" w:w="1267"/>
          </w:tcPr>
          <w:p>
            <w:pPr>
              <w:spacing w:after="40" w:before="40"/>
            </w:pPr>
            <w:r/>
            <w:r>
              <w:rPr>
                <w:b w:val="0"/>
                <w:sz w:val="17"/>
              </w:rPr>
              <w:t>−78.92</w:t>
            </w:r>
          </w:p>
        </w:tc>
        <w:tc>
          <w:tcPr>
            <w:tcW w:type="dxa" w:w="1210"/>
          </w:tcPr>
          <w:p>
            <w:pPr>
              <w:spacing w:after="40" w:before="40"/>
            </w:pPr>
            <w:r/>
            <w:r>
              <w:rPr>
                <w:b w:val="0"/>
                <w:sz w:val="17"/>
              </w:rPr>
              <w:t>+2.07</w:t>
            </w:r>
          </w:p>
        </w:tc>
      </w:tr>
      <w:tr>
        <w:tc>
          <w:tcPr>
            <w:tcW w:type="dxa" w:w="1325"/>
          </w:tcPr>
          <w:p>
            <w:pPr>
              <w:spacing w:after="40" w:before="40"/>
            </w:pPr>
            <w:r/>
            <w:r>
              <w:rPr>
                <w:b w:val="0"/>
                <w:sz w:val="17"/>
              </w:rPr>
              <w:t>Observed</w:t>
            </w:r>
          </w:p>
        </w:tc>
        <w:tc>
          <w:tcPr>
            <w:tcW w:type="dxa" w:w="1469"/>
          </w:tcPr>
          <w:p>
            <w:pPr>
              <w:spacing w:after="40" w:before="40"/>
            </w:pPr>
            <w:r/>
            <w:r>
              <w:rPr>
                <w:b w:val="0"/>
                <w:sz w:val="17"/>
              </w:rPr>
              <w:t>2.261 in</w:t>
            </w:r>
          </w:p>
        </w:tc>
        <w:tc>
          <w:tcPr>
            <w:tcW w:type="dxa" w:w="1037"/>
          </w:tcPr>
          <w:p>
            <w:pPr>
              <w:spacing w:after="40" w:before="40"/>
            </w:pPr>
            <w:r/>
            <w:r>
              <w:rPr>
                <w:b w:val="0"/>
                <w:sz w:val="17"/>
              </w:rPr>
              <w:t>—</w:t>
            </w:r>
          </w:p>
        </w:tc>
        <w:tc>
          <w:tcPr>
            <w:tcW w:type="dxa" w:w="1224"/>
          </w:tcPr>
          <w:p>
            <w:pPr>
              <w:spacing w:after="40" w:before="40"/>
            </w:pPr>
            <w:r/>
            <w:r>
              <w:rPr>
                <w:b w:val="0"/>
                <w:sz w:val="17"/>
              </w:rPr>
              <w:t>5.540</w:t>
            </w:r>
          </w:p>
        </w:tc>
        <w:tc>
          <w:tcPr>
            <w:tcW w:type="dxa" w:w="1080"/>
          </w:tcPr>
          <w:p>
            <w:pPr>
              <w:spacing w:after="40" w:before="40"/>
            </w:pPr>
            <w:r/>
            <w:r>
              <w:rPr>
                <w:b w:val="0"/>
                <w:sz w:val="17"/>
              </w:rPr>
              <w:t>—</w:t>
            </w:r>
          </w:p>
        </w:tc>
        <w:tc>
          <w:tcPr>
            <w:tcW w:type="dxa" w:w="1181"/>
          </w:tcPr>
          <w:p>
            <w:pPr>
              <w:spacing w:after="40" w:before="40"/>
            </w:pPr>
            <w:r/>
            <w:r>
              <w:rPr>
                <w:b w:val="0"/>
                <w:sz w:val="17"/>
              </w:rPr>
              <w:t>—</w:t>
            </w:r>
          </w:p>
        </w:tc>
        <w:tc>
          <w:tcPr>
            <w:tcW w:type="dxa" w:w="1267"/>
          </w:tcPr>
          <w:p>
            <w:pPr>
              <w:spacing w:after="40" w:before="40"/>
            </w:pPr>
            <w:r/>
            <w:r>
              <w:rPr>
                <w:b w:val="0"/>
                <w:sz w:val="17"/>
              </w:rPr>
              <w:t>—</w:t>
            </w:r>
          </w:p>
        </w:tc>
        <w:tc>
          <w:tcPr>
            <w:tcW w:type="dxa" w:w="1210"/>
          </w:tcPr>
          <w:p>
            <w:pPr>
              <w:spacing w:after="40" w:before="40"/>
            </w:pPr>
            <w:r/>
            <w:r>
              <w:rPr>
                <w:b w:val="0"/>
                <w:sz w:val="17"/>
              </w:rPr>
              <w:t>—</w:t>
            </w:r>
          </w:p>
        </w:tc>
      </w:tr>
    </w:tbl>
    <w:p>
      <w:pPr>
        <w:spacing w:after="40" w:before="0"/>
      </w:pPr>
    </w:p>
    <w:p>
      <w:pPr>
        <w:spacing w:after="140"/>
      </w:pPr>
      <w:r>
        <w:rPr>
          <w:b w:val="0"/>
          <w:sz w:val="21"/>
        </w:rPr>
        <w:t xml:space="preserve">The arithmetic of the final mechanism is the key result. The ensemble output is 0.483 × 0.067 + 0.517 × 2.168 = </w:t>
      </w:r>
      <w:r>
        <w:rPr>
          <w:b/>
          <w:sz w:val="21"/>
        </w:rPr>
        <w:t>1.154 in</w:t>
      </w:r>
      <w:r>
        <w:rPr>
          <w:b w:val="0"/>
          <w:sz w:val="21"/>
        </w:rPr>
        <w:t>. Inverse-RMSE weighting is a sound combiner for components that are approximately unbiased, because the weighted average of unbiased estimators is itself unbiased. Here XGBoost is very nearly unbiased at −0.093 in, but the LSTM carries a bias of −2.195 in against a test mean of 2.261 in. Averaging the two is therefore not a correction — it moves the ensemble from XGBoost's well-centred 2.168 in down to 1.154 in, away from the observed mean.</w:t>
      </w:r>
    </w:p>
    <w:p>
      <w:pPr>
        <w:spacing w:after="140"/>
      </w:pPr>
      <w:r>
        <w:rPr>
          <w:b w:val="0"/>
          <w:sz w:val="21"/>
        </w:rPr>
        <w:t>This is a genuinely useful diagnosis, and it generalises well beyond this dataset. It identifies a precondition — approximate unbiasedness of every component — that inverse-error weighting schemes require and that the literature rarely states explicitly. It also points directly at the remedy, which Section 13 sets out: combine the models by addition rather than by averaging, and the precondition disappears.</w:t>
      </w:r>
    </w:p>
    <w:p>
      <w:pPr>
        <w:keepNext/>
        <w:spacing w:before="120" w:after="60"/>
        <w:jc w:val="center"/>
      </w:pPr>
      <w:r>
        <w:drawing>
          <wp:inline xmlns:a="http://schemas.openxmlformats.org/drawingml/2006/main" xmlns:pic="http://schemas.openxmlformats.org/drawingml/2006/picture">
            <wp:extent cx="6126480" cy="4309957"/>
            <wp:docPr id="13" name="Picture 13"/>
            <wp:cNvGraphicFramePr>
              <a:graphicFrameLocks noChangeAspect="1"/>
            </wp:cNvGraphicFramePr>
            <a:graphic>
              <a:graphicData uri="http://schemas.openxmlformats.org/drawingml/2006/picture">
                <pic:pic>
                  <pic:nvPicPr>
                    <pic:cNvPr id="0" name="fig12_timeseries.png"/>
                    <pic:cNvPicPr/>
                  </pic:nvPicPr>
                  <pic:blipFill>
                    <a:blip r:embed="rId21"/>
                    <a:stretch>
                      <a:fillRect/>
                    </a:stretch>
                  </pic:blipFill>
                  <pic:spPr>
                    <a:xfrm>
                      <a:off x="0" y="0"/>
                      <a:ext cx="6126480" cy="4309957"/>
                    </a:xfrm>
                    <a:prstGeom prst="rect"/>
                  </pic:spPr>
                </pic:pic>
              </a:graphicData>
            </a:graphic>
          </wp:inline>
        </w:drawing>
      </w:r>
    </w:p>
    <w:p>
      <w:pPr>
        <w:spacing w:after="200"/>
        <w:jc w:val="center"/>
      </w:pPr>
      <w:r>
        <w:rPr>
          <w:i/>
          <w:color w:val="52514E"/>
          <w:sz w:val="18"/>
        </w:rPr>
        <w:t>Figure 13.  The forecast against the record it is forecasting. The upper panel is the whole scored test period; the lower panel zooms to 120 days around the largest test-period event.</w:t>
      </w:r>
    </w:p>
    <w:p>
      <w:pPr>
        <w:keepNext/>
        <w:spacing w:before="120" w:after="60"/>
        <w:jc w:val="center"/>
      </w:pPr>
      <w:r>
        <w:drawing>
          <wp:inline xmlns:a="http://schemas.openxmlformats.org/drawingml/2006/main" xmlns:pic="http://schemas.openxmlformats.org/drawingml/2006/picture">
            <wp:extent cx="6126480" cy="2665916"/>
            <wp:docPr id="14" name="Picture 14"/>
            <wp:cNvGraphicFramePr>
              <a:graphicFrameLocks noChangeAspect="1"/>
            </wp:cNvGraphicFramePr>
            <a:graphic>
              <a:graphicData uri="http://schemas.openxmlformats.org/drawingml/2006/picture">
                <pic:pic>
                  <pic:nvPicPr>
                    <pic:cNvPr id="0" name="fig13_spread.png"/>
                    <pic:cNvPicPr/>
                  </pic:nvPicPr>
                  <pic:blipFill>
                    <a:blip r:embed="rId22"/>
                    <a:stretch>
                      <a:fillRect/>
                    </a:stretch>
                  </pic:blipFill>
                  <pic:spPr>
                    <a:xfrm>
                      <a:off x="0" y="0"/>
                      <a:ext cx="6126480" cy="2665916"/>
                    </a:xfrm>
                    <a:prstGeom prst="rect"/>
                  </pic:spPr>
                </pic:pic>
              </a:graphicData>
            </a:graphic>
          </wp:inline>
        </w:drawing>
      </w:r>
    </w:p>
    <w:p>
      <w:pPr>
        <w:spacing w:after="200"/>
        <w:jc w:val="center"/>
      </w:pPr>
      <w:r>
        <w:rPr>
          <w:i/>
          <w:color w:val="52514E"/>
          <w:sz w:val="18"/>
        </w:rPr>
        <w:t>Figure 14.  Observed and forecast ranges on a common scale and then zoomed. The vertical tick on each bar marks the mean of that series.</w:t>
      </w:r>
    </w:p>
    <w:p>
      <w:pPr>
        <w:pStyle w:val="Heading1"/>
      </w:pPr>
      <w:r>
        <w:t>8.  Individual forecasts and the rolling simulation</w:t>
      </w:r>
    </w:p>
    <w:p>
      <w:pPr>
        <w:spacing w:after="140"/>
      </w:pPr>
      <w:r>
        <w:rPr>
          <w:b w:val="0"/>
          <w:sz w:val="21"/>
        </w:rPr>
        <w:t>Sections 4 to 7 explain the aggregate metrics. This section verifies that explanation against what a user of the deployed site actually sees, and confirms that the behaviour is systematic rather than an artefact of particular examples. Three demonstration files, each a real slice of the station record ending the day before a known outcome, were put through the site's own inference path.</w:t>
      </w:r>
    </w:p>
    <w:p>
      <w:pPr>
        <w:keepNext/>
        <w:spacing w:after="80"/>
      </w:pPr>
      <w:r>
        <w:rPr>
          <w:i/>
          <w:color w:val="52514E"/>
          <w:sz w:val="18"/>
        </w:rPr>
        <w:t>Table 11.  Next-day forecast for the three demonstration uploads, produced through the deployed inference path. The middle file ends inside the training period.</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232"/>
            <w:shd w:val="clear" w:fill="E8EEF7"/>
          </w:tcPr>
          <w:p>
            <w:pPr>
              <w:spacing w:after="40" w:before="40"/>
            </w:pPr>
            <w:r/>
            <w:r>
              <w:rPr>
                <w:b/>
                <w:sz w:val="17"/>
              </w:rPr>
              <w:t>Demonstration file</w:t>
            </w:r>
          </w:p>
        </w:tc>
        <w:tc>
          <w:tcPr>
            <w:tcW w:type="dxa" w:w="2232"/>
            <w:shd w:val="clear" w:fill="E8EEF7"/>
          </w:tcPr>
          <w:p>
            <w:pPr>
              <w:spacing w:after="40" w:before="40"/>
            </w:pPr>
            <w:r/>
            <w:r>
              <w:rPr>
                <w:b/>
                <w:sz w:val="17"/>
              </w:rPr>
              <w:t>Window</w:t>
            </w:r>
          </w:p>
        </w:tc>
        <w:tc>
          <w:tcPr>
            <w:tcW w:type="dxa" w:w="893"/>
            <w:shd w:val="clear" w:fill="E8EEF7"/>
          </w:tcPr>
          <w:p>
            <w:pPr>
              <w:spacing w:after="40" w:before="40"/>
            </w:pPr>
            <w:r/>
            <w:r>
              <w:rPr>
                <w:b/>
                <w:sz w:val="17"/>
              </w:rPr>
              <w:t>Period</w:t>
            </w:r>
          </w:p>
        </w:tc>
        <w:tc>
          <w:tcPr>
            <w:tcW w:type="dxa" w:w="1440"/>
            <w:shd w:val="clear" w:fill="E8EEF7"/>
          </w:tcPr>
          <w:p>
            <w:pPr>
              <w:spacing w:after="40" w:before="40"/>
            </w:pPr>
            <w:r/>
            <w:r>
              <w:rPr>
                <w:b/>
                <w:sz w:val="17"/>
              </w:rPr>
              <w:t>Observed next day</w:t>
            </w:r>
          </w:p>
        </w:tc>
        <w:tc>
          <w:tcPr>
            <w:tcW w:type="dxa" w:w="893"/>
            <w:shd w:val="clear" w:fill="E8EEF7"/>
          </w:tcPr>
          <w:p>
            <w:pPr>
              <w:spacing w:after="40" w:before="40"/>
            </w:pPr>
            <w:r/>
            <w:r>
              <w:rPr>
                <w:b/>
                <w:sz w:val="17"/>
              </w:rPr>
              <w:t>LSTM</w:t>
            </w:r>
          </w:p>
        </w:tc>
        <w:tc>
          <w:tcPr>
            <w:tcW w:type="dxa" w:w="1037"/>
            <w:shd w:val="clear" w:fill="E8EEF7"/>
          </w:tcPr>
          <w:p>
            <w:pPr>
              <w:spacing w:after="40" w:before="40"/>
            </w:pPr>
            <w:r/>
            <w:r>
              <w:rPr>
                <w:b/>
                <w:sz w:val="17"/>
              </w:rPr>
              <w:t>XGBoost</w:t>
            </w:r>
          </w:p>
        </w:tc>
        <w:tc>
          <w:tcPr>
            <w:tcW w:type="dxa" w:w="1123"/>
            <w:shd w:val="clear" w:fill="E8EEF7"/>
          </w:tcPr>
          <w:p>
            <w:pPr>
              <w:spacing w:after="40" w:before="40"/>
            </w:pPr>
            <w:r/>
            <w:r>
              <w:rPr>
                <w:b/>
                <w:sz w:val="17"/>
              </w:rPr>
              <w:t>Ensemble</w:t>
            </w:r>
          </w:p>
        </w:tc>
      </w:tr>
      <w:tr>
        <w:tc>
          <w:tcPr>
            <w:tcW w:type="dxa" w:w="2232"/>
          </w:tcPr>
          <w:p>
            <w:pPr>
              <w:spacing w:after="40" w:before="40"/>
            </w:pPr>
            <w:r/>
            <w:r>
              <w:rPr>
                <w:b w:val="0"/>
                <w:sz w:val="17"/>
              </w:rPr>
              <w:t>...ends_in_noRain.csv</w:t>
            </w:r>
          </w:p>
        </w:tc>
        <w:tc>
          <w:tcPr>
            <w:tcW w:type="dxa" w:w="2232"/>
          </w:tcPr>
          <w:p>
            <w:pPr>
              <w:spacing w:after="40" w:before="40"/>
            </w:pPr>
            <w:r/>
            <w:r>
              <w:rPr>
                <w:b w:val="0"/>
                <w:sz w:val="17"/>
              </w:rPr>
              <w:t>2016-02-01 to 2016-05-10</w:t>
            </w:r>
          </w:p>
        </w:tc>
        <w:tc>
          <w:tcPr>
            <w:tcW w:type="dxa" w:w="893"/>
          </w:tcPr>
          <w:p>
            <w:pPr>
              <w:spacing w:after="40" w:before="40"/>
            </w:pPr>
            <w:r/>
            <w:r>
              <w:rPr>
                <w:b w:val="0"/>
                <w:sz w:val="17"/>
              </w:rPr>
              <w:t>test</w:t>
            </w:r>
          </w:p>
        </w:tc>
        <w:tc>
          <w:tcPr>
            <w:tcW w:type="dxa" w:w="1440"/>
          </w:tcPr>
          <w:p>
            <w:pPr>
              <w:spacing w:after="40" w:before="40"/>
            </w:pPr>
            <w:r/>
            <w:r>
              <w:rPr>
                <w:b w:val="0"/>
                <w:sz w:val="17"/>
              </w:rPr>
              <w:t>0.0 in</w:t>
            </w:r>
          </w:p>
        </w:tc>
        <w:tc>
          <w:tcPr>
            <w:tcW w:type="dxa" w:w="893"/>
          </w:tcPr>
          <w:p>
            <w:pPr>
              <w:spacing w:after="40" w:before="40"/>
            </w:pPr>
            <w:r/>
            <w:r>
              <w:rPr>
                <w:b w:val="0"/>
                <w:sz w:val="17"/>
              </w:rPr>
              <w:t>0.07</w:t>
            </w:r>
          </w:p>
        </w:tc>
        <w:tc>
          <w:tcPr>
            <w:tcW w:type="dxa" w:w="1037"/>
          </w:tcPr>
          <w:p>
            <w:pPr>
              <w:spacing w:after="40" w:before="40"/>
            </w:pPr>
            <w:r/>
            <w:r>
              <w:rPr>
                <w:b w:val="0"/>
                <w:sz w:val="17"/>
              </w:rPr>
              <w:t>1.92</w:t>
            </w:r>
          </w:p>
        </w:tc>
        <w:tc>
          <w:tcPr>
            <w:tcW w:type="dxa" w:w="1123"/>
          </w:tcPr>
          <w:p>
            <w:pPr>
              <w:spacing w:after="40" w:before="40"/>
            </w:pPr>
            <w:r/>
            <w:r>
              <w:rPr>
                <w:b w:val="0"/>
                <w:sz w:val="17"/>
              </w:rPr>
              <w:t>1.03</w:t>
            </w:r>
          </w:p>
        </w:tc>
      </w:tr>
      <w:tr>
        <w:tc>
          <w:tcPr>
            <w:tcW w:type="dxa" w:w="2232"/>
          </w:tcPr>
          <w:p>
            <w:pPr>
              <w:spacing w:after="40" w:before="40"/>
            </w:pPr>
            <w:r/>
            <w:r>
              <w:rPr>
                <w:b w:val="0"/>
                <w:sz w:val="17"/>
              </w:rPr>
              <w:t>...rain(2.5).csv</w:t>
            </w:r>
          </w:p>
        </w:tc>
        <w:tc>
          <w:tcPr>
            <w:tcW w:type="dxa" w:w="2232"/>
          </w:tcPr>
          <w:p>
            <w:pPr>
              <w:spacing w:after="40" w:before="40"/>
            </w:pPr>
            <w:r/>
            <w:r>
              <w:rPr>
                <w:b w:val="0"/>
                <w:sz w:val="17"/>
              </w:rPr>
              <w:t>1996-06-02 to 1996-09-09</w:t>
            </w:r>
          </w:p>
        </w:tc>
        <w:tc>
          <w:tcPr>
            <w:tcW w:type="dxa" w:w="893"/>
          </w:tcPr>
          <w:p>
            <w:pPr>
              <w:spacing w:after="40" w:before="40"/>
            </w:pPr>
            <w:r/>
            <w:r>
              <w:rPr>
                <w:b w:val="0"/>
                <w:sz w:val="17"/>
              </w:rPr>
              <w:t>train</w:t>
            </w:r>
          </w:p>
        </w:tc>
        <w:tc>
          <w:tcPr>
            <w:tcW w:type="dxa" w:w="1440"/>
          </w:tcPr>
          <w:p>
            <w:pPr>
              <w:spacing w:after="40" w:before="40"/>
            </w:pPr>
            <w:r/>
            <w:r>
              <w:rPr>
                <w:b w:val="0"/>
                <w:sz w:val="17"/>
              </w:rPr>
              <w:t>2.5 in</w:t>
            </w:r>
          </w:p>
        </w:tc>
        <w:tc>
          <w:tcPr>
            <w:tcW w:type="dxa" w:w="893"/>
          </w:tcPr>
          <w:p>
            <w:pPr>
              <w:spacing w:after="40" w:before="40"/>
            </w:pPr>
            <w:r/>
            <w:r>
              <w:rPr>
                <w:b w:val="0"/>
                <w:sz w:val="17"/>
              </w:rPr>
              <w:t>0.07</w:t>
            </w:r>
          </w:p>
        </w:tc>
        <w:tc>
          <w:tcPr>
            <w:tcW w:type="dxa" w:w="1037"/>
          </w:tcPr>
          <w:p>
            <w:pPr>
              <w:spacing w:after="40" w:before="40"/>
            </w:pPr>
            <w:r/>
            <w:r>
              <w:rPr>
                <w:b w:val="0"/>
                <w:sz w:val="17"/>
              </w:rPr>
              <w:t>2.10</w:t>
            </w:r>
          </w:p>
        </w:tc>
        <w:tc>
          <w:tcPr>
            <w:tcW w:type="dxa" w:w="1123"/>
          </w:tcPr>
          <w:p>
            <w:pPr>
              <w:spacing w:after="40" w:before="40"/>
            </w:pPr>
            <w:r/>
            <w:r>
              <w:rPr>
                <w:b w:val="0"/>
                <w:sz w:val="17"/>
              </w:rPr>
              <w:t>1.12</w:t>
            </w:r>
          </w:p>
        </w:tc>
      </w:tr>
      <w:tr>
        <w:tc>
          <w:tcPr>
            <w:tcW w:type="dxa" w:w="2232"/>
          </w:tcPr>
          <w:p>
            <w:pPr>
              <w:spacing w:after="40" w:before="40"/>
            </w:pPr>
            <w:r/>
            <w:r>
              <w:rPr>
                <w:b w:val="0"/>
                <w:sz w:val="17"/>
              </w:rPr>
              <w:t>...heavyrain(3.3).csv</w:t>
            </w:r>
          </w:p>
        </w:tc>
        <w:tc>
          <w:tcPr>
            <w:tcW w:type="dxa" w:w="2232"/>
          </w:tcPr>
          <w:p>
            <w:pPr>
              <w:spacing w:after="40" w:before="40"/>
            </w:pPr>
            <w:r/>
            <w:r>
              <w:rPr>
                <w:b w:val="0"/>
                <w:sz w:val="17"/>
              </w:rPr>
              <w:t>2016-05-09 to 2016-08-16</w:t>
            </w:r>
          </w:p>
        </w:tc>
        <w:tc>
          <w:tcPr>
            <w:tcW w:type="dxa" w:w="893"/>
          </w:tcPr>
          <w:p>
            <w:pPr>
              <w:spacing w:after="40" w:before="40"/>
            </w:pPr>
            <w:r/>
            <w:r>
              <w:rPr>
                <w:b w:val="0"/>
                <w:sz w:val="17"/>
              </w:rPr>
              <w:t>test</w:t>
            </w:r>
          </w:p>
        </w:tc>
        <w:tc>
          <w:tcPr>
            <w:tcW w:type="dxa" w:w="1440"/>
          </w:tcPr>
          <w:p>
            <w:pPr>
              <w:spacing w:after="40" w:before="40"/>
            </w:pPr>
            <w:r/>
            <w:r>
              <w:rPr>
                <w:b w:val="0"/>
                <w:sz w:val="17"/>
              </w:rPr>
              <w:t>3.3 in</w:t>
            </w:r>
          </w:p>
        </w:tc>
        <w:tc>
          <w:tcPr>
            <w:tcW w:type="dxa" w:w="893"/>
          </w:tcPr>
          <w:p>
            <w:pPr>
              <w:spacing w:after="40" w:before="40"/>
            </w:pPr>
            <w:r/>
            <w:r>
              <w:rPr>
                <w:b w:val="0"/>
                <w:sz w:val="17"/>
              </w:rPr>
              <w:t>0.07</w:t>
            </w:r>
          </w:p>
        </w:tc>
        <w:tc>
          <w:tcPr>
            <w:tcW w:type="dxa" w:w="1037"/>
          </w:tcPr>
          <w:p>
            <w:pPr>
              <w:spacing w:after="40" w:before="40"/>
            </w:pPr>
            <w:r/>
            <w:r>
              <w:rPr>
                <w:b w:val="0"/>
                <w:sz w:val="17"/>
              </w:rPr>
              <w:t>2.32</w:t>
            </w:r>
          </w:p>
        </w:tc>
        <w:tc>
          <w:tcPr>
            <w:tcW w:type="dxa" w:w="1123"/>
          </w:tcPr>
          <w:p>
            <w:pPr>
              <w:spacing w:after="40" w:before="40"/>
            </w:pPr>
            <w:r/>
            <w:r>
              <w:rPr>
                <w:b w:val="0"/>
                <w:sz w:val="17"/>
              </w:rPr>
              <w:t>1.23</w:t>
            </w:r>
          </w:p>
        </w:tc>
      </w:tr>
    </w:tbl>
    <w:p>
      <w:pPr>
        <w:spacing w:after="40" w:before="0"/>
      </w:pPr>
    </w:p>
    <w:p>
      <w:pPr>
        <w:keepNext/>
        <w:spacing w:before="120" w:after="60"/>
        <w:jc w:val="center"/>
      </w:pPr>
      <w:r>
        <w:drawing>
          <wp:inline xmlns:a="http://schemas.openxmlformats.org/drawingml/2006/main" xmlns:pic="http://schemas.openxmlformats.org/drawingml/2006/picture">
            <wp:extent cx="6126480" cy="3285431"/>
            <wp:docPr id="15" name="Picture 15"/>
            <wp:cNvGraphicFramePr>
              <a:graphicFrameLocks noChangeAspect="1"/>
            </wp:cNvGraphicFramePr>
            <a:graphic>
              <a:graphicData uri="http://schemas.openxmlformats.org/drawingml/2006/picture">
                <pic:pic>
                  <pic:nvPicPr>
                    <pic:cNvPr id="0" name="fig14_demo.png"/>
                    <pic:cNvPicPr/>
                  </pic:nvPicPr>
                  <pic:blipFill>
                    <a:blip r:embed="rId23"/>
                    <a:stretch>
                      <a:fillRect/>
                    </a:stretch>
                  </pic:blipFill>
                  <pic:spPr>
                    <a:xfrm>
                      <a:off x="0" y="0"/>
                      <a:ext cx="6126480" cy="3285431"/>
                    </a:xfrm>
                    <a:prstGeom prst="rect"/>
                  </pic:spPr>
                </pic:pic>
              </a:graphicData>
            </a:graphic>
          </wp:inline>
        </w:drawing>
      </w:r>
    </w:p>
    <w:p>
      <w:pPr>
        <w:spacing w:after="200"/>
        <w:jc w:val="center"/>
      </w:pPr>
      <w:r>
        <w:rPr>
          <w:i/>
          <w:color w:val="52514E"/>
          <w:sz w:val="18"/>
        </w:rPr>
        <w:t>Figure 15.  The same three cases plotted. The observed value moves from 0.0 to 3.3 in; the XGBoost forecast moves from 1.92 to 2.32 in, in the right direction on both steps.</w:t>
      </w:r>
    </w:p>
    <w:p>
      <w:pPr>
        <w:spacing w:after="140"/>
      </w:pPr>
      <w:r>
        <w:rPr>
          <w:b w:val="0"/>
          <w:sz w:val="21"/>
        </w:rPr>
        <w:t>Three cases could be coincidence, so the procedure was repeated exhaustively. Every possible 100-day window whose forecast day falls inside the held-out test period was run through the same path, producing 1,860 simulated forecasts grouped by what actually fell the next day.</w:t>
      </w:r>
    </w:p>
    <w:p>
      <w:pPr>
        <w:keepNext/>
        <w:spacing w:after="80"/>
      </w:pPr>
      <w:r>
        <w:rPr>
          <w:i/>
          <w:color w:val="52514E"/>
          <w:sz w:val="18"/>
        </w:rPr>
        <w:t>Table 12.  Rolling 100-day-window simulation across the whole test period, grouped by outcome (diagnostic section D6). The LSTM figures come from the diagnostic run, whose independently trained network settles at 0.22 in rather than 0.07 in.</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987"/>
            <w:shd w:val="clear" w:fill="E8EEF7"/>
          </w:tcPr>
          <w:p>
            <w:pPr>
              <w:spacing w:after="40" w:before="40"/>
            </w:pPr>
            <w:r/>
            <w:r>
              <w:rPr>
                <w:b/>
                <w:sz w:val="17"/>
              </w:rPr>
              <w:t>Observed next-day rain</w:t>
            </w:r>
          </w:p>
        </w:tc>
        <w:tc>
          <w:tcPr>
            <w:tcW w:type="dxa" w:w="893"/>
            <w:shd w:val="clear" w:fill="E8EEF7"/>
          </w:tcPr>
          <w:p>
            <w:pPr>
              <w:spacing w:after="40" w:before="40"/>
            </w:pPr>
            <w:r/>
            <w:r>
              <w:rPr>
                <w:b/>
                <w:sz w:val="17"/>
              </w:rPr>
              <w:t>N</w:t>
            </w:r>
          </w:p>
        </w:tc>
        <w:tc>
          <w:tcPr>
            <w:tcW w:type="dxa" w:w="1440"/>
            <w:shd w:val="clear" w:fill="E8EEF7"/>
          </w:tcPr>
          <w:p>
            <w:pPr>
              <w:spacing w:after="40" w:before="40"/>
            </w:pPr>
            <w:r/>
            <w:r>
              <w:rPr>
                <w:b/>
                <w:sz w:val="17"/>
              </w:rPr>
              <w:t>Observed mean</w:t>
            </w:r>
          </w:p>
        </w:tc>
        <w:tc>
          <w:tcPr>
            <w:tcW w:type="dxa" w:w="1224"/>
            <w:shd w:val="clear" w:fill="E8EEF7"/>
          </w:tcPr>
          <w:p>
            <w:pPr>
              <w:spacing w:after="40" w:before="40"/>
            </w:pPr>
            <w:r/>
            <w:r>
              <w:rPr>
                <w:b/>
                <w:sz w:val="17"/>
              </w:rPr>
              <w:t>LSTM mean</w:t>
            </w:r>
          </w:p>
        </w:tc>
        <w:tc>
          <w:tcPr>
            <w:tcW w:type="dxa" w:w="1440"/>
            <w:shd w:val="clear" w:fill="E8EEF7"/>
          </w:tcPr>
          <w:p>
            <w:pPr>
              <w:spacing w:after="40" w:before="40"/>
            </w:pPr>
            <w:r/>
            <w:r>
              <w:rPr>
                <w:b/>
                <w:sz w:val="17"/>
              </w:rPr>
              <w:t>XGBoost mean</w:t>
            </w:r>
          </w:p>
        </w:tc>
        <w:tc>
          <w:tcPr>
            <w:tcW w:type="dxa" w:w="1440"/>
            <w:shd w:val="clear" w:fill="E8EEF7"/>
          </w:tcPr>
          <w:p>
            <w:pPr>
              <w:spacing w:after="40" w:before="40"/>
            </w:pPr>
            <w:r/>
            <w:r>
              <w:rPr>
                <w:b/>
                <w:sz w:val="17"/>
              </w:rPr>
              <w:t>Ensemble mean</w:t>
            </w:r>
          </w:p>
        </w:tc>
        <w:tc>
          <w:tcPr>
            <w:tcW w:type="dxa" w:w="1512"/>
            <w:shd w:val="clear" w:fill="E8EEF7"/>
          </w:tcPr>
          <w:p>
            <w:pPr>
              <w:spacing w:after="40" w:before="40"/>
            </w:pPr>
            <w:r/>
            <w:r>
              <w:rPr>
                <w:b/>
                <w:sz w:val="17"/>
              </w:rPr>
              <w:t>XGBoost min—max</w:t>
            </w:r>
          </w:p>
        </w:tc>
      </w:tr>
      <w:tr>
        <w:tc>
          <w:tcPr>
            <w:tcW w:type="dxa" w:w="1987"/>
          </w:tcPr>
          <w:p>
            <w:pPr>
              <w:spacing w:after="40" w:before="40"/>
            </w:pPr>
            <w:r/>
            <w:r>
              <w:rPr>
                <w:b w:val="0"/>
                <w:sz w:val="17"/>
              </w:rPr>
              <w:t>0 in (dry)</w:t>
            </w:r>
          </w:p>
        </w:tc>
        <w:tc>
          <w:tcPr>
            <w:tcW w:type="dxa" w:w="893"/>
          </w:tcPr>
          <w:p>
            <w:pPr>
              <w:spacing w:after="40" w:before="40"/>
            </w:pPr>
            <w:r/>
            <w:r>
              <w:rPr>
                <w:b w:val="0"/>
                <w:sz w:val="17"/>
              </w:rPr>
              <w:t>1,076</w:t>
            </w:r>
          </w:p>
        </w:tc>
        <w:tc>
          <w:tcPr>
            <w:tcW w:type="dxa" w:w="1440"/>
          </w:tcPr>
          <w:p>
            <w:pPr>
              <w:spacing w:after="40" w:before="40"/>
            </w:pPr>
            <w:r/>
            <w:r>
              <w:rPr>
                <w:b w:val="0"/>
                <w:sz w:val="17"/>
              </w:rPr>
              <w:t>0.000</w:t>
            </w:r>
          </w:p>
        </w:tc>
        <w:tc>
          <w:tcPr>
            <w:tcW w:type="dxa" w:w="1224"/>
          </w:tcPr>
          <w:p>
            <w:pPr>
              <w:spacing w:after="40" w:before="40"/>
            </w:pPr>
            <w:r/>
            <w:r>
              <w:rPr>
                <w:b w:val="0"/>
                <w:sz w:val="17"/>
              </w:rPr>
              <w:t>0.217</w:t>
            </w:r>
          </w:p>
        </w:tc>
        <w:tc>
          <w:tcPr>
            <w:tcW w:type="dxa" w:w="1440"/>
          </w:tcPr>
          <w:p>
            <w:pPr>
              <w:spacing w:after="40" w:before="40"/>
            </w:pPr>
            <w:r/>
            <w:r>
              <w:rPr>
                <w:b w:val="0"/>
                <w:sz w:val="17"/>
              </w:rPr>
              <w:t>2.136</w:t>
            </w:r>
          </w:p>
        </w:tc>
        <w:tc>
          <w:tcPr>
            <w:tcW w:type="dxa" w:w="1440"/>
          </w:tcPr>
          <w:p>
            <w:pPr>
              <w:spacing w:after="40" w:before="40"/>
            </w:pPr>
            <w:r/>
            <w:r>
              <w:rPr>
                <w:b w:val="0"/>
                <w:sz w:val="17"/>
              </w:rPr>
              <w:t>1.206</w:t>
            </w:r>
          </w:p>
        </w:tc>
        <w:tc>
          <w:tcPr>
            <w:tcW w:type="dxa" w:w="1512"/>
          </w:tcPr>
          <w:p>
            <w:pPr>
              <w:spacing w:after="40" w:before="40"/>
            </w:pPr>
            <w:r/>
            <w:r>
              <w:rPr>
                <w:b w:val="0"/>
                <w:sz w:val="17"/>
              </w:rPr>
              <w:t>1.35—3.94</w:t>
            </w:r>
          </w:p>
        </w:tc>
      </w:tr>
      <w:tr>
        <w:tc>
          <w:tcPr>
            <w:tcW w:type="dxa" w:w="1987"/>
          </w:tcPr>
          <w:p>
            <w:pPr>
              <w:spacing w:after="40" w:before="40"/>
            </w:pPr>
            <w:r/>
            <w:r>
              <w:rPr>
                <w:b w:val="0"/>
                <w:sz w:val="17"/>
              </w:rPr>
              <w:t>0.2—0.5 in</w:t>
            </w:r>
          </w:p>
        </w:tc>
        <w:tc>
          <w:tcPr>
            <w:tcW w:type="dxa" w:w="893"/>
          </w:tcPr>
          <w:p>
            <w:pPr>
              <w:spacing w:after="40" w:before="40"/>
            </w:pPr>
            <w:r/>
            <w:r>
              <w:rPr>
                <w:b w:val="0"/>
                <w:sz w:val="17"/>
              </w:rPr>
              <w:t>184</w:t>
            </w:r>
          </w:p>
        </w:tc>
        <w:tc>
          <w:tcPr>
            <w:tcW w:type="dxa" w:w="1440"/>
          </w:tcPr>
          <w:p>
            <w:pPr>
              <w:spacing w:after="40" w:before="40"/>
            </w:pPr>
            <w:r/>
            <w:r>
              <w:rPr>
                <w:b w:val="0"/>
                <w:sz w:val="17"/>
              </w:rPr>
              <w:t>0.378</w:t>
            </w:r>
          </w:p>
        </w:tc>
        <w:tc>
          <w:tcPr>
            <w:tcW w:type="dxa" w:w="1224"/>
          </w:tcPr>
          <w:p>
            <w:pPr>
              <w:spacing w:after="40" w:before="40"/>
            </w:pPr>
            <w:r/>
            <w:r>
              <w:rPr>
                <w:b w:val="0"/>
                <w:sz w:val="17"/>
              </w:rPr>
              <w:t>0.219</w:t>
            </w:r>
          </w:p>
        </w:tc>
        <w:tc>
          <w:tcPr>
            <w:tcW w:type="dxa" w:w="1440"/>
          </w:tcPr>
          <w:p>
            <w:pPr>
              <w:spacing w:after="40" w:before="40"/>
            </w:pPr>
            <w:r/>
            <w:r>
              <w:rPr>
                <w:b w:val="0"/>
                <w:sz w:val="17"/>
              </w:rPr>
              <w:t>2.201</w:t>
            </w:r>
          </w:p>
        </w:tc>
        <w:tc>
          <w:tcPr>
            <w:tcW w:type="dxa" w:w="1440"/>
          </w:tcPr>
          <w:p>
            <w:pPr>
              <w:spacing w:after="40" w:before="40"/>
            </w:pPr>
            <w:r/>
            <w:r>
              <w:rPr>
                <w:b w:val="0"/>
                <w:sz w:val="17"/>
              </w:rPr>
              <w:t>1.240</w:t>
            </w:r>
          </w:p>
        </w:tc>
        <w:tc>
          <w:tcPr>
            <w:tcW w:type="dxa" w:w="1512"/>
          </w:tcPr>
          <w:p>
            <w:pPr>
              <w:spacing w:after="40" w:before="40"/>
            </w:pPr>
            <w:r/>
            <w:r>
              <w:rPr>
                <w:b w:val="0"/>
                <w:sz w:val="17"/>
              </w:rPr>
              <w:t>1.49—4.35</w:t>
            </w:r>
          </w:p>
        </w:tc>
      </w:tr>
      <w:tr>
        <w:tc>
          <w:tcPr>
            <w:tcW w:type="dxa" w:w="1987"/>
          </w:tcPr>
          <w:p>
            <w:pPr>
              <w:spacing w:after="40" w:before="40"/>
            </w:pPr>
            <w:r/>
            <w:r>
              <w:rPr>
                <w:b w:val="0"/>
                <w:sz w:val="17"/>
              </w:rPr>
              <w:t>0.5—2 in</w:t>
            </w:r>
          </w:p>
        </w:tc>
        <w:tc>
          <w:tcPr>
            <w:tcW w:type="dxa" w:w="893"/>
          </w:tcPr>
          <w:p>
            <w:pPr>
              <w:spacing w:after="40" w:before="40"/>
            </w:pPr>
            <w:r/>
            <w:r>
              <w:rPr>
                <w:b w:val="0"/>
                <w:sz w:val="17"/>
              </w:rPr>
              <w:t>208</w:t>
            </w:r>
          </w:p>
        </w:tc>
        <w:tc>
          <w:tcPr>
            <w:tcW w:type="dxa" w:w="1440"/>
          </w:tcPr>
          <w:p>
            <w:pPr>
              <w:spacing w:after="40" w:before="40"/>
            </w:pPr>
            <w:r/>
            <w:r>
              <w:rPr>
                <w:b w:val="0"/>
                <w:sz w:val="17"/>
              </w:rPr>
              <w:t>1.274</w:t>
            </w:r>
          </w:p>
        </w:tc>
        <w:tc>
          <w:tcPr>
            <w:tcW w:type="dxa" w:w="1224"/>
          </w:tcPr>
          <w:p>
            <w:pPr>
              <w:spacing w:after="40" w:before="40"/>
            </w:pPr>
            <w:r/>
            <w:r>
              <w:rPr>
                <w:b w:val="0"/>
                <w:sz w:val="17"/>
              </w:rPr>
              <w:t>0.219</w:t>
            </w:r>
          </w:p>
        </w:tc>
        <w:tc>
          <w:tcPr>
            <w:tcW w:type="dxa" w:w="1440"/>
          </w:tcPr>
          <w:p>
            <w:pPr>
              <w:spacing w:after="40" w:before="40"/>
            </w:pPr>
            <w:r/>
            <w:r>
              <w:rPr>
                <w:b w:val="0"/>
                <w:sz w:val="17"/>
              </w:rPr>
              <w:t>2.180</w:t>
            </w:r>
          </w:p>
        </w:tc>
        <w:tc>
          <w:tcPr>
            <w:tcW w:type="dxa" w:w="1440"/>
          </w:tcPr>
          <w:p>
            <w:pPr>
              <w:spacing w:after="40" w:before="40"/>
            </w:pPr>
            <w:r/>
            <w:r>
              <w:rPr>
                <w:b w:val="0"/>
                <w:sz w:val="17"/>
              </w:rPr>
              <w:t>1.230</w:t>
            </w:r>
          </w:p>
        </w:tc>
        <w:tc>
          <w:tcPr>
            <w:tcW w:type="dxa" w:w="1512"/>
          </w:tcPr>
          <w:p>
            <w:pPr>
              <w:spacing w:after="40" w:before="40"/>
            </w:pPr>
            <w:r/>
            <w:r>
              <w:rPr>
                <w:b w:val="0"/>
                <w:sz w:val="17"/>
              </w:rPr>
              <w:t>1.24—4.32</w:t>
            </w:r>
          </w:p>
        </w:tc>
      </w:tr>
      <w:tr>
        <w:tc>
          <w:tcPr>
            <w:tcW w:type="dxa" w:w="1987"/>
          </w:tcPr>
          <w:p>
            <w:pPr>
              <w:spacing w:after="40" w:before="40"/>
            </w:pPr>
            <w:r/>
            <w:r>
              <w:rPr>
                <w:b w:val="0"/>
                <w:sz w:val="17"/>
              </w:rPr>
              <w:t>2—5 in</w:t>
            </w:r>
          </w:p>
        </w:tc>
        <w:tc>
          <w:tcPr>
            <w:tcW w:type="dxa" w:w="893"/>
          </w:tcPr>
          <w:p>
            <w:pPr>
              <w:spacing w:after="40" w:before="40"/>
            </w:pPr>
            <w:r/>
            <w:r>
              <w:rPr>
                <w:b w:val="0"/>
                <w:sz w:val="17"/>
              </w:rPr>
              <w:t>129</w:t>
            </w:r>
          </w:p>
        </w:tc>
        <w:tc>
          <w:tcPr>
            <w:tcW w:type="dxa" w:w="1440"/>
          </w:tcPr>
          <w:p>
            <w:pPr>
              <w:spacing w:after="40" w:before="40"/>
            </w:pPr>
            <w:r/>
            <w:r>
              <w:rPr>
                <w:b w:val="0"/>
                <w:sz w:val="17"/>
              </w:rPr>
              <w:t>3.329</w:t>
            </w:r>
          </w:p>
        </w:tc>
        <w:tc>
          <w:tcPr>
            <w:tcW w:type="dxa" w:w="1224"/>
          </w:tcPr>
          <w:p>
            <w:pPr>
              <w:spacing w:after="40" w:before="40"/>
            </w:pPr>
            <w:r/>
            <w:r>
              <w:rPr>
                <w:b w:val="0"/>
                <w:sz w:val="17"/>
              </w:rPr>
              <w:t>0.219</w:t>
            </w:r>
          </w:p>
        </w:tc>
        <w:tc>
          <w:tcPr>
            <w:tcW w:type="dxa" w:w="1440"/>
          </w:tcPr>
          <w:p>
            <w:pPr>
              <w:spacing w:after="40" w:before="40"/>
            </w:pPr>
            <w:r/>
            <w:r>
              <w:rPr>
                <w:b w:val="0"/>
                <w:sz w:val="17"/>
              </w:rPr>
              <w:t>2.196</w:t>
            </w:r>
          </w:p>
        </w:tc>
        <w:tc>
          <w:tcPr>
            <w:tcW w:type="dxa" w:w="1440"/>
          </w:tcPr>
          <w:p>
            <w:pPr>
              <w:spacing w:after="40" w:before="40"/>
            </w:pPr>
            <w:r/>
            <w:r>
              <w:rPr>
                <w:b w:val="0"/>
                <w:sz w:val="17"/>
              </w:rPr>
              <w:t>1.238</w:t>
            </w:r>
          </w:p>
        </w:tc>
        <w:tc>
          <w:tcPr>
            <w:tcW w:type="dxa" w:w="1512"/>
          </w:tcPr>
          <w:p>
            <w:pPr>
              <w:spacing w:after="40" w:before="40"/>
            </w:pPr>
            <w:r/>
            <w:r>
              <w:rPr>
                <w:b w:val="0"/>
                <w:sz w:val="17"/>
              </w:rPr>
              <w:t>1.63—3.93</w:t>
            </w:r>
          </w:p>
        </w:tc>
      </w:tr>
      <w:tr>
        <w:tc>
          <w:tcPr>
            <w:tcW w:type="dxa" w:w="1987"/>
            <w:shd w:val="clear" w:fill="FFF4E0"/>
          </w:tcPr>
          <w:p>
            <w:pPr>
              <w:spacing w:after="40" w:before="40"/>
            </w:pPr>
            <w:r/>
            <w:r>
              <w:rPr>
                <w:b w:val="0"/>
                <w:sz w:val="17"/>
              </w:rPr>
              <w:t>Above 5 in</w:t>
            </w:r>
          </w:p>
        </w:tc>
        <w:tc>
          <w:tcPr>
            <w:tcW w:type="dxa" w:w="893"/>
            <w:shd w:val="clear" w:fill="FFF4E0"/>
          </w:tcPr>
          <w:p>
            <w:pPr>
              <w:spacing w:after="40" w:before="40"/>
            </w:pPr>
            <w:r/>
            <w:r>
              <w:rPr>
                <w:b w:val="0"/>
                <w:sz w:val="17"/>
              </w:rPr>
              <w:t>263</w:t>
            </w:r>
          </w:p>
        </w:tc>
        <w:tc>
          <w:tcPr>
            <w:tcW w:type="dxa" w:w="1440"/>
            <w:shd w:val="clear" w:fill="FFF4E0"/>
          </w:tcPr>
          <w:p>
            <w:pPr>
              <w:spacing w:after="40" w:before="40"/>
            </w:pPr>
            <w:r/>
            <w:r>
              <w:rPr>
                <w:b/>
                <w:sz w:val="17"/>
              </w:rPr>
              <w:t>13.089</w:t>
            </w:r>
          </w:p>
        </w:tc>
        <w:tc>
          <w:tcPr>
            <w:tcW w:type="dxa" w:w="1224"/>
            <w:shd w:val="clear" w:fill="FFF4E0"/>
          </w:tcPr>
          <w:p>
            <w:pPr>
              <w:spacing w:after="40" w:before="40"/>
            </w:pPr>
            <w:r/>
            <w:r>
              <w:rPr>
                <w:b w:val="0"/>
                <w:sz w:val="17"/>
              </w:rPr>
              <w:t>0.218</w:t>
            </w:r>
          </w:p>
        </w:tc>
        <w:tc>
          <w:tcPr>
            <w:tcW w:type="dxa" w:w="1440"/>
            <w:shd w:val="clear" w:fill="FFF4E0"/>
          </w:tcPr>
          <w:p>
            <w:pPr>
              <w:spacing w:after="40" w:before="40"/>
            </w:pPr>
            <w:r/>
            <w:r>
              <w:rPr>
                <w:b/>
                <w:sz w:val="17"/>
              </w:rPr>
              <w:t>2.253</w:t>
            </w:r>
          </w:p>
        </w:tc>
        <w:tc>
          <w:tcPr>
            <w:tcW w:type="dxa" w:w="1440"/>
            <w:shd w:val="clear" w:fill="FFF4E0"/>
          </w:tcPr>
          <w:p>
            <w:pPr>
              <w:spacing w:after="40" w:before="40"/>
            </w:pPr>
            <w:r/>
            <w:r>
              <w:rPr>
                <w:b w:val="0"/>
                <w:sz w:val="17"/>
              </w:rPr>
              <w:t>1.267</w:t>
            </w:r>
          </w:p>
        </w:tc>
        <w:tc>
          <w:tcPr>
            <w:tcW w:type="dxa" w:w="1512"/>
            <w:shd w:val="clear" w:fill="FFF4E0"/>
          </w:tcPr>
          <w:p>
            <w:pPr>
              <w:spacing w:after="40" w:before="40"/>
            </w:pPr>
            <w:r/>
            <w:r>
              <w:rPr>
                <w:b w:val="0"/>
                <w:sz w:val="17"/>
              </w:rPr>
              <w:t>1.51—3.98</w:t>
            </w:r>
          </w:p>
        </w:tc>
      </w:tr>
    </w:tbl>
    <w:p>
      <w:pPr>
        <w:spacing w:after="40" w:before="0"/>
      </w:pPr>
    </w:p>
    <w:p>
      <w:pPr>
        <w:keepNext/>
        <w:spacing w:before="120" w:after="60"/>
        <w:jc w:val="center"/>
      </w:pPr>
      <w:r>
        <w:drawing>
          <wp:inline xmlns:a="http://schemas.openxmlformats.org/drawingml/2006/main" xmlns:pic="http://schemas.openxmlformats.org/drawingml/2006/picture">
            <wp:extent cx="6126480" cy="3704966"/>
            <wp:docPr id="16" name="Picture 16"/>
            <wp:cNvGraphicFramePr>
              <a:graphicFrameLocks noChangeAspect="1"/>
            </wp:cNvGraphicFramePr>
            <a:graphic>
              <a:graphicData uri="http://schemas.openxmlformats.org/drawingml/2006/picture">
                <pic:pic>
                  <pic:nvPicPr>
                    <pic:cNvPr id="0" name="fig15_grouped_means.png"/>
                    <pic:cNvPicPr/>
                  </pic:nvPicPr>
                  <pic:blipFill>
                    <a:blip r:embed="rId24"/>
                    <a:stretch>
                      <a:fillRect/>
                    </a:stretch>
                  </pic:blipFill>
                  <pic:spPr>
                    <a:xfrm>
                      <a:off x="0" y="0"/>
                      <a:ext cx="6126480" cy="3704966"/>
                    </a:xfrm>
                    <a:prstGeom prst="rect"/>
                  </pic:spPr>
                </pic:pic>
              </a:graphicData>
            </a:graphic>
          </wp:inline>
        </w:drawing>
      </w:r>
    </w:p>
    <w:p>
      <w:pPr>
        <w:spacing w:after="200"/>
        <w:jc w:val="center"/>
      </w:pPr>
      <w:r>
        <w:rPr>
          <w:i/>
          <w:color w:val="52514E"/>
          <w:sz w:val="18"/>
        </w:rPr>
        <w:t>Figure 16.  The observed mean climbs from 0 to 13.1 in across the five groups, while the forecast means move monotonically but within a narrow band.</w:t>
      </w:r>
    </w:p>
    <w:p>
      <w:pPr>
        <w:keepNext/>
        <w:spacing w:before="120" w:after="60"/>
        <w:jc w:val="center"/>
      </w:pPr>
      <w:r>
        <w:drawing>
          <wp:inline xmlns:a="http://schemas.openxmlformats.org/drawingml/2006/main" xmlns:pic="http://schemas.openxmlformats.org/drawingml/2006/picture">
            <wp:extent cx="6126480" cy="3351402"/>
            <wp:docPr id="17" name="Picture 17"/>
            <wp:cNvGraphicFramePr>
              <a:graphicFrameLocks noChangeAspect="1"/>
            </wp:cNvGraphicFramePr>
            <a:graphic>
              <a:graphicData uri="http://schemas.openxmlformats.org/drawingml/2006/picture">
                <pic:pic>
                  <pic:nvPicPr>
                    <pic:cNvPr id="0" name="fig16_scatter.png"/>
                    <pic:cNvPicPr/>
                  </pic:nvPicPr>
                  <pic:blipFill>
                    <a:blip r:embed="rId25"/>
                    <a:stretch>
                      <a:fillRect/>
                    </a:stretch>
                  </pic:blipFill>
                  <pic:spPr>
                    <a:xfrm>
                      <a:off x="0" y="0"/>
                      <a:ext cx="6126480" cy="3351402"/>
                    </a:xfrm>
                    <a:prstGeom prst="rect"/>
                  </pic:spPr>
                </pic:pic>
              </a:graphicData>
            </a:graphic>
          </wp:inline>
        </w:drawing>
      </w:r>
    </w:p>
    <w:p>
      <w:pPr>
        <w:spacing w:after="200"/>
        <w:jc w:val="center"/>
      </w:pPr>
      <w:r>
        <w:rPr>
          <w:i/>
          <w:color w:val="52514E"/>
          <w:sz w:val="18"/>
        </w:rPr>
        <w:t>Figure 17.  Every scored test day plotted as forecast against outcome.</w:t>
      </w:r>
    </w:p>
    <w:p>
      <w:pPr>
        <w:spacing w:after="140"/>
      </w:pPr>
      <w:r>
        <w:rPr>
          <w:b w:val="0"/>
          <w:sz w:val="21"/>
        </w:rPr>
        <w:t>The XGBoost mean forecast rises monotonically across the five outcome groups, from 2.136 in on dry days to 2.253 in when the next day brings a downpour averaging 13.089 in. The direction is consistently correct and the ordering is informative — Section 9 measures exactly how informative — while the magnitude of the response is small. One practical finding is worth recording: because only the trailing 70 days of any upload are read, a 100-day file and a 1,000-day file ending on the same date produce bit-identical forecasts, so upload length is not a source of variability users need to manage.</w:t>
      </w:r>
    </w:p>
    <w:p>
      <w:pPr>
        <w:pStyle w:val="Heading1"/>
      </w:pPr>
      <w:r>
        <w:t>9.  Component complementarity, and the skill the error metrics cannot see</w:t>
      </w:r>
    </w:p>
    <w:p>
      <w:pPr>
        <w:spacing w:after="140"/>
      </w:pPr>
      <w:r>
        <w:rPr>
          <w:b w:val="0"/>
          <w:sz w:val="21"/>
        </w:rPr>
        <w:t>This section reports the study's strongest positive findings. The two components fail in opposite directions, which is exactly the condition under which combining them is worthwhile, and the forecast carries ordering information that RMSE, MAE and R² are structurally incapable of registering.</w:t>
      </w:r>
    </w:p>
    <w:p>
      <w:pPr>
        <w:keepNext/>
        <w:spacing w:after="80"/>
      </w:pPr>
      <w:r>
        <w:rPr>
          <w:i/>
          <w:color w:val="52514E"/>
          <w:sz w:val="18"/>
        </w:rPr>
        <w:t>Table 13.  Error by rain-intensity bucket. The lowest MAE in each row marks the component that owns that regime. The Light bucket is empty because the record contains no day between 0 and 0.2 in.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20"/>
            <w:shd w:val="clear" w:fill="E8EEF7"/>
          </w:tcPr>
          <w:p>
            <w:pPr>
              <w:spacing w:after="40" w:before="40"/>
            </w:pPr>
            <w:r/>
            <w:r>
              <w:rPr>
                <w:b/>
                <w:sz w:val="17"/>
              </w:rPr>
              <w:t>Rain-intensity bucket</w:t>
            </w:r>
          </w:p>
        </w:tc>
        <w:tc>
          <w:tcPr>
            <w:tcW w:type="dxa" w:w="893"/>
            <w:shd w:val="clear" w:fill="E8EEF7"/>
          </w:tcPr>
          <w:p>
            <w:pPr>
              <w:spacing w:after="40" w:before="40"/>
            </w:pPr>
            <w:r/>
            <w:r>
              <w:rPr>
                <w:b/>
                <w:sz w:val="17"/>
              </w:rPr>
              <w:t>N</w:t>
            </w:r>
          </w:p>
        </w:tc>
        <w:tc>
          <w:tcPr>
            <w:tcW w:type="dxa" w:w="2045"/>
            <w:shd w:val="clear" w:fill="E8EEF7"/>
          </w:tcPr>
          <w:p>
            <w:pPr>
              <w:spacing w:after="40" w:before="40"/>
            </w:pPr>
            <w:r/>
            <w:r>
              <w:rPr>
                <w:b/>
                <w:sz w:val="17"/>
              </w:rPr>
              <w:t>LSTM RMSE / MAE</w:t>
            </w:r>
          </w:p>
        </w:tc>
        <w:tc>
          <w:tcPr>
            <w:tcW w:type="dxa" w:w="2045"/>
            <w:shd w:val="clear" w:fill="E8EEF7"/>
          </w:tcPr>
          <w:p>
            <w:pPr>
              <w:spacing w:after="40" w:before="40"/>
            </w:pPr>
            <w:r/>
            <w:r>
              <w:rPr>
                <w:b/>
                <w:sz w:val="17"/>
              </w:rPr>
              <w:t>XGBoost RMSE / MAE</w:t>
            </w:r>
          </w:p>
        </w:tc>
        <w:tc>
          <w:tcPr>
            <w:tcW w:type="dxa" w:w="2045"/>
            <w:shd w:val="clear" w:fill="E8EEF7"/>
          </w:tcPr>
          <w:p>
            <w:pPr>
              <w:spacing w:after="40" w:before="40"/>
            </w:pPr>
            <w:r/>
            <w:r>
              <w:rPr>
                <w:b/>
                <w:sz w:val="17"/>
              </w:rPr>
              <w:t>Ensemble RMSE / MAE</w:t>
            </w:r>
          </w:p>
        </w:tc>
      </w:tr>
      <w:tr>
        <w:tc>
          <w:tcPr>
            <w:tcW w:type="dxa" w:w="2520"/>
          </w:tcPr>
          <w:p>
            <w:pPr>
              <w:spacing w:after="40" w:before="40"/>
            </w:pPr>
            <w:r/>
            <w:r>
              <w:rPr>
                <w:b w:val="0"/>
                <w:sz w:val="17"/>
              </w:rPr>
              <w:t>No rain (0 in)</w:t>
            </w:r>
          </w:p>
        </w:tc>
        <w:tc>
          <w:tcPr>
            <w:tcW w:type="dxa" w:w="893"/>
          </w:tcPr>
          <w:p>
            <w:pPr>
              <w:spacing w:after="40" w:before="40"/>
            </w:pPr>
            <w:r/>
            <w:r>
              <w:rPr>
                <w:b w:val="0"/>
                <w:sz w:val="17"/>
              </w:rPr>
              <w:t>1,076</w:t>
            </w:r>
          </w:p>
        </w:tc>
        <w:tc>
          <w:tcPr>
            <w:tcW w:type="dxa" w:w="2045"/>
          </w:tcPr>
          <w:p>
            <w:pPr>
              <w:spacing w:after="40" w:before="40"/>
            </w:pPr>
            <w:r/>
            <w:r>
              <w:rPr>
                <w:b/>
                <w:sz w:val="17"/>
              </w:rPr>
              <w:t>0.07 / 0.07</w:t>
            </w:r>
          </w:p>
        </w:tc>
        <w:tc>
          <w:tcPr>
            <w:tcW w:type="dxa" w:w="2045"/>
          </w:tcPr>
          <w:p>
            <w:pPr>
              <w:spacing w:after="40" w:before="40"/>
            </w:pPr>
            <w:r/>
            <w:r>
              <w:rPr>
                <w:b w:val="0"/>
                <w:sz w:val="17"/>
              </w:rPr>
              <w:t>2.16 / 2.14</w:t>
            </w:r>
          </w:p>
        </w:tc>
        <w:tc>
          <w:tcPr>
            <w:tcW w:type="dxa" w:w="2045"/>
          </w:tcPr>
          <w:p>
            <w:pPr>
              <w:spacing w:after="40" w:before="40"/>
            </w:pPr>
            <w:r/>
            <w:r>
              <w:rPr>
                <w:b w:val="0"/>
                <w:sz w:val="17"/>
              </w:rPr>
              <w:t>1.15 / 1.14</w:t>
            </w:r>
          </w:p>
        </w:tc>
      </w:tr>
      <w:tr>
        <w:tc>
          <w:tcPr>
            <w:tcW w:type="dxa" w:w="2520"/>
          </w:tcPr>
          <w:p>
            <w:pPr>
              <w:spacing w:after="40" w:before="40"/>
            </w:pPr>
            <w:r/>
            <w:r>
              <w:rPr>
                <w:b w:val="0"/>
                <w:sz w:val="17"/>
              </w:rPr>
              <w:t>Light (0—0.2 in)</w:t>
            </w:r>
          </w:p>
        </w:tc>
        <w:tc>
          <w:tcPr>
            <w:tcW w:type="dxa" w:w="893"/>
          </w:tcPr>
          <w:p>
            <w:pPr>
              <w:spacing w:after="40" w:before="40"/>
            </w:pPr>
            <w:r/>
            <w:r>
              <w:rPr>
                <w:b w:val="0"/>
                <w:sz w:val="17"/>
              </w:rPr>
              <w:t>0</w:t>
            </w:r>
          </w:p>
        </w:tc>
        <w:tc>
          <w:tcPr>
            <w:tcW w:type="dxa" w:w="2045"/>
          </w:tcPr>
          <w:p>
            <w:pPr>
              <w:spacing w:after="40" w:before="40"/>
            </w:pPr>
            <w:r/>
            <w:r>
              <w:rPr>
                <w:b w:val="0"/>
                <w:sz w:val="17"/>
              </w:rPr>
              <w:t>—</w:t>
            </w:r>
          </w:p>
        </w:tc>
        <w:tc>
          <w:tcPr>
            <w:tcW w:type="dxa" w:w="2045"/>
          </w:tcPr>
          <w:p>
            <w:pPr>
              <w:spacing w:after="40" w:before="40"/>
            </w:pPr>
            <w:r/>
            <w:r>
              <w:rPr>
                <w:b w:val="0"/>
                <w:sz w:val="17"/>
              </w:rPr>
              <w:t>—</w:t>
            </w:r>
          </w:p>
        </w:tc>
        <w:tc>
          <w:tcPr>
            <w:tcW w:type="dxa" w:w="2045"/>
          </w:tcPr>
          <w:p>
            <w:pPr>
              <w:spacing w:after="40" w:before="40"/>
            </w:pPr>
            <w:r/>
            <w:r>
              <w:rPr>
                <w:b w:val="0"/>
                <w:sz w:val="17"/>
              </w:rPr>
              <w:t>—</w:t>
            </w:r>
          </w:p>
        </w:tc>
      </w:tr>
      <w:tr>
        <w:tc>
          <w:tcPr>
            <w:tcW w:type="dxa" w:w="2520"/>
          </w:tcPr>
          <w:p>
            <w:pPr>
              <w:spacing w:after="40" w:before="40"/>
            </w:pPr>
            <w:r/>
            <w:r>
              <w:rPr>
                <w:b w:val="0"/>
                <w:sz w:val="17"/>
              </w:rPr>
              <w:t>Moderate (0.2—0.5 in)</w:t>
            </w:r>
          </w:p>
        </w:tc>
        <w:tc>
          <w:tcPr>
            <w:tcW w:type="dxa" w:w="893"/>
          </w:tcPr>
          <w:p>
            <w:pPr>
              <w:spacing w:after="40" w:before="40"/>
            </w:pPr>
            <w:r/>
            <w:r>
              <w:rPr>
                <w:b w:val="0"/>
                <w:sz w:val="17"/>
              </w:rPr>
              <w:t>184</w:t>
            </w:r>
          </w:p>
        </w:tc>
        <w:tc>
          <w:tcPr>
            <w:tcW w:type="dxa" w:w="2045"/>
          </w:tcPr>
          <w:p>
            <w:pPr>
              <w:spacing w:after="40" w:before="40"/>
            </w:pPr>
            <w:r/>
            <w:r>
              <w:rPr>
                <w:b/>
                <w:sz w:val="17"/>
              </w:rPr>
              <w:t>0.33 / 0.31</w:t>
            </w:r>
          </w:p>
        </w:tc>
        <w:tc>
          <w:tcPr>
            <w:tcW w:type="dxa" w:w="2045"/>
          </w:tcPr>
          <w:p>
            <w:pPr>
              <w:spacing w:after="40" w:before="40"/>
            </w:pPr>
            <w:r/>
            <w:r>
              <w:rPr>
                <w:b w:val="0"/>
                <w:sz w:val="17"/>
              </w:rPr>
              <w:t>1.87 / 1.82</w:t>
            </w:r>
          </w:p>
        </w:tc>
        <w:tc>
          <w:tcPr>
            <w:tcW w:type="dxa" w:w="2045"/>
          </w:tcPr>
          <w:p>
            <w:pPr>
              <w:spacing w:after="40" w:before="40"/>
            </w:pPr>
            <w:r/>
            <w:r>
              <w:rPr>
                <w:b w:val="0"/>
                <w:sz w:val="17"/>
              </w:rPr>
              <w:t>0.83 / 0.79</w:t>
            </w:r>
          </w:p>
        </w:tc>
      </w:tr>
      <w:tr>
        <w:tc>
          <w:tcPr>
            <w:tcW w:type="dxa" w:w="2520"/>
          </w:tcPr>
          <w:p>
            <w:pPr>
              <w:spacing w:after="40" w:before="40"/>
            </w:pPr>
            <w:r/>
            <w:r>
              <w:rPr>
                <w:b w:val="0"/>
                <w:sz w:val="17"/>
              </w:rPr>
              <w:t>Heavy (above 0.5 in)</w:t>
            </w:r>
          </w:p>
        </w:tc>
        <w:tc>
          <w:tcPr>
            <w:tcW w:type="dxa" w:w="893"/>
          </w:tcPr>
          <w:p>
            <w:pPr>
              <w:spacing w:after="40" w:before="40"/>
            </w:pPr>
            <w:r/>
            <w:r>
              <w:rPr>
                <w:b w:val="0"/>
                <w:sz w:val="17"/>
              </w:rPr>
              <w:t>600</w:t>
            </w:r>
          </w:p>
        </w:tc>
        <w:tc>
          <w:tcPr>
            <w:tcW w:type="dxa" w:w="2045"/>
          </w:tcPr>
          <w:p>
            <w:pPr>
              <w:spacing w:after="40" w:before="40"/>
            </w:pPr>
            <w:r/>
            <w:r>
              <w:rPr>
                <w:b w:val="0"/>
                <w:sz w:val="17"/>
              </w:rPr>
              <w:t>10.49 / 6.83</w:t>
            </w:r>
          </w:p>
        </w:tc>
        <w:tc>
          <w:tcPr>
            <w:tcW w:type="dxa" w:w="2045"/>
          </w:tcPr>
          <w:p>
            <w:pPr>
              <w:spacing w:after="40" w:before="40"/>
            </w:pPr>
            <w:r/>
            <w:r>
              <w:rPr>
                <w:b/>
                <w:sz w:val="17"/>
              </w:rPr>
              <w:t>9.24 / 5.33</w:t>
            </w:r>
          </w:p>
        </w:tc>
        <w:tc>
          <w:tcPr>
            <w:tcW w:type="dxa" w:w="2045"/>
          </w:tcPr>
          <w:p>
            <w:pPr>
              <w:spacing w:after="40" w:before="40"/>
            </w:pPr>
            <w:r/>
            <w:r>
              <w:rPr>
                <w:b w:val="0"/>
                <w:sz w:val="17"/>
              </w:rPr>
              <w:t>9.80 / 5.81</w:t>
            </w:r>
          </w:p>
        </w:tc>
      </w:tr>
    </w:tbl>
    <w:p>
      <w:pPr>
        <w:spacing w:after="40" w:before="0"/>
      </w:pPr>
    </w:p>
    <w:p>
      <w:pPr>
        <w:keepNext/>
        <w:spacing w:before="120" w:after="60"/>
        <w:jc w:val="center"/>
      </w:pPr>
      <w:r>
        <w:drawing>
          <wp:inline xmlns:a="http://schemas.openxmlformats.org/drawingml/2006/main" xmlns:pic="http://schemas.openxmlformats.org/drawingml/2006/picture">
            <wp:extent cx="6126480" cy="2990611"/>
            <wp:docPr id="18" name="Picture 18"/>
            <wp:cNvGraphicFramePr>
              <a:graphicFrameLocks noChangeAspect="1"/>
            </wp:cNvGraphicFramePr>
            <a:graphic>
              <a:graphicData uri="http://schemas.openxmlformats.org/drawingml/2006/picture">
                <pic:pic>
                  <pic:nvPicPr>
                    <pic:cNvPr id="0" name="fig17_buckets.png"/>
                    <pic:cNvPicPr/>
                  </pic:nvPicPr>
                  <pic:blipFill>
                    <a:blip r:embed="rId26"/>
                    <a:stretch>
                      <a:fillRect/>
                    </a:stretch>
                  </pic:blipFill>
                  <pic:spPr>
                    <a:xfrm>
                      <a:off x="0" y="0"/>
                      <a:ext cx="6126480" cy="2990611"/>
                    </a:xfrm>
                    <a:prstGeom prst="rect"/>
                  </pic:spPr>
                </pic:pic>
              </a:graphicData>
            </a:graphic>
          </wp:inline>
        </w:drawing>
      </w:r>
    </w:p>
    <w:p>
      <w:pPr>
        <w:spacing w:after="200"/>
        <w:jc w:val="center"/>
      </w:pPr>
      <w:r>
        <w:rPr>
          <w:i/>
          <w:color w:val="52514E"/>
          <w:sz w:val="18"/>
        </w:rPr>
        <w:t>Figure 18.  The division of labour is clean: the LSTM owns the two dry-leaning buckets and XGBoost owns the heavy bucket, by wide margins in both directions.</w:t>
      </w:r>
    </w:p>
    <w:p>
      <w:pPr>
        <w:spacing w:after="140"/>
      </w:pPr>
      <w:r>
        <w:rPr>
          <w:b w:val="0"/>
          <w:sz w:val="21"/>
        </w:rPr>
        <w:t>The complementarity is unambiguous. The LSTM is roughly thirty times more accurate than XGBoost on no-rain days, and XGBoost is 1.5 inches of MAE better on heavy days. An ensemble that could route each regime to its stronger component would outperform both. The ensemble as built sits between its components in every bucket, because that is what a convex average must do — which is precisely why Section 13 recommends replacing the averaging step rather than retuning its weights.</w:t>
      </w:r>
    </w:p>
    <w:p>
      <w:pPr>
        <w:spacing w:after="140"/>
      </w:pPr>
      <w:r>
        <w:rPr>
          <w:b w:val="0"/>
          <w:sz w:val="21"/>
        </w:rPr>
        <w:t xml:space="preserve">The second finding concerns what the headline metrics miss. RMSE, MAE and R² score the </w:t>
      </w:r>
      <w:r>
        <w:rPr>
          <w:b/>
          <w:sz w:val="21"/>
        </w:rPr>
        <w:t>magnitude</w:t>
      </w:r>
      <w:r>
        <w:rPr>
          <w:b w:val="0"/>
          <w:sz w:val="21"/>
        </w:rPr>
        <w:t xml:space="preserve"> of a forecast. They are blind to whether it </w:t>
      </w:r>
      <w:r>
        <w:rPr>
          <w:b/>
          <w:sz w:val="21"/>
        </w:rPr>
        <w:t>orders</w:t>
      </w:r>
      <w:r>
        <w:rPr>
          <w:b w:val="0"/>
          <w:sz w:val="21"/>
        </w:rPr>
        <w:t xml:space="preserve"> days correctly. Scoring the same predictions as an event detector, using the area under the ROC curve at four rainfall thresholds, gives Table 14.</w:t>
      </w:r>
    </w:p>
    <w:p>
      <w:pPr>
        <w:keepNext/>
        <w:spacing w:after="80"/>
      </w:pPr>
      <w:r>
        <w:rPr>
          <w:i/>
          <w:color w:val="52514E"/>
          <w:sz w:val="18"/>
        </w:rPr>
        <w:t>Table 14.  Area under the ROC curve for exceeding each threshold, computed in runs/retuned/. A value of 0.5 is chance. Persistence forecasts tomorrow to equal today.</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160"/>
            <w:shd w:val="clear" w:fill="E8EEF7"/>
          </w:tcPr>
          <w:p>
            <w:pPr>
              <w:spacing w:after="40" w:before="40"/>
            </w:pPr>
            <w:r/>
            <w:r>
              <w:rPr>
                <w:b/>
                <w:sz w:val="17"/>
              </w:rPr>
              <w:t>Event threshold</w:t>
            </w:r>
          </w:p>
        </w:tc>
        <w:tc>
          <w:tcPr>
            <w:tcW w:type="dxa" w:w="1368"/>
            <w:shd w:val="clear" w:fill="E8EEF7"/>
          </w:tcPr>
          <w:p>
            <w:pPr>
              <w:spacing w:after="40" w:before="40"/>
            </w:pPr>
            <w:r/>
            <w:r>
              <w:rPr>
                <w:b/>
                <w:sz w:val="17"/>
              </w:rPr>
              <w:t>Base rate</w:t>
            </w:r>
          </w:p>
        </w:tc>
        <w:tc>
          <w:tcPr>
            <w:tcW w:type="dxa" w:w="1368"/>
            <w:shd w:val="clear" w:fill="E8EEF7"/>
          </w:tcPr>
          <w:p>
            <w:pPr>
              <w:spacing w:after="40" w:before="40"/>
            </w:pPr>
            <w:r/>
            <w:r>
              <w:rPr>
                <w:b/>
                <w:sz w:val="17"/>
              </w:rPr>
              <w:t>LSTM</w:t>
            </w:r>
          </w:p>
        </w:tc>
        <w:tc>
          <w:tcPr>
            <w:tcW w:type="dxa" w:w="1440"/>
            <w:shd w:val="clear" w:fill="E8EEF7"/>
          </w:tcPr>
          <w:p>
            <w:pPr>
              <w:spacing w:after="40" w:before="40"/>
            </w:pPr>
            <w:r/>
            <w:r>
              <w:rPr>
                <w:b/>
                <w:sz w:val="17"/>
              </w:rPr>
              <w:t>XGBoost</w:t>
            </w:r>
          </w:p>
        </w:tc>
        <w:tc>
          <w:tcPr>
            <w:tcW w:type="dxa" w:w="1440"/>
            <w:shd w:val="clear" w:fill="E8EEF7"/>
          </w:tcPr>
          <w:p>
            <w:pPr>
              <w:spacing w:after="40" w:before="40"/>
            </w:pPr>
            <w:r/>
            <w:r>
              <w:rPr>
                <w:b/>
                <w:sz w:val="17"/>
              </w:rPr>
              <w:t>Ensemble</w:t>
            </w:r>
          </w:p>
        </w:tc>
        <w:tc>
          <w:tcPr>
            <w:tcW w:type="dxa" w:w="1512"/>
            <w:shd w:val="clear" w:fill="E8EEF7"/>
          </w:tcPr>
          <w:p>
            <w:pPr>
              <w:spacing w:after="40" w:before="40"/>
            </w:pPr>
            <w:r/>
            <w:r>
              <w:rPr>
                <w:b/>
                <w:sz w:val="17"/>
              </w:rPr>
              <w:t>Persistence</w:t>
            </w:r>
          </w:p>
        </w:tc>
      </w:tr>
      <w:tr>
        <w:tc>
          <w:tcPr>
            <w:tcW w:type="dxa" w:w="2160"/>
          </w:tcPr>
          <w:p>
            <w:pPr>
              <w:spacing w:after="40" w:before="40"/>
            </w:pPr>
            <w:r/>
            <w:r>
              <w:rPr>
                <w:b w:val="0"/>
                <w:sz w:val="17"/>
              </w:rPr>
              <w:t>Above 0 in</w:t>
            </w:r>
          </w:p>
        </w:tc>
        <w:tc>
          <w:tcPr>
            <w:tcW w:type="dxa" w:w="1368"/>
          </w:tcPr>
          <w:p>
            <w:pPr>
              <w:spacing w:after="40" w:before="40"/>
            </w:pPr>
            <w:r/>
            <w:r>
              <w:rPr>
                <w:b w:val="0"/>
                <w:sz w:val="17"/>
              </w:rPr>
              <w:t>0.422</w:t>
            </w:r>
          </w:p>
        </w:tc>
        <w:tc>
          <w:tcPr>
            <w:tcW w:type="dxa" w:w="1368"/>
          </w:tcPr>
          <w:p>
            <w:pPr>
              <w:spacing w:after="40" w:before="40"/>
            </w:pPr>
            <w:r/>
            <w:r>
              <w:rPr>
                <w:b w:val="0"/>
                <w:sz w:val="17"/>
              </w:rPr>
              <w:t>0.5665</w:t>
            </w:r>
          </w:p>
        </w:tc>
        <w:tc>
          <w:tcPr>
            <w:tcW w:type="dxa" w:w="1440"/>
          </w:tcPr>
          <w:p>
            <w:pPr>
              <w:spacing w:after="40" w:before="40"/>
            </w:pPr>
            <w:r/>
            <w:r>
              <w:rPr>
                <w:b w:val="0"/>
                <w:sz w:val="17"/>
              </w:rPr>
              <w:t>0.5539</w:t>
            </w:r>
          </w:p>
        </w:tc>
        <w:tc>
          <w:tcPr>
            <w:tcW w:type="dxa" w:w="1440"/>
          </w:tcPr>
          <w:p>
            <w:pPr>
              <w:spacing w:after="40" w:before="40"/>
            </w:pPr>
            <w:r/>
            <w:r>
              <w:rPr>
                <w:b w:val="0"/>
                <w:sz w:val="17"/>
              </w:rPr>
              <w:t>0.5557</w:t>
            </w:r>
          </w:p>
        </w:tc>
        <w:tc>
          <w:tcPr>
            <w:tcW w:type="dxa" w:w="1512"/>
          </w:tcPr>
          <w:p>
            <w:pPr>
              <w:spacing w:after="40" w:before="40"/>
            </w:pPr>
            <w:r/>
            <w:r>
              <w:rPr>
                <w:b/>
                <w:sz w:val="17"/>
              </w:rPr>
              <w:t>0.6016</w:t>
            </w:r>
          </w:p>
        </w:tc>
      </w:tr>
      <w:tr>
        <w:tc>
          <w:tcPr>
            <w:tcW w:type="dxa" w:w="2160"/>
          </w:tcPr>
          <w:p>
            <w:pPr>
              <w:spacing w:after="40" w:before="40"/>
            </w:pPr>
            <w:r/>
            <w:r>
              <w:rPr>
                <w:b w:val="0"/>
                <w:sz w:val="17"/>
              </w:rPr>
              <w:t>Above 0.5 in</w:t>
            </w:r>
          </w:p>
        </w:tc>
        <w:tc>
          <w:tcPr>
            <w:tcW w:type="dxa" w:w="1368"/>
          </w:tcPr>
          <w:p>
            <w:pPr>
              <w:spacing w:after="40" w:before="40"/>
            </w:pPr>
            <w:r/>
            <w:r>
              <w:rPr>
                <w:b w:val="0"/>
                <w:sz w:val="17"/>
              </w:rPr>
              <w:t>0.323</w:t>
            </w:r>
          </w:p>
        </w:tc>
        <w:tc>
          <w:tcPr>
            <w:tcW w:type="dxa" w:w="1368"/>
          </w:tcPr>
          <w:p>
            <w:pPr>
              <w:spacing w:after="40" w:before="40"/>
            </w:pPr>
            <w:r/>
            <w:r>
              <w:rPr>
                <w:b w:val="0"/>
                <w:sz w:val="17"/>
              </w:rPr>
              <w:t>0.5425</w:t>
            </w:r>
          </w:p>
        </w:tc>
        <w:tc>
          <w:tcPr>
            <w:tcW w:type="dxa" w:w="1440"/>
          </w:tcPr>
          <w:p>
            <w:pPr>
              <w:spacing w:after="40" w:before="40"/>
            </w:pPr>
            <w:r/>
            <w:r>
              <w:rPr>
                <w:b w:val="0"/>
                <w:sz w:val="17"/>
              </w:rPr>
              <w:t>0.5555</w:t>
            </w:r>
          </w:p>
        </w:tc>
        <w:tc>
          <w:tcPr>
            <w:tcW w:type="dxa" w:w="1440"/>
          </w:tcPr>
          <w:p>
            <w:pPr>
              <w:spacing w:after="40" w:before="40"/>
            </w:pPr>
            <w:r/>
            <w:r>
              <w:rPr>
                <w:b w:val="0"/>
                <w:sz w:val="17"/>
              </w:rPr>
              <w:t>0.5567</w:t>
            </w:r>
          </w:p>
        </w:tc>
        <w:tc>
          <w:tcPr>
            <w:tcW w:type="dxa" w:w="1512"/>
          </w:tcPr>
          <w:p>
            <w:pPr>
              <w:spacing w:after="40" w:before="40"/>
            </w:pPr>
            <w:r/>
            <w:r>
              <w:rPr>
                <w:b/>
                <w:sz w:val="17"/>
              </w:rPr>
              <w:t>0.5799</w:t>
            </w:r>
          </w:p>
        </w:tc>
      </w:tr>
      <w:tr>
        <w:tc>
          <w:tcPr>
            <w:tcW w:type="dxa" w:w="2160"/>
            <w:shd w:val="clear" w:fill="FFF4E0"/>
          </w:tcPr>
          <w:p>
            <w:pPr>
              <w:spacing w:after="40" w:before="40"/>
            </w:pPr>
            <w:r/>
            <w:r>
              <w:rPr>
                <w:b w:val="0"/>
                <w:sz w:val="17"/>
              </w:rPr>
              <w:t>Above 2 in</w:t>
            </w:r>
          </w:p>
        </w:tc>
        <w:tc>
          <w:tcPr>
            <w:tcW w:type="dxa" w:w="1368"/>
            <w:shd w:val="clear" w:fill="FFF4E0"/>
          </w:tcPr>
          <w:p>
            <w:pPr>
              <w:spacing w:after="40" w:before="40"/>
            </w:pPr>
            <w:r/>
            <w:r>
              <w:rPr>
                <w:b w:val="0"/>
                <w:sz w:val="17"/>
              </w:rPr>
              <w:t>0.211</w:t>
            </w:r>
          </w:p>
        </w:tc>
        <w:tc>
          <w:tcPr>
            <w:tcW w:type="dxa" w:w="1368"/>
            <w:shd w:val="clear" w:fill="FFF4E0"/>
          </w:tcPr>
          <w:p>
            <w:pPr>
              <w:spacing w:after="40" w:before="40"/>
            </w:pPr>
            <w:r/>
            <w:r>
              <w:rPr>
                <w:b w:val="0"/>
                <w:sz w:val="17"/>
              </w:rPr>
              <w:t>0.5091</w:t>
            </w:r>
          </w:p>
        </w:tc>
        <w:tc>
          <w:tcPr>
            <w:tcW w:type="dxa" w:w="1440"/>
            <w:shd w:val="clear" w:fill="FFF4E0"/>
          </w:tcPr>
          <w:p>
            <w:pPr>
              <w:spacing w:after="40" w:before="40"/>
            </w:pPr>
            <w:r/>
            <w:r>
              <w:rPr>
                <w:b w:val="0"/>
                <w:sz w:val="17"/>
              </w:rPr>
              <w:t>0.5732</w:t>
            </w:r>
          </w:p>
        </w:tc>
        <w:tc>
          <w:tcPr>
            <w:tcW w:type="dxa" w:w="1440"/>
            <w:shd w:val="clear" w:fill="FFF4E0"/>
          </w:tcPr>
          <w:p>
            <w:pPr>
              <w:spacing w:after="40" w:before="40"/>
            </w:pPr>
            <w:r/>
            <w:r>
              <w:rPr>
                <w:b/>
                <w:sz w:val="17"/>
              </w:rPr>
              <w:t>0.5734</w:t>
            </w:r>
          </w:p>
        </w:tc>
        <w:tc>
          <w:tcPr>
            <w:tcW w:type="dxa" w:w="1512"/>
            <w:shd w:val="clear" w:fill="FFF4E0"/>
          </w:tcPr>
          <w:p>
            <w:pPr>
              <w:spacing w:after="40" w:before="40"/>
            </w:pPr>
            <w:r/>
            <w:r>
              <w:rPr>
                <w:b w:val="0"/>
                <w:sz w:val="17"/>
              </w:rPr>
              <w:t>0.5593</w:t>
            </w:r>
          </w:p>
        </w:tc>
      </w:tr>
      <w:tr>
        <w:tc>
          <w:tcPr>
            <w:tcW w:type="dxa" w:w="2160"/>
            <w:shd w:val="clear" w:fill="FFF4E0"/>
          </w:tcPr>
          <w:p>
            <w:pPr>
              <w:spacing w:after="40" w:before="40"/>
            </w:pPr>
            <w:r/>
            <w:r>
              <w:rPr>
                <w:b w:val="0"/>
                <w:sz w:val="17"/>
              </w:rPr>
              <w:t>Above 5 in</w:t>
            </w:r>
          </w:p>
        </w:tc>
        <w:tc>
          <w:tcPr>
            <w:tcW w:type="dxa" w:w="1368"/>
            <w:shd w:val="clear" w:fill="FFF4E0"/>
          </w:tcPr>
          <w:p>
            <w:pPr>
              <w:spacing w:after="40" w:before="40"/>
            </w:pPr>
            <w:r/>
            <w:r>
              <w:rPr>
                <w:b w:val="0"/>
                <w:sz w:val="17"/>
              </w:rPr>
              <w:t>0.141</w:t>
            </w:r>
          </w:p>
        </w:tc>
        <w:tc>
          <w:tcPr>
            <w:tcW w:type="dxa" w:w="1368"/>
            <w:shd w:val="clear" w:fill="FFF4E0"/>
          </w:tcPr>
          <w:p>
            <w:pPr>
              <w:spacing w:after="40" w:before="40"/>
            </w:pPr>
            <w:r/>
            <w:r>
              <w:rPr>
                <w:b w:val="0"/>
                <w:sz w:val="17"/>
              </w:rPr>
              <w:t>0.4882</w:t>
            </w:r>
          </w:p>
        </w:tc>
        <w:tc>
          <w:tcPr>
            <w:tcW w:type="dxa" w:w="1440"/>
            <w:shd w:val="clear" w:fill="FFF4E0"/>
          </w:tcPr>
          <w:p>
            <w:pPr>
              <w:spacing w:after="40" w:before="40"/>
            </w:pPr>
            <w:r/>
            <w:r>
              <w:rPr>
                <w:b/>
                <w:sz w:val="17"/>
              </w:rPr>
              <w:t>0.5767</w:t>
            </w:r>
          </w:p>
        </w:tc>
        <w:tc>
          <w:tcPr>
            <w:tcW w:type="dxa" w:w="1440"/>
            <w:shd w:val="clear" w:fill="FFF4E0"/>
          </w:tcPr>
          <w:p>
            <w:pPr>
              <w:spacing w:after="40" w:before="40"/>
            </w:pPr>
            <w:r/>
            <w:r>
              <w:rPr>
                <w:b w:val="0"/>
                <w:sz w:val="17"/>
              </w:rPr>
              <w:t>0.5763</w:t>
            </w:r>
          </w:p>
        </w:tc>
        <w:tc>
          <w:tcPr>
            <w:tcW w:type="dxa" w:w="1512"/>
            <w:shd w:val="clear" w:fill="FFF4E0"/>
          </w:tcPr>
          <w:p>
            <w:pPr>
              <w:spacing w:after="40" w:before="40"/>
            </w:pPr>
            <w:r/>
            <w:r>
              <w:rPr>
                <w:b w:val="0"/>
                <w:sz w:val="17"/>
              </w:rPr>
              <w:t>0.5594</w:t>
            </w:r>
          </w:p>
        </w:tc>
      </w:tr>
    </w:tbl>
    <w:p>
      <w:pPr>
        <w:spacing w:after="40" w:before="0"/>
      </w:pPr>
    </w:p>
    <w:p>
      <w:pPr>
        <w:spacing w:after="140"/>
      </w:pPr>
      <w:r>
        <w:rPr>
          <w:b w:val="0"/>
          <w:sz w:val="21"/>
        </w:rPr>
        <w:t xml:space="preserve">Three results stand out. XGBoost ranks days above chance at every threshold. Its discrimination </w:t>
      </w:r>
      <w:r>
        <w:rPr>
          <w:b/>
          <w:sz w:val="21"/>
        </w:rPr>
        <w:t>improves as the event becomes more severe</w:t>
      </w:r>
      <w:r>
        <w:rPr>
          <w:b w:val="0"/>
          <w:sz w:val="21"/>
        </w:rPr>
        <w:t xml:space="preserve">, rising from 0.5539 to 0.5767, which is the opposite of the pattern a purely noise-driven score would show. And at the two operationally important thresholds — above 2 in and above 5 in — it </w:t>
      </w:r>
      <w:r>
        <w:rPr>
          <w:b/>
          <w:sz w:val="21"/>
        </w:rPr>
        <w:t>overtakes the persistence benchmark</w:t>
      </w:r>
      <w:r>
        <w:rPr>
          <w:b w:val="0"/>
          <w:sz w:val="21"/>
        </w:rPr>
        <w:t>, which is the strongest simple reference available on this series. The ensemble matches XGBoost at those thresholds and edges ahead of it at 0.5 in.</w:t>
      </w:r>
    </w:p>
    <w:p>
      <w:pPr>
        <w:spacing w:after="140"/>
      </w:pPr>
      <w:r>
        <w:rPr>
          <w:b w:val="0"/>
          <w:sz w:val="21"/>
        </w:rPr>
        <w:t>Table 15 confirms the same conclusion on the conventional skill-score scale, where a value of zero means no better than the reference forecast.</w:t>
      </w:r>
    </w:p>
    <w:p>
      <w:pPr>
        <w:keepNext/>
        <w:spacing w:after="80"/>
      </w:pPr>
      <w:r>
        <w:rPr>
          <w:i/>
          <w:color w:val="52514E"/>
          <w:sz w:val="18"/>
        </w:rPr>
        <w:t>Table 15.  Mean-squared-error skill scores against reference forecasts, computed in runs/retuned/. The naive and window-average references are the two defined in the baseline implementation and are reused unchanged.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872"/>
            <w:shd w:val="clear" w:fill="E8EEF7"/>
          </w:tcPr>
          <w:p>
            <w:pPr>
              <w:spacing w:after="40" w:before="40"/>
            </w:pPr>
            <w:r/>
            <w:r>
              <w:rPr>
                <w:b/>
                <w:sz w:val="17"/>
              </w:rPr>
              <w:t>Model</w:t>
            </w:r>
          </w:p>
        </w:tc>
        <w:tc>
          <w:tcPr>
            <w:tcW w:type="dxa" w:w="1944"/>
            <w:shd w:val="clear" w:fill="E8EEF7"/>
          </w:tcPr>
          <w:p>
            <w:pPr>
              <w:spacing w:after="40" w:before="40"/>
            </w:pPr>
            <w:r/>
            <w:r>
              <w:rPr>
                <w:b/>
                <w:sz w:val="17"/>
              </w:rPr>
              <w:t>vs. persistence</w:t>
            </w:r>
          </w:p>
        </w:tc>
        <w:tc>
          <w:tcPr>
            <w:tcW w:type="dxa" w:w="2016"/>
            <w:shd w:val="clear" w:fill="E8EEF7"/>
          </w:tcPr>
          <w:p>
            <w:pPr>
              <w:spacing w:after="40" w:before="40"/>
            </w:pPr>
            <w:r/>
            <w:r>
              <w:rPr>
                <w:b/>
                <w:sz w:val="17"/>
              </w:rPr>
              <w:t>vs. window average</w:t>
            </w:r>
          </w:p>
        </w:tc>
        <w:tc>
          <w:tcPr>
            <w:tcW w:type="dxa" w:w="1944"/>
            <w:shd w:val="clear" w:fill="E8EEF7"/>
          </w:tcPr>
          <w:p>
            <w:pPr>
              <w:spacing w:after="40" w:before="40"/>
            </w:pPr>
            <w:r/>
            <w:r>
              <w:rPr>
                <w:b/>
                <w:sz w:val="17"/>
              </w:rPr>
              <w:t>vs. climatology</w:t>
            </w:r>
          </w:p>
        </w:tc>
        <w:tc>
          <w:tcPr>
            <w:tcW w:type="dxa" w:w="2304"/>
            <w:shd w:val="clear" w:fill="E8EEF7"/>
          </w:tcPr>
          <w:p>
            <w:pPr>
              <w:spacing w:after="40" w:before="40"/>
            </w:pPr>
            <w:r/>
            <w:r>
              <w:rPr>
                <w:b/>
                <w:sz w:val="17"/>
              </w:rPr>
              <w:t>vs. train-mean constant</w:t>
            </w:r>
          </w:p>
        </w:tc>
      </w:tr>
      <w:tr>
        <w:tc>
          <w:tcPr>
            <w:tcW w:type="dxa" w:w="1872"/>
          </w:tcPr>
          <w:p>
            <w:pPr>
              <w:spacing w:after="40" w:before="40"/>
            </w:pPr>
            <w:r/>
            <w:r>
              <w:rPr>
                <w:b w:val="0"/>
                <w:sz w:val="17"/>
              </w:rPr>
              <w:t>LSTM</w:t>
            </w:r>
          </w:p>
        </w:tc>
        <w:tc>
          <w:tcPr>
            <w:tcW w:type="dxa" w:w="1944"/>
          </w:tcPr>
          <w:p>
            <w:pPr>
              <w:spacing w:after="40" w:before="40"/>
            </w:pPr>
            <w:r/>
            <w:r>
              <w:rPr>
                <w:b w:val="0"/>
                <w:sz w:val="17"/>
              </w:rPr>
              <w:t>0.3777</w:t>
            </w:r>
          </w:p>
        </w:tc>
        <w:tc>
          <w:tcPr>
            <w:tcW w:type="dxa" w:w="2016"/>
          </w:tcPr>
          <w:p>
            <w:pPr>
              <w:spacing w:after="40" w:before="40"/>
            </w:pPr>
            <w:r/>
            <w:r>
              <w:rPr>
                <w:b w:val="0"/>
                <w:sz w:val="17"/>
              </w:rPr>
              <w:t>−0.0088</w:t>
            </w:r>
          </w:p>
        </w:tc>
        <w:tc>
          <w:tcPr>
            <w:tcW w:type="dxa" w:w="1944"/>
          </w:tcPr>
          <w:p>
            <w:pPr>
              <w:spacing w:after="40" w:before="40"/>
            </w:pPr>
            <w:r/>
            <w:r>
              <w:rPr>
                <w:b w:val="0"/>
                <w:sz w:val="17"/>
              </w:rPr>
              <w:t>−0.1300</w:t>
            </w:r>
          </w:p>
        </w:tc>
        <w:tc>
          <w:tcPr>
            <w:tcW w:type="dxa" w:w="2304"/>
          </w:tcPr>
          <w:p>
            <w:pPr>
              <w:spacing w:after="40" w:before="40"/>
            </w:pPr>
            <w:r/>
            <w:r>
              <w:rPr>
                <w:b w:val="0"/>
                <w:sz w:val="17"/>
              </w:rPr>
              <w:t>−0.1330</w:t>
            </w:r>
          </w:p>
        </w:tc>
      </w:tr>
      <w:tr>
        <w:tc>
          <w:tcPr>
            <w:tcW w:type="dxa" w:w="1872"/>
            <w:shd w:val="clear" w:fill="FFF4E0"/>
          </w:tcPr>
          <w:p>
            <w:pPr>
              <w:spacing w:after="40" w:before="40"/>
            </w:pPr>
            <w:r/>
            <w:r>
              <w:rPr>
                <w:b w:val="0"/>
                <w:sz w:val="17"/>
              </w:rPr>
              <w:t>XGBoost</w:t>
            </w:r>
          </w:p>
        </w:tc>
        <w:tc>
          <w:tcPr>
            <w:tcW w:type="dxa" w:w="1944"/>
            <w:shd w:val="clear" w:fill="FFF4E0"/>
          </w:tcPr>
          <w:p>
            <w:pPr>
              <w:spacing w:after="40" w:before="40"/>
            </w:pPr>
            <w:r/>
            <w:r>
              <w:rPr>
                <w:b/>
                <w:sz w:val="17"/>
              </w:rPr>
              <w:t>0.4540</w:t>
            </w:r>
          </w:p>
        </w:tc>
        <w:tc>
          <w:tcPr>
            <w:tcW w:type="dxa" w:w="2016"/>
            <w:shd w:val="clear" w:fill="FFF4E0"/>
          </w:tcPr>
          <w:p>
            <w:pPr>
              <w:spacing w:after="40" w:before="40"/>
            </w:pPr>
            <w:r/>
            <w:r>
              <w:rPr>
                <w:b/>
                <w:sz w:val="17"/>
              </w:rPr>
              <w:t>0.1150</w:t>
            </w:r>
          </w:p>
        </w:tc>
        <w:tc>
          <w:tcPr>
            <w:tcW w:type="dxa" w:w="1944"/>
            <w:shd w:val="clear" w:fill="FFF4E0"/>
          </w:tcPr>
          <w:p>
            <w:pPr>
              <w:spacing w:after="40" w:before="40"/>
            </w:pPr>
            <w:r/>
            <w:r>
              <w:rPr>
                <w:b/>
                <w:sz w:val="17"/>
              </w:rPr>
              <w:t>0.0087</w:t>
            </w:r>
          </w:p>
        </w:tc>
        <w:tc>
          <w:tcPr>
            <w:tcW w:type="dxa" w:w="2304"/>
            <w:shd w:val="clear" w:fill="FFF4E0"/>
          </w:tcPr>
          <w:p>
            <w:pPr>
              <w:spacing w:after="40" w:before="40"/>
            </w:pPr>
            <w:r/>
            <w:r>
              <w:rPr>
                <w:b/>
                <w:sz w:val="17"/>
              </w:rPr>
              <w:t>0.0060</w:t>
            </w:r>
          </w:p>
        </w:tc>
      </w:tr>
      <w:tr>
        <w:tc>
          <w:tcPr>
            <w:tcW w:type="dxa" w:w="1872"/>
          </w:tcPr>
          <w:p>
            <w:pPr>
              <w:spacing w:after="40" w:before="40"/>
            </w:pPr>
            <w:r/>
            <w:r>
              <w:rPr>
                <w:b w:val="0"/>
                <w:sz w:val="17"/>
              </w:rPr>
              <w:t>Ensemble</w:t>
            </w:r>
          </w:p>
        </w:tc>
        <w:tc>
          <w:tcPr>
            <w:tcW w:type="dxa" w:w="1944"/>
          </w:tcPr>
          <w:p>
            <w:pPr>
              <w:spacing w:after="40" w:before="40"/>
            </w:pPr>
            <w:r/>
            <w:r>
              <w:rPr>
                <w:b w:val="0"/>
                <w:sz w:val="17"/>
              </w:rPr>
              <w:t>0.4365</w:t>
            </w:r>
          </w:p>
        </w:tc>
        <w:tc>
          <w:tcPr>
            <w:tcW w:type="dxa" w:w="2016"/>
          </w:tcPr>
          <w:p>
            <w:pPr>
              <w:spacing w:after="40" w:before="40"/>
            </w:pPr>
            <w:r/>
            <w:r>
              <w:rPr>
                <w:b w:val="0"/>
                <w:sz w:val="17"/>
              </w:rPr>
              <w:t>0.0865</w:t>
            </w:r>
          </w:p>
        </w:tc>
        <w:tc>
          <w:tcPr>
            <w:tcW w:type="dxa" w:w="1944"/>
          </w:tcPr>
          <w:p>
            <w:pPr>
              <w:spacing w:after="40" w:before="40"/>
            </w:pPr>
            <w:r/>
            <w:r>
              <w:rPr>
                <w:b w:val="0"/>
                <w:sz w:val="17"/>
              </w:rPr>
              <w:t>−0.0232</w:t>
            </w:r>
          </w:p>
        </w:tc>
        <w:tc>
          <w:tcPr>
            <w:tcW w:type="dxa" w:w="2304"/>
          </w:tcPr>
          <w:p>
            <w:pPr>
              <w:spacing w:after="40" w:before="40"/>
            </w:pPr>
            <w:r/>
            <w:r>
              <w:rPr>
                <w:b w:val="0"/>
                <w:sz w:val="17"/>
              </w:rPr>
              <w:t>−0.0259</w:t>
            </w:r>
          </w:p>
        </w:tc>
      </w:tr>
    </w:tbl>
    <w:p>
      <w:pPr>
        <w:spacing w:after="40" w:before="0"/>
      </w:pPr>
    </w:p>
    <w:p>
      <w:pPr>
        <w:spacing w:after="140"/>
      </w:pPr>
      <w:r>
        <w:rPr>
          <w:b w:val="0"/>
          <w:sz w:val="21"/>
        </w:rPr>
        <w:t xml:space="preserve">XGBoost reduces mean squared error by </w:t>
      </w:r>
      <w:r>
        <w:rPr>
          <w:b/>
          <w:sz w:val="21"/>
        </w:rPr>
        <w:t>45.4%</w:t>
      </w:r>
      <w:r>
        <w:rPr>
          <w:b w:val="0"/>
          <w:sz w:val="21"/>
        </w:rPr>
        <w:t xml:space="preserve"> against the persistence forecast and by 11.5% against the window-average forecast, and it is the only model with positive skill against both climatology and a train-mean constant. Read together with Section 6, the position is coherent and defensible: the achievable margin on this series is small, the model captures a real share of it, and the skill it does have is concentrated exactly where a precipitation product most needs it — in ranking the days most likely to bring heavy rain.</w:t>
      </w:r>
    </w:p>
    <w:p>
      <w:pPr>
        <w:pStyle w:val="Heading1"/>
      </w:pPr>
      <w:r>
        <w:t>10.  The XGBoost configuration and the search behind it</w:t>
      </w:r>
    </w:p>
    <w:p>
      <w:pPr>
        <w:spacing w:after="140"/>
      </w:pPr>
      <w:r>
        <w:rPr>
          <w:b w:val="0"/>
          <w:sz w:val="21"/>
        </w:rPr>
        <w:t>The tree component uses a pseudo-Huber objective with a deliberately shallow, heavily regularised structure. Table 16 records each setting with the reason for it; Table 17 is the validation evidence that supports leaving them where they are.</w:t>
      </w:r>
    </w:p>
    <w:p>
      <w:pPr>
        <w:keepNext/>
        <w:spacing w:after="80"/>
      </w:pPr>
      <w:r>
        <w:rPr>
          <w:i/>
          <w:color w:val="52514E"/>
          <w:sz w:val="18"/>
        </w:rPr>
        <w:t>Table 16.  The XGBoost configuration, with the reason for each setting.</w:t>
      </w:r>
    </w:p>
    <w:tbl>
      <w:tblPr>
        <w:tblStyle w:val="TableGrid"/>
        <w:tblW w:type="auto" w:w="0"/>
        <w:jc w:val="center"/>
        <w:tblLook w:firstColumn="1" w:firstRow="1" w:lastColumn="0" w:lastRow="0" w:noHBand="0" w:noVBand="1" w:val="04A0"/>
      </w:tblPr>
      <w:tblGrid>
        <w:gridCol w:w="3216"/>
        <w:gridCol w:w="3216"/>
        <w:gridCol w:w="3216"/>
      </w:tblGrid>
      <w:tr>
        <w:tc>
          <w:tcPr>
            <w:tcW w:type="dxa" w:w="1944"/>
            <w:shd w:val="clear" w:fill="E8EEF7"/>
          </w:tcPr>
          <w:p>
            <w:pPr>
              <w:spacing w:after="40" w:before="40"/>
            </w:pPr>
            <w:r/>
            <w:r>
              <w:rPr>
                <w:b/>
                <w:sz w:val="17"/>
              </w:rPr>
              <w:t>Parameter</w:t>
            </w:r>
          </w:p>
        </w:tc>
        <w:tc>
          <w:tcPr>
            <w:tcW w:type="dxa" w:w="2520"/>
            <w:shd w:val="clear" w:fill="E8EEF7"/>
          </w:tcPr>
          <w:p>
            <w:pPr>
              <w:spacing w:after="40" w:before="40"/>
            </w:pPr>
            <w:r/>
            <w:r>
              <w:rPr>
                <w:b/>
                <w:sz w:val="17"/>
              </w:rPr>
              <w:t>Value</w:t>
            </w:r>
          </w:p>
        </w:tc>
        <w:tc>
          <w:tcPr>
            <w:tcW w:type="dxa" w:w="5184"/>
            <w:shd w:val="clear" w:fill="E8EEF7"/>
          </w:tcPr>
          <w:p>
            <w:pPr>
              <w:spacing w:after="40" w:before="40"/>
            </w:pPr>
            <w:r/>
            <w:r>
              <w:rPr>
                <w:b/>
                <w:sz w:val="17"/>
              </w:rPr>
              <w:t>Why this value</w:t>
            </w:r>
          </w:p>
        </w:tc>
      </w:tr>
      <w:tr>
        <w:tc>
          <w:tcPr>
            <w:tcW w:type="dxa" w:w="1944"/>
          </w:tcPr>
          <w:p>
            <w:pPr>
              <w:spacing w:after="40" w:before="40"/>
            </w:pPr>
            <w:r/>
            <w:r>
              <w:rPr>
                <w:b w:val="0"/>
                <w:sz w:val="17"/>
              </w:rPr>
              <w:t>objective</w:t>
            </w:r>
          </w:p>
        </w:tc>
        <w:tc>
          <w:tcPr>
            <w:tcW w:type="dxa" w:w="2520"/>
          </w:tcPr>
          <w:p>
            <w:pPr>
              <w:spacing w:after="40" w:before="40"/>
            </w:pPr>
            <w:r/>
            <w:r>
              <w:rPr>
                <w:b w:val="0"/>
                <w:sz w:val="17"/>
              </w:rPr>
              <w:t>reg:pseudohubererror (huber_slope 0.5)</w:t>
            </w:r>
          </w:p>
        </w:tc>
        <w:tc>
          <w:tcPr>
            <w:tcW w:type="dxa" w:w="5184"/>
          </w:tcPr>
          <w:p>
            <w:pPr>
              <w:spacing w:after="40" w:before="40"/>
            </w:pPr>
            <w:r/>
            <w:r>
              <w:rPr>
                <w:b w:val="0"/>
                <w:sz w:val="17"/>
              </w:rPr>
              <w:t>About 60% of days are zero-rain with a long right tail. Pseudo-Huber is quadratic for small residuals and linear for large ones, so it is robust to the tail without discarding it.</w:t>
            </w:r>
          </w:p>
        </w:tc>
      </w:tr>
      <w:tr>
        <w:tc>
          <w:tcPr>
            <w:tcW w:type="dxa" w:w="1944"/>
          </w:tcPr>
          <w:p>
            <w:pPr>
              <w:spacing w:after="40" w:before="40"/>
            </w:pPr>
            <w:r/>
            <w:r>
              <w:rPr>
                <w:b w:val="0"/>
                <w:sz w:val="17"/>
              </w:rPr>
              <w:t>n_estimators</w:t>
            </w:r>
          </w:p>
        </w:tc>
        <w:tc>
          <w:tcPr>
            <w:tcW w:type="dxa" w:w="2520"/>
          </w:tcPr>
          <w:p>
            <w:pPr>
              <w:spacing w:after="40" w:before="40"/>
            </w:pPr>
            <w:r/>
            <w:r>
              <w:rPr>
                <w:b w:val="0"/>
                <w:sz w:val="17"/>
              </w:rPr>
              <w:t>1000 with early stopping (131 trees used)</w:t>
            </w:r>
          </w:p>
        </w:tc>
        <w:tc>
          <w:tcPr>
            <w:tcW w:type="dxa" w:w="5184"/>
          </w:tcPr>
          <w:p>
            <w:pPr>
              <w:spacing w:after="40" w:before="40"/>
            </w:pPr>
            <w:r/>
            <w:r>
              <w:rPr>
                <w:b w:val="0"/>
                <w:sz w:val="17"/>
              </w:rPr>
              <w:t>The tree count is decided by a held-out validation slice rather than fixed in advance.</w:t>
            </w:r>
          </w:p>
        </w:tc>
      </w:tr>
      <w:tr>
        <w:tc>
          <w:tcPr>
            <w:tcW w:type="dxa" w:w="1944"/>
          </w:tcPr>
          <w:p>
            <w:pPr>
              <w:spacing w:after="40" w:before="40"/>
            </w:pPr>
            <w:r/>
            <w:r>
              <w:rPr>
                <w:b w:val="0"/>
                <w:sz w:val="17"/>
              </w:rPr>
              <w:t>max_depth</w:t>
            </w:r>
          </w:p>
        </w:tc>
        <w:tc>
          <w:tcPr>
            <w:tcW w:type="dxa" w:w="2520"/>
          </w:tcPr>
          <w:p>
            <w:pPr>
              <w:spacing w:after="40" w:before="40"/>
            </w:pPr>
            <w:r/>
            <w:r>
              <w:rPr>
                <w:b w:val="0"/>
                <w:sz w:val="17"/>
              </w:rPr>
              <w:t>2</w:t>
            </w:r>
          </w:p>
        </w:tc>
        <w:tc>
          <w:tcPr>
            <w:tcW w:type="dxa" w:w="5184"/>
          </w:tcPr>
          <w:p>
            <w:pPr>
              <w:spacing w:after="40" w:before="40"/>
            </w:pPr>
            <w:r/>
            <w:r>
              <w:rPr>
                <w:b w:val="0"/>
                <w:sz w:val="17"/>
              </w:rPr>
              <w:t>With a low predictability ceiling (Section 6), shallow trees are the correct bias—variance point. Table 17 shows deeper trees give equal or worse validation RMSE.</w:t>
            </w:r>
          </w:p>
        </w:tc>
      </w:tr>
      <w:tr>
        <w:tc>
          <w:tcPr>
            <w:tcW w:type="dxa" w:w="1944"/>
          </w:tcPr>
          <w:p>
            <w:pPr>
              <w:spacing w:after="40" w:before="40"/>
            </w:pPr>
            <w:r/>
            <w:r>
              <w:rPr>
                <w:b w:val="0"/>
                <w:sz w:val="17"/>
              </w:rPr>
              <w:t>learning_rate</w:t>
            </w:r>
          </w:p>
        </w:tc>
        <w:tc>
          <w:tcPr>
            <w:tcW w:type="dxa" w:w="2520"/>
          </w:tcPr>
          <w:p>
            <w:pPr>
              <w:spacing w:after="40" w:before="40"/>
            </w:pPr>
            <w:r/>
            <w:r>
              <w:rPr>
                <w:b w:val="0"/>
                <w:sz w:val="17"/>
              </w:rPr>
              <w:t>0.05</w:t>
            </w:r>
          </w:p>
        </w:tc>
        <w:tc>
          <w:tcPr>
            <w:tcW w:type="dxa" w:w="5184"/>
          </w:tcPr>
          <w:p>
            <w:pPr>
              <w:spacing w:after="40" w:before="40"/>
            </w:pPr>
            <w:r/>
            <w:r>
              <w:rPr>
                <w:b w:val="0"/>
                <w:sz w:val="17"/>
              </w:rPr>
              <w:t>Conservative shrinkage, the standard partner to early stopping.</w:t>
            </w:r>
          </w:p>
        </w:tc>
      </w:tr>
      <w:tr>
        <w:tc>
          <w:tcPr>
            <w:tcW w:type="dxa" w:w="1944"/>
          </w:tcPr>
          <w:p>
            <w:pPr>
              <w:spacing w:after="40" w:before="40"/>
            </w:pPr>
            <w:r/>
            <w:r>
              <w:rPr>
                <w:b w:val="0"/>
                <w:sz w:val="17"/>
              </w:rPr>
              <w:t>subsample</w:t>
            </w:r>
          </w:p>
        </w:tc>
        <w:tc>
          <w:tcPr>
            <w:tcW w:type="dxa" w:w="2520"/>
          </w:tcPr>
          <w:p>
            <w:pPr>
              <w:spacing w:after="40" w:before="40"/>
            </w:pPr>
            <w:r/>
            <w:r>
              <w:rPr>
                <w:b w:val="0"/>
                <w:sz w:val="17"/>
              </w:rPr>
              <w:t>0.7</w:t>
            </w:r>
          </w:p>
        </w:tc>
        <w:tc>
          <w:tcPr>
            <w:tcW w:type="dxa" w:w="5184"/>
          </w:tcPr>
          <w:p>
            <w:pPr>
              <w:spacing w:after="40" w:before="40"/>
            </w:pPr>
            <w:r/>
            <w:r>
              <w:rPr>
                <w:b w:val="0"/>
                <w:sz w:val="17"/>
              </w:rPr>
              <w:t>Row subsampling; decorrelates the trees and regularises.</w:t>
            </w:r>
          </w:p>
        </w:tc>
      </w:tr>
      <w:tr>
        <w:tc>
          <w:tcPr>
            <w:tcW w:type="dxa" w:w="1944"/>
          </w:tcPr>
          <w:p>
            <w:pPr>
              <w:spacing w:after="40" w:before="40"/>
            </w:pPr>
            <w:r/>
            <w:r>
              <w:rPr>
                <w:b w:val="0"/>
                <w:sz w:val="17"/>
              </w:rPr>
              <w:t>colsample_bytree</w:t>
            </w:r>
          </w:p>
        </w:tc>
        <w:tc>
          <w:tcPr>
            <w:tcW w:type="dxa" w:w="2520"/>
          </w:tcPr>
          <w:p>
            <w:pPr>
              <w:spacing w:after="40" w:before="40"/>
            </w:pPr>
            <w:r/>
            <w:r>
              <w:rPr>
                <w:b w:val="0"/>
                <w:sz w:val="17"/>
              </w:rPr>
              <w:t>0.6</w:t>
            </w:r>
          </w:p>
        </w:tc>
        <w:tc>
          <w:tcPr>
            <w:tcW w:type="dxa" w:w="5184"/>
          </w:tcPr>
          <w:p>
            <w:pPr>
              <w:spacing w:after="40" w:before="40"/>
            </w:pPr>
            <w:r/>
            <w:r>
              <w:rPr>
                <w:b w:val="0"/>
                <w:sz w:val="17"/>
              </w:rPr>
              <w:t>Feature subsampling, for the same purpose.</w:t>
            </w:r>
          </w:p>
        </w:tc>
      </w:tr>
      <w:tr>
        <w:tc>
          <w:tcPr>
            <w:tcW w:type="dxa" w:w="1944"/>
          </w:tcPr>
          <w:p>
            <w:pPr>
              <w:spacing w:after="40" w:before="40"/>
            </w:pPr>
            <w:r/>
            <w:r>
              <w:rPr>
                <w:b w:val="0"/>
                <w:sz w:val="17"/>
              </w:rPr>
              <w:t>min_child_weight</w:t>
            </w:r>
          </w:p>
        </w:tc>
        <w:tc>
          <w:tcPr>
            <w:tcW w:type="dxa" w:w="2520"/>
          </w:tcPr>
          <w:p>
            <w:pPr>
              <w:spacing w:after="40" w:before="40"/>
            </w:pPr>
            <w:r/>
            <w:r>
              <w:rPr>
                <w:b w:val="0"/>
                <w:sz w:val="17"/>
              </w:rPr>
              <w:t>8</w:t>
            </w:r>
          </w:p>
        </w:tc>
        <w:tc>
          <w:tcPr>
            <w:tcW w:type="dxa" w:w="5184"/>
          </w:tcPr>
          <w:p>
            <w:pPr>
              <w:spacing w:after="40" w:before="40"/>
            </w:pPr>
            <w:r/>
            <w:r>
              <w:rPr>
                <w:b w:val="0"/>
                <w:sz w:val="17"/>
              </w:rPr>
              <w:t>Requires real evidence mass before a split, so the model does not split on noise created by the zero inflation.</w:t>
            </w:r>
          </w:p>
        </w:tc>
      </w:tr>
      <w:tr>
        <w:tc>
          <w:tcPr>
            <w:tcW w:type="dxa" w:w="1944"/>
          </w:tcPr>
          <w:p>
            <w:pPr>
              <w:spacing w:after="40" w:before="40"/>
            </w:pPr>
            <w:r/>
            <w:r>
              <w:rPr>
                <w:b w:val="0"/>
                <w:sz w:val="17"/>
              </w:rPr>
              <w:t>gamma</w:t>
            </w:r>
          </w:p>
        </w:tc>
        <w:tc>
          <w:tcPr>
            <w:tcW w:type="dxa" w:w="2520"/>
          </w:tcPr>
          <w:p>
            <w:pPr>
              <w:spacing w:after="40" w:before="40"/>
            </w:pPr>
            <w:r/>
            <w:r>
              <w:rPr>
                <w:b w:val="0"/>
                <w:sz w:val="17"/>
              </w:rPr>
              <w:t>0.0</w:t>
            </w:r>
          </w:p>
        </w:tc>
        <w:tc>
          <w:tcPr>
            <w:tcW w:type="dxa" w:w="5184"/>
          </w:tcPr>
          <w:p>
            <w:pPr>
              <w:spacing w:after="40" w:before="40"/>
            </w:pPr>
            <w:r/>
            <w:r>
              <w:rPr>
                <w:b w:val="0"/>
                <w:sz w:val="17"/>
              </w:rPr>
              <w:t>No additional split-loss penalty is needed on top of depth 2.</w:t>
            </w:r>
          </w:p>
        </w:tc>
      </w:tr>
      <w:tr>
        <w:tc>
          <w:tcPr>
            <w:tcW w:type="dxa" w:w="1944"/>
          </w:tcPr>
          <w:p>
            <w:pPr>
              <w:spacing w:after="40" w:before="40"/>
            </w:pPr>
            <w:r/>
            <w:r>
              <w:rPr>
                <w:b w:val="0"/>
                <w:sz w:val="17"/>
              </w:rPr>
              <w:t>reg_alpha / reg_lambda</w:t>
            </w:r>
          </w:p>
        </w:tc>
        <w:tc>
          <w:tcPr>
            <w:tcW w:type="dxa" w:w="2520"/>
          </w:tcPr>
          <w:p>
            <w:pPr>
              <w:spacing w:after="40" w:before="40"/>
            </w:pPr>
            <w:r/>
            <w:r>
              <w:rPr>
                <w:b w:val="0"/>
                <w:sz w:val="17"/>
              </w:rPr>
              <w:t>0.05 / 1.0</w:t>
            </w:r>
          </w:p>
        </w:tc>
        <w:tc>
          <w:tcPr>
            <w:tcW w:type="dxa" w:w="5184"/>
          </w:tcPr>
          <w:p>
            <w:pPr>
              <w:spacing w:after="40" w:before="40"/>
            </w:pPr>
            <w:r/>
            <w:r>
              <w:rPr>
                <w:b w:val="0"/>
                <w:sz w:val="17"/>
              </w:rPr>
              <w:t>Mild L1 and standard L2 on the leaf weights.</w:t>
            </w:r>
          </w:p>
        </w:tc>
      </w:tr>
      <w:tr>
        <w:tc>
          <w:tcPr>
            <w:tcW w:type="dxa" w:w="1944"/>
          </w:tcPr>
          <w:p>
            <w:pPr>
              <w:spacing w:after="40" w:before="40"/>
            </w:pPr>
            <w:r/>
            <w:r>
              <w:rPr>
                <w:b w:val="0"/>
                <w:sz w:val="17"/>
              </w:rPr>
              <w:t>sample weights</w:t>
            </w:r>
          </w:p>
        </w:tc>
        <w:tc>
          <w:tcPr>
            <w:tcW w:type="dxa" w:w="2520"/>
          </w:tcPr>
          <w:p>
            <w:pPr>
              <w:spacing w:after="40" w:before="40"/>
            </w:pPr>
            <w:r/>
            <w:r>
              <w:rPr>
                <w:b w:val="0"/>
                <w:sz w:val="17"/>
              </w:rPr>
              <w:t>sqrt(rainfall + 0.01), up-weighting rain days</w:t>
            </w:r>
          </w:p>
        </w:tc>
        <w:tc>
          <w:tcPr>
            <w:tcW w:type="dxa" w:w="5184"/>
          </w:tcPr>
          <w:p>
            <w:pPr>
              <w:spacing w:after="40" w:before="40"/>
            </w:pPr>
            <w:r/>
            <w:r>
              <w:rPr>
                <w:b w:val="0"/>
                <w:sz w:val="17"/>
              </w:rPr>
              <w:t>Preserves a usable dynamic range. Without it the predictions collapse toward zero, with prediction std falling to 0.128 in Table 17.</w:t>
            </w:r>
          </w:p>
        </w:tc>
      </w:tr>
    </w:tbl>
    <w:p>
      <w:pPr>
        <w:spacing w:after="40" w:before="0"/>
      </w:pPr>
    </w:p>
    <w:p>
      <w:pPr>
        <w:keepNext/>
        <w:spacing w:after="80"/>
      </w:pPr>
      <w:r>
        <w:rPr>
          <w:i/>
          <w:color w:val="52514E"/>
          <w:sz w:val="18"/>
        </w:rPr>
        <w:t>Table 17.  Hyperparameter sweep, selected on validation RMSE (diagnostic section D4). Each variant changes one hypothesis and holds everything else fixed.</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3024"/>
            <w:shd w:val="clear" w:fill="E8EEF7"/>
          </w:tcPr>
          <w:p>
            <w:pPr>
              <w:spacing w:after="40" w:before="40"/>
            </w:pPr>
            <w:r/>
            <w:r>
              <w:rPr>
                <w:b/>
                <w:sz w:val="16"/>
              </w:rPr>
              <w:t>Variant</w:t>
            </w:r>
          </w:p>
        </w:tc>
        <w:tc>
          <w:tcPr>
            <w:tcW w:type="dxa" w:w="792"/>
            <w:shd w:val="clear" w:fill="E8EEF7"/>
          </w:tcPr>
          <w:p>
            <w:pPr>
              <w:spacing w:after="40" w:before="40"/>
            </w:pPr>
            <w:r/>
            <w:r>
              <w:rPr>
                <w:b/>
                <w:sz w:val="16"/>
              </w:rPr>
              <w:t>Trees</w:t>
            </w:r>
          </w:p>
        </w:tc>
        <w:tc>
          <w:tcPr>
            <w:tcW w:type="dxa" w:w="1008"/>
            <w:shd w:val="clear" w:fill="E8EEF7"/>
          </w:tcPr>
          <w:p>
            <w:pPr>
              <w:spacing w:after="40" w:before="40"/>
            </w:pPr>
            <w:r/>
            <w:r>
              <w:rPr>
                <w:b/>
                <w:sz w:val="16"/>
              </w:rPr>
              <w:t>Val RMSE</w:t>
            </w:r>
          </w:p>
        </w:tc>
        <w:tc>
          <w:tcPr>
            <w:tcW w:type="dxa" w:w="950"/>
            <w:shd w:val="clear" w:fill="E8EEF7"/>
          </w:tcPr>
          <w:p>
            <w:pPr>
              <w:spacing w:after="40" w:before="40"/>
            </w:pPr>
            <w:r/>
            <w:r>
              <w:rPr>
                <w:b/>
                <w:sz w:val="16"/>
              </w:rPr>
              <w:t>Val MAE</w:t>
            </w:r>
          </w:p>
        </w:tc>
        <w:tc>
          <w:tcPr>
            <w:tcW w:type="dxa" w:w="1037"/>
            <w:shd w:val="clear" w:fill="E8EEF7"/>
          </w:tcPr>
          <w:p>
            <w:pPr>
              <w:spacing w:after="40" w:before="40"/>
            </w:pPr>
            <w:r/>
            <w:r>
              <w:rPr>
                <w:b/>
                <w:sz w:val="16"/>
              </w:rPr>
              <w:t>Test RMSE</w:t>
            </w:r>
          </w:p>
        </w:tc>
        <w:tc>
          <w:tcPr>
            <w:tcW w:type="dxa" w:w="979"/>
            <w:shd w:val="clear" w:fill="E8EEF7"/>
          </w:tcPr>
          <w:p>
            <w:pPr>
              <w:spacing w:after="40" w:before="40"/>
            </w:pPr>
            <w:r/>
            <w:r>
              <w:rPr>
                <w:b/>
                <w:sz w:val="16"/>
              </w:rPr>
              <w:t>Test MAE</w:t>
            </w:r>
          </w:p>
        </w:tc>
        <w:tc>
          <w:tcPr>
            <w:tcW w:type="dxa" w:w="979"/>
            <w:shd w:val="clear" w:fill="E8EEF7"/>
          </w:tcPr>
          <w:p>
            <w:pPr>
              <w:spacing w:after="40" w:before="40"/>
            </w:pPr>
            <w:r/>
            <w:r>
              <w:rPr>
                <w:b/>
                <w:sz w:val="16"/>
              </w:rPr>
              <w:t>Test R²</w:t>
            </w:r>
          </w:p>
        </w:tc>
        <w:tc>
          <w:tcPr>
            <w:tcW w:type="dxa" w:w="878"/>
            <w:shd w:val="clear" w:fill="E8EEF7"/>
          </w:tcPr>
          <w:p>
            <w:pPr>
              <w:spacing w:after="40" w:before="40"/>
            </w:pPr>
            <w:r/>
            <w:r>
              <w:rPr>
                <w:b/>
                <w:sz w:val="16"/>
              </w:rPr>
              <w:t>Pred std</w:t>
            </w:r>
          </w:p>
        </w:tc>
      </w:tr>
      <w:tr>
        <w:tc>
          <w:tcPr>
            <w:tcW w:type="dxa" w:w="3024"/>
            <w:shd w:val="clear" w:fill="FFF4E0"/>
          </w:tcPr>
          <w:p>
            <w:pPr>
              <w:spacing w:after="40" w:before="40"/>
            </w:pPr>
            <w:r/>
            <w:r>
              <w:rPr>
                <w:b/>
                <w:sz w:val="16"/>
              </w:rPr>
              <w:t>As configured (control)</w:t>
            </w:r>
          </w:p>
        </w:tc>
        <w:tc>
          <w:tcPr>
            <w:tcW w:type="dxa" w:w="792"/>
            <w:shd w:val="clear" w:fill="FFF4E0"/>
          </w:tcPr>
          <w:p>
            <w:pPr>
              <w:spacing w:after="40" w:before="40"/>
            </w:pPr>
            <w:r/>
            <w:r>
              <w:rPr>
                <w:b w:val="0"/>
                <w:sz w:val="16"/>
              </w:rPr>
              <w:t>131</w:t>
            </w:r>
          </w:p>
        </w:tc>
        <w:tc>
          <w:tcPr>
            <w:tcW w:type="dxa" w:w="1008"/>
            <w:shd w:val="clear" w:fill="FFF4E0"/>
          </w:tcPr>
          <w:p>
            <w:pPr>
              <w:spacing w:after="40" w:before="40"/>
            </w:pPr>
            <w:r/>
            <w:r>
              <w:rPr>
                <w:b/>
                <w:sz w:val="16"/>
              </w:rPr>
              <w:t>5.5288</w:t>
            </w:r>
          </w:p>
        </w:tc>
        <w:tc>
          <w:tcPr>
            <w:tcW w:type="dxa" w:w="950"/>
            <w:shd w:val="clear" w:fill="FFF4E0"/>
          </w:tcPr>
          <w:p>
            <w:pPr>
              <w:spacing w:after="40" w:before="40"/>
            </w:pPr>
            <w:r/>
            <w:r>
              <w:rPr>
                <w:b w:val="0"/>
                <w:sz w:val="16"/>
              </w:rPr>
              <w:t>3.0301</w:t>
            </w:r>
          </w:p>
        </w:tc>
        <w:tc>
          <w:tcPr>
            <w:tcW w:type="dxa" w:w="1037"/>
            <w:shd w:val="clear" w:fill="FFF4E0"/>
          </w:tcPr>
          <w:p>
            <w:pPr>
              <w:spacing w:after="40" w:before="40"/>
            </w:pPr>
            <w:r/>
            <w:r>
              <w:rPr>
                <w:b w:val="0"/>
                <w:sz w:val="16"/>
              </w:rPr>
              <w:t>5.5320</w:t>
            </w:r>
          </w:p>
        </w:tc>
        <w:tc>
          <w:tcPr>
            <w:tcW w:type="dxa" w:w="979"/>
            <w:shd w:val="clear" w:fill="FFF4E0"/>
          </w:tcPr>
          <w:p>
            <w:pPr>
              <w:spacing w:after="40" w:before="40"/>
            </w:pPr>
            <w:r/>
            <w:r>
              <w:rPr>
                <w:b w:val="0"/>
                <w:sz w:val="16"/>
              </w:rPr>
              <w:t>3.1341</w:t>
            </w:r>
          </w:p>
        </w:tc>
        <w:tc>
          <w:tcPr>
            <w:tcW w:type="dxa" w:w="979"/>
            <w:shd w:val="clear" w:fill="FFF4E0"/>
          </w:tcPr>
          <w:p>
            <w:pPr>
              <w:spacing w:after="40" w:before="40"/>
            </w:pPr>
            <w:r/>
            <w:r>
              <w:rPr>
                <w:b w:val="0"/>
                <w:sz w:val="16"/>
              </w:rPr>
              <w:t>0.0028</w:t>
            </w:r>
          </w:p>
        </w:tc>
        <w:tc>
          <w:tcPr>
            <w:tcW w:type="dxa" w:w="878"/>
            <w:shd w:val="clear" w:fill="FFF4E0"/>
          </w:tcPr>
          <w:p>
            <w:pPr>
              <w:spacing w:after="40" w:before="40"/>
            </w:pPr>
            <w:r/>
            <w:r>
              <w:rPr>
                <w:b w:val="0"/>
                <w:sz w:val="16"/>
              </w:rPr>
              <w:t>0.374</w:t>
            </w:r>
          </w:p>
        </w:tc>
      </w:tr>
      <w:tr>
        <w:tc>
          <w:tcPr>
            <w:tcW w:type="dxa" w:w="3024"/>
          </w:tcPr>
          <w:p>
            <w:pPr>
              <w:spacing w:after="40" w:before="40"/>
            </w:pPr>
            <w:r/>
            <w:r>
              <w:rPr>
                <w:b w:val="0"/>
                <w:sz w:val="16"/>
              </w:rPr>
              <w:t>max_depth = 3</w:t>
            </w:r>
          </w:p>
        </w:tc>
        <w:tc>
          <w:tcPr>
            <w:tcW w:type="dxa" w:w="792"/>
          </w:tcPr>
          <w:p>
            <w:pPr>
              <w:spacing w:after="40" w:before="40"/>
            </w:pPr>
            <w:r/>
            <w:r>
              <w:rPr>
                <w:b w:val="0"/>
                <w:sz w:val="16"/>
              </w:rPr>
              <w:t>104</w:t>
            </w:r>
          </w:p>
        </w:tc>
        <w:tc>
          <w:tcPr>
            <w:tcW w:type="dxa" w:w="1008"/>
          </w:tcPr>
          <w:p>
            <w:pPr>
              <w:spacing w:after="40" w:before="40"/>
            </w:pPr>
            <w:r/>
            <w:r>
              <w:rPr>
                <w:b w:val="0"/>
                <w:sz w:val="16"/>
              </w:rPr>
              <w:t>5.5417</w:t>
            </w:r>
          </w:p>
        </w:tc>
        <w:tc>
          <w:tcPr>
            <w:tcW w:type="dxa" w:w="950"/>
          </w:tcPr>
          <w:p>
            <w:pPr>
              <w:spacing w:after="40" w:before="40"/>
            </w:pPr>
            <w:r/>
            <w:r>
              <w:rPr>
                <w:b w:val="0"/>
                <w:sz w:val="16"/>
              </w:rPr>
              <w:t>3.0102</w:t>
            </w:r>
          </w:p>
        </w:tc>
        <w:tc>
          <w:tcPr>
            <w:tcW w:type="dxa" w:w="1037"/>
          </w:tcPr>
          <w:p>
            <w:pPr>
              <w:spacing w:after="40" w:before="40"/>
            </w:pPr>
            <w:r/>
            <w:r>
              <w:rPr>
                <w:b w:val="0"/>
                <w:sz w:val="16"/>
              </w:rPr>
              <w:t>5.5307</w:t>
            </w:r>
          </w:p>
        </w:tc>
        <w:tc>
          <w:tcPr>
            <w:tcW w:type="dxa" w:w="979"/>
          </w:tcPr>
          <w:p>
            <w:pPr>
              <w:spacing w:after="40" w:before="40"/>
            </w:pPr>
            <w:r/>
            <w:r>
              <w:rPr>
                <w:b w:val="0"/>
                <w:sz w:val="16"/>
              </w:rPr>
              <w:t>3.0964</w:t>
            </w:r>
          </w:p>
        </w:tc>
        <w:tc>
          <w:tcPr>
            <w:tcW w:type="dxa" w:w="979"/>
          </w:tcPr>
          <w:p>
            <w:pPr>
              <w:spacing w:after="40" w:before="40"/>
            </w:pPr>
            <w:r/>
            <w:r>
              <w:rPr>
                <w:b w:val="0"/>
                <w:sz w:val="16"/>
              </w:rPr>
              <w:t>0.0033</w:t>
            </w:r>
          </w:p>
        </w:tc>
        <w:tc>
          <w:tcPr>
            <w:tcW w:type="dxa" w:w="878"/>
          </w:tcPr>
          <w:p>
            <w:pPr>
              <w:spacing w:after="40" w:before="40"/>
            </w:pPr>
            <w:r/>
            <w:r>
              <w:rPr>
                <w:b w:val="0"/>
                <w:sz w:val="16"/>
              </w:rPr>
              <w:t>0.417</w:t>
            </w:r>
          </w:p>
        </w:tc>
      </w:tr>
      <w:tr>
        <w:tc>
          <w:tcPr>
            <w:tcW w:type="dxa" w:w="3024"/>
          </w:tcPr>
          <w:p>
            <w:pPr>
              <w:spacing w:after="40" w:before="40"/>
            </w:pPr>
            <w:r/>
            <w:r>
              <w:rPr>
                <w:b w:val="0"/>
                <w:sz w:val="16"/>
              </w:rPr>
              <w:t>max_depth = 4</w:t>
            </w:r>
          </w:p>
        </w:tc>
        <w:tc>
          <w:tcPr>
            <w:tcW w:type="dxa" w:w="792"/>
          </w:tcPr>
          <w:p>
            <w:pPr>
              <w:spacing w:after="40" w:before="40"/>
            </w:pPr>
            <w:r/>
            <w:r>
              <w:rPr>
                <w:b w:val="0"/>
                <w:sz w:val="16"/>
              </w:rPr>
              <w:t>82</w:t>
            </w:r>
          </w:p>
        </w:tc>
        <w:tc>
          <w:tcPr>
            <w:tcW w:type="dxa" w:w="1008"/>
          </w:tcPr>
          <w:p>
            <w:pPr>
              <w:spacing w:after="40" w:before="40"/>
            </w:pPr>
            <w:r/>
            <w:r>
              <w:rPr>
                <w:b w:val="0"/>
                <w:sz w:val="16"/>
              </w:rPr>
              <w:t>5.5401</w:t>
            </w:r>
          </w:p>
        </w:tc>
        <w:tc>
          <w:tcPr>
            <w:tcW w:type="dxa" w:w="950"/>
          </w:tcPr>
          <w:p>
            <w:pPr>
              <w:spacing w:after="40" w:before="40"/>
            </w:pPr>
            <w:r/>
            <w:r>
              <w:rPr>
                <w:b w:val="0"/>
                <w:sz w:val="16"/>
              </w:rPr>
              <w:t>2.9978</w:t>
            </w:r>
          </w:p>
        </w:tc>
        <w:tc>
          <w:tcPr>
            <w:tcW w:type="dxa" w:w="1037"/>
          </w:tcPr>
          <w:p>
            <w:pPr>
              <w:spacing w:after="40" w:before="40"/>
            </w:pPr>
            <w:r/>
            <w:r>
              <w:rPr>
                <w:b w:val="0"/>
                <w:sz w:val="16"/>
              </w:rPr>
              <w:t>5.5368</w:t>
            </w:r>
          </w:p>
        </w:tc>
        <w:tc>
          <w:tcPr>
            <w:tcW w:type="dxa" w:w="979"/>
          </w:tcPr>
          <w:p>
            <w:pPr>
              <w:spacing w:after="40" w:before="40"/>
            </w:pPr>
            <w:r/>
            <w:r>
              <w:rPr>
                <w:b w:val="0"/>
                <w:sz w:val="16"/>
              </w:rPr>
              <w:t>3.0806</w:t>
            </w:r>
          </w:p>
        </w:tc>
        <w:tc>
          <w:tcPr>
            <w:tcW w:type="dxa" w:w="979"/>
          </w:tcPr>
          <w:p>
            <w:pPr>
              <w:spacing w:after="40" w:before="40"/>
            </w:pPr>
            <w:r/>
            <w:r>
              <w:rPr>
                <w:b w:val="0"/>
                <w:sz w:val="16"/>
              </w:rPr>
              <w:t>0.0010</w:t>
            </w:r>
          </w:p>
        </w:tc>
        <w:tc>
          <w:tcPr>
            <w:tcW w:type="dxa" w:w="878"/>
          </w:tcPr>
          <w:p>
            <w:pPr>
              <w:spacing w:after="40" w:before="40"/>
            </w:pPr>
            <w:r/>
            <w:r>
              <w:rPr>
                <w:b w:val="0"/>
                <w:sz w:val="16"/>
              </w:rPr>
              <w:t>0.454</w:t>
            </w:r>
          </w:p>
        </w:tc>
      </w:tr>
      <w:tr>
        <w:tc>
          <w:tcPr>
            <w:tcW w:type="dxa" w:w="3024"/>
          </w:tcPr>
          <w:p>
            <w:pPr>
              <w:spacing w:after="40" w:before="40"/>
            </w:pPr>
            <w:r/>
            <w:r>
              <w:rPr>
                <w:b w:val="0"/>
                <w:sz w:val="16"/>
              </w:rPr>
              <w:t>max_depth = 6</w:t>
            </w:r>
          </w:p>
        </w:tc>
        <w:tc>
          <w:tcPr>
            <w:tcW w:type="dxa" w:w="792"/>
          </w:tcPr>
          <w:p>
            <w:pPr>
              <w:spacing w:after="40" w:before="40"/>
            </w:pPr>
            <w:r/>
            <w:r>
              <w:rPr>
                <w:b w:val="0"/>
                <w:sz w:val="16"/>
              </w:rPr>
              <w:t>51</w:t>
            </w:r>
          </w:p>
        </w:tc>
        <w:tc>
          <w:tcPr>
            <w:tcW w:type="dxa" w:w="1008"/>
          </w:tcPr>
          <w:p>
            <w:pPr>
              <w:spacing w:after="40" w:before="40"/>
            </w:pPr>
            <w:r/>
            <w:r>
              <w:rPr>
                <w:b w:val="0"/>
                <w:sz w:val="16"/>
              </w:rPr>
              <w:t>5.5719</w:t>
            </w:r>
          </w:p>
        </w:tc>
        <w:tc>
          <w:tcPr>
            <w:tcW w:type="dxa" w:w="950"/>
          </w:tcPr>
          <w:p>
            <w:pPr>
              <w:spacing w:after="40" w:before="40"/>
            </w:pPr>
            <w:r/>
            <w:r>
              <w:rPr>
                <w:b w:val="0"/>
                <w:sz w:val="16"/>
              </w:rPr>
              <w:t>3.1378</w:t>
            </w:r>
          </w:p>
        </w:tc>
        <w:tc>
          <w:tcPr>
            <w:tcW w:type="dxa" w:w="1037"/>
          </w:tcPr>
          <w:p>
            <w:pPr>
              <w:spacing w:after="40" w:before="40"/>
            </w:pPr>
            <w:r/>
            <w:r>
              <w:rPr>
                <w:b w:val="0"/>
                <w:sz w:val="16"/>
              </w:rPr>
              <w:t>5.5669</w:t>
            </w:r>
          </w:p>
        </w:tc>
        <w:tc>
          <w:tcPr>
            <w:tcW w:type="dxa" w:w="979"/>
          </w:tcPr>
          <w:p>
            <w:pPr>
              <w:spacing w:after="40" w:before="40"/>
            </w:pPr>
            <w:r/>
            <w:r>
              <w:rPr>
                <w:b w:val="0"/>
                <w:sz w:val="16"/>
              </w:rPr>
              <w:t>3.2129</w:t>
            </w:r>
          </w:p>
        </w:tc>
        <w:tc>
          <w:tcPr>
            <w:tcW w:type="dxa" w:w="979"/>
          </w:tcPr>
          <w:p>
            <w:pPr>
              <w:spacing w:after="40" w:before="40"/>
            </w:pPr>
            <w:r/>
            <w:r>
              <w:rPr>
                <w:b w:val="0"/>
                <w:sz w:val="16"/>
              </w:rPr>
              <w:t>−0.0099</w:t>
            </w:r>
          </w:p>
        </w:tc>
        <w:tc>
          <w:tcPr>
            <w:tcW w:type="dxa" w:w="878"/>
          </w:tcPr>
          <w:p>
            <w:pPr>
              <w:spacing w:after="40" w:before="40"/>
            </w:pPr>
            <w:r/>
            <w:r>
              <w:rPr>
                <w:b w:val="0"/>
                <w:sz w:val="16"/>
              </w:rPr>
              <w:t>0.630</w:t>
            </w:r>
          </w:p>
        </w:tc>
      </w:tr>
      <w:tr>
        <w:tc>
          <w:tcPr>
            <w:tcW w:type="dxa" w:w="3024"/>
          </w:tcPr>
          <w:p>
            <w:pPr>
              <w:spacing w:after="40" w:before="40"/>
            </w:pPr>
            <w:r/>
            <w:r>
              <w:rPr>
                <w:b w:val="0"/>
                <w:sz w:val="16"/>
              </w:rPr>
              <w:t>depth 4 + min_child_weight = 1</w:t>
            </w:r>
          </w:p>
        </w:tc>
        <w:tc>
          <w:tcPr>
            <w:tcW w:type="dxa" w:w="792"/>
          </w:tcPr>
          <w:p>
            <w:pPr>
              <w:spacing w:after="40" w:before="40"/>
            </w:pPr>
            <w:r/>
            <w:r>
              <w:rPr>
                <w:b w:val="0"/>
                <w:sz w:val="16"/>
              </w:rPr>
              <w:t>64</w:t>
            </w:r>
          </w:p>
        </w:tc>
        <w:tc>
          <w:tcPr>
            <w:tcW w:type="dxa" w:w="1008"/>
          </w:tcPr>
          <w:p>
            <w:pPr>
              <w:spacing w:after="40" w:before="40"/>
            </w:pPr>
            <w:r/>
            <w:r>
              <w:rPr>
                <w:b w:val="0"/>
                <w:sz w:val="16"/>
              </w:rPr>
              <w:t>5.5567</w:t>
            </w:r>
          </w:p>
        </w:tc>
        <w:tc>
          <w:tcPr>
            <w:tcW w:type="dxa" w:w="950"/>
          </w:tcPr>
          <w:p>
            <w:pPr>
              <w:spacing w:after="40" w:before="40"/>
            </w:pPr>
            <w:r/>
            <w:r>
              <w:rPr>
                <w:b w:val="0"/>
                <w:sz w:val="16"/>
              </w:rPr>
              <w:t>3.0896</w:t>
            </w:r>
          </w:p>
        </w:tc>
        <w:tc>
          <w:tcPr>
            <w:tcW w:type="dxa" w:w="1037"/>
          </w:tcPr>
          <w:p>
            <w:pPr>
              <w:spacing w:after="40" w:before="40"/>
            </w:pPr>
            <w:r/>
            <w:r>
              <w:rPr>
                <w:b w:val="0"/>
                <w:sz w:val="16"/>
              </w:rPr>
              <w:t>5.5395</w:t>
            </w:r>
          </w:p>
        </w:tc>
        <w:tc>
          <w:tcPr>
            <w:tcW w:type="dxa" w:w="979"/>
          </w:tcPr>
          <w:p>
            <w:pPr>
              <w:spacing w:after="40" w:before="40"/>
            </w:pPr>
            <w:r/>
            <w:r>
              <w:rPr>
                <w:b w:val="0"/>
                <w:sz w:val="16"/>
              </w:rPr>
              <w:t>3.1814</w:t>
            </w:r>
          </w:p>
        </w:tc>
        <w:tc>
          <w:tcPr>
            <w:tcW w:type="dxa" w:w="979"/>
          </w:tcPr>
          <w:p>
            <w:pPr>
              <w:spacing w:after="40" w:before="40"/>
            </w:pPr>
            <w:r/>
            <w:r>
              <w:rPr>
                <w:b w:val="0"/>
                <w:sz w:val="16"/>
              </w:rPr>
              <w:t>0.0001</w:t>
            </w:r>
          </w:p>
        </w:tc>
        <w:tc>
          <w:tcPr>
            <w:tcW w:type="dxa" w:w="878"/>
          </w:tcPr>
          <w:p>
            <w:pPr>
              <w:spacing w:after="40" w:before="40"/>
            </w:pPr>
            <w:r/>
            <w:r>
              <w:rPr>
                <w:b w:val="0"/>
                <w:sz w:val="16"/>
              </w:rPr>
              <w:t>0.479</w:t>
            </w:r>
          </w:p>
        </w:tc>
      </w:tr>
      <w:tr>
        <w:tc>
          <w:tcPr>
            <w:tcW w:type="dxa" w:w="3024"/>
          </w:tcPr>
          <w:p>
            <w:pPr>
              <w:spacing w:after="40" w:before="40"/>
            </w:pPr>
            <w:r/>
            <w:r>
              <w:rPr>
                <w:b w:val="0"/>
                <w:sz w:val="16"/>
              </w:rPr>
              <w:t>depth 4 + subsample/colsample 0.9</w:t>
            </w:r>
          </w:p>
        </w:tc>
        <w:tc>
          <w:tcPr>
            <w:tcW w:type="dxa" w:w="792"/>
          </w:tcPr>
          <w:p>
            <w:pPr>
              <w:spacing w:after="40" w:before="40"/>
            </w:pPr>
            <w:r/>
            <w:r>
              <w:rPr>
                <w:b w:val="0"/>
                <w:sz w:val="16"/>
              </w:rPr>
              <w:t>79</w:t>
            </w:r>
          </w:p>
        </w:tc>
        <w:tc>
          <w:tcPr>
            <w:tcW w:type="dxa" w:w="1008"/>
          </w:tcPr>
          <w:p>
            <w:pPr>
              <w:spacing w:after="40" w:before="40"/>
            </w:pPr>
            <w:r/>
            <w:r>
              <w:rPr>
                <w:b w:val="0"/>
                <w:sz w:val="16"/>
              </w:rPr>
              <w:t>5.5539</w:t>
            </w:r>
          </w:p>
        </w:tc>
        <w:tc>
          <w:tcPr>
            <w:tcW w:type="dxa" w:w="950"/>
          </w:tcPr>
          <w:p>
            <w:pPr>
              <w:spacing w:after="40" w:before="40"/>
            </w:pPr>
            <w:r/>
            <w:r>
              <w:rPr>
                <w:b w:val="0"/>
                <w:sz w:val="16"/>
              </w:rPr>
              <w:t>3.0114</w:t>
            </w:r>
          </w:p>
        </w:tc>
        <w:tc>
          <w:tcPr>
            <w:tcW w:type="dxa" w:w="1037"/>
          </w:tcPr>
          <w:p>
            <w:pPr>
              <w:spacing w:after="40" w:before="40"/>
            </w:pPr>
            <w:r/>
            <w:r>
              <w:rPr>
                <w:b w:val="0"/>
                <w:sz w:val="16"/>
              </w:rPr>
              <w:t>5.5371</w:t>
            </w:r>
          </w:p>
        </w:tc>
        <w:tc>
          <w:tcPr>
            <w:tcW w:type="dxa" w:w="979"/>
          </w:tcPr>
          <w:p>
            <w:pPr>
              <w:spacing w:after="40" w:before="40"/>
            </w:pPr>
            <w:r/>
            <w:r>
              <w:rPr>
                <w:b w:val="0"/>
                <w:sz w:val="16"/>
              </w:rPr>
              <w:t>3.0853</w:t>
            </w:r>
          </w:p>
        </w:tc>
        <w:tc>
          <w:tcPr>
            <w:tcW w:type="dxa" w:w="979"/>
          </w:tcPr>
          <w:p>
            <w:pPr>
              <w:spacing w:after="40" w:before="40"/>
            </w:pPr>
            <w:r/>
            <w:r>
              <w:rPr>
                <w:b w:val="0"/>
                <w:sz w:val="16"/>
              </w:rPr>
              <w:t>0.0009</w:t>
            </w:r>
          </w:p>
        </w:tc>
        <w:tc>
          <w:tcPr>
            <w:tcW w:type="dxa" w:w="878"/>
          </w:tcPr>
          <w:p>
            <w:pPr>
              <w:spacing w:after="40" w:before="40"/>
            </w:pPr>
            <w:r/>
            <w:r>
              <w:rPr>
                <w:b w:val="0"/>
                <w:sz w:val="16"/>
              </w:rPr>
              <w:t>0.423</w:t>
            </w:r>
          </w:p>
        </w:tc>
      </w:tr>
      <w:tr>
        <w:tc>
          <w:tcPr>
            <w:tcW w:type="dxa" w:w="3024"/>
          </w:tcPr>
          <w:p>
            <w:pPr>
              <w:spacing w:after="40" w:before="40"/>
            </w:pPr>
            <w:r/>
            <w:r>
              <w:rPr>
                <w:b w:val="0"/>
                <w:sz w:val="16"/>
              </w:rPr>
              <w:t>lr = 0.02, 3000 trees, depth 4</w:t>
            </w:r>
          </w:p>
        </w:tc>
        <w:tc>
          <w:tcPr>
            <w:tcW w:type="dxa" w:w="792"/>
          </w:tcPr>
          <w:p>
            <w:pPr>
              <w:spacing w:after="40" w:before="40"/>
            </w:pPr>
            <w:r/>
            <w:r>
              <w:rPr>
                <w:b w:val="0"/>
                <w:sz w:val="16"/>
              </w:rPr>
              <w:t>206</w:t>
            </w:r>
          </w:p>
        </w:tc>
        <w:tc>
          <w:tcPr>
            <w:tcW w:type="dxa" w:w="1008"/>
          </w:tcPr>
          <w:p>
            <w:pPr>
              <w:spacing w:after="40" w:before="40"/>
            </w:pPr>
            <w:r/>
            <w:r>
              <w:rPr>
                <w:b w:val="0"/>
                <w:sz w:val="16"/>
              </w:rPr>
              <w:t>5.5487</w:t>
            </w:r>
          </w:p>
        </w:tc>
        <w:tc>
          <w:tcPr>
            <w:tcW w:type="dxa" w:w="950"/>
          </w:tcPr>
          <w:p>
            <w:pPr>
              <w:spacing w:after="40" w:before="40"/>
            </w:pPr>
            <w:r/>
            <w:r>
              <w:rPr>
                <w:b w:val="0"/>
                <w:sz w:val="16"/>
              </w:rPr>
              <w:t>2.9998</w:t>
            </w:r>
          </w:p>
        </w:tc>
        <w:tc>
          <w:tcPr>
            <w:tcW w:type="dxa" w:w="1037"/>
          </w:tcPr>
          <w:p>
            <w:pPr>
              <w:spacing w:after="40" w:before="40"/>
            </w:pPr>
            <w:r/>
            <w:r>
              <w:rPr>
                <w:b w:val="0"/>
                <w:sz w:val="16"/>
              </w:rPr>
              <w:t>5.5423</w:t>
            </w:r>
          </w:p>
        </w:tc>
        <w:tc>
          <w:tcPr>
            <w:tcW w:type="dxa" w:w="979"/>
          </w:tcPr>
          <w:p>
            <w:pPr>
              <w:spacing w:after="40" w:before="40"/>
            </w:pPr>
            <w:r/>
            <w:r>
              <w:rPr>
                <w:b w:val="0"/>
                <w:sz w:val="16"/>
              </w:rPr>
              <w:t>3.0737</w:t>
            </w:r>
          </w:p>
        </w:tc>
        <w:tc>
          <w:tcPr>
            <w:tcW w:type="dxa" w:w="979"/>
          </w:tcPr>
          <w:p>
            <w:pPr>
              <w:spacing w:after="40" w:before="40"/>
            </w:pPr>
            <w:r/>
            <w:r>
              <w:rPr>
                <w:b w:val="0"/>
                <w:sz w:val="16"/>
              </w:rPr>
              <w:t>−0.0009</w:t>
            </w:r>
          </w:p>
        </w:tc>
        <w:tc>
          <w:tcPr>
            <w:tcW w:type="dxa" w:w="878"/>
          </w:tcPr>
          <w:p>
            <w:pPr>
              <w:spacing w:after="40" w:before="40"/>
            </w:pPr>
            <w:r/>
            <w:r>
              <w:rPr>
                <w:b w:val="0"/>
                <w:sz w:val="16"/>
              </w:rPr>
              <w:t>0.393</w:t>
            </w:r>
          </w:p>
        </w:tc>
      </w:tr>
      <w:tr>
        <w:tc>
          <w:tcPr>
            <w:tcW w:type="dxa" w:w="3024"/>
          </w:tcPr>
          <w:p>
            <w:pPr>
              <w:spacing w:after="40" w:before="40"/>
            </w:pPr>
            <w:r/>
            <w:r>
              <w:rPr>
                <w:b w:val="0"/>
                <w:sz w:val="16"/>
              </w:rPr>
              <w:t>lr = 0.10</w:t>
            </w:r>
          </w:p>
        </w:tc>
        <w:tc>
          <w:tcPr>
            <w:tcW w:type="dxa" w:w="792"/>
          </w:tcPr>
          <w:p>
            <w:pPr>
              <w:spacing w:after="40" w:before="40"/>
            </w:pPr>
            <w:r/>
            <w:r>
              <w:rPr>
                <w:b w:val="0"/>
                <w:sz w:val="16"/>
              </w:rPr>
              <w:t>64</w:t>
            </w:r>
          </w:p>
        </w:tc>
        <w:tc>
          <w:tcPr>
            <w:tcW w:type="dxa" w:w="1008"/>
          </w:tcPr>
          <w:p>
            <w:pPr>
              <w:spacing w:after="40" w:before="40"/>
            </w:pPr>
            <w:r/>
            <w:r>
              <w:rPr>
                <w:b w:val="0"/>
                <w:sz w:val="16"/>
              </w:rPr>
              <w:t>5.5341</w:t>
            </w:r>
          </w:p>
        </w:tc>
        <w:tc>
          <w:tcPr>
            <w:tcW w:type="dxa" w:w="950"/>
          </w:tcPr>
          <w:p>
            <w:pPr>
              <w:spacing w:after="40" w:before="40"/>
            </w:pPr>
            <w:r/>
            <w:r>
              <w:rPr>
                <w:b w:val="0"/>
                <w:sz w:val="16"/>
              </w:rPr>
              <w:t>3.0410</w:t>
            </w:r>
          </w:p>
        </w:tc>
        <w:tc>
          <w:tcPr>
            <w:tcW w:type="dxa" w:w="1037"/>
          </w:tcPr>
          <w:p>
            <w:pPr>
              <w:spacing w:after="40" w:before="40"/>
            </w:pPr>
            <w:r/>
            <w:r>
              <w:rPr>
                <w:b w:val="0"/>
                <w:sz w:val="16"/>
              </w:rPr>
              <w:t>5.5431</w:t>
            </w:r>
          </w:p>
        </w:tc>
        <w:tc>
          <w:tcPr>
            <w:tcW w:type="dxa" w:w="979"/>
          </w:tcPr>
          <w:p>
            <w:pPr>
              <w:spacing w:after="40" w:before="40"/>
            </w:pPr>
            <w:r/>
            <w:r>
              <w:rPr>
                <w:b w:val="0"/>
                <w:sz w:val="16"/>
              </w:rPr>
              <w:t>3.1497</w:t>
            </w:r>
          </w:p>
        </w:tc>
        <w:tc>
          <w:tcPr>
            <w:tcW w:type="dxa" w:w="979"/>
          </w:tcPr>
          <w:p>
            <w:pPr>
              <w:spacing w:after="40" w:before="40"/>
            </w:pPr>
            <w:r/>
            <w:r>
              <w:rPr>
                <w:b w:val="0"/>
                <w:sz w:val="16"/>
              </w:rPr>
              <w:t>−0.0012</w:t>
            </w:r>
          </w:p>
        </w:tc>
        <w:tc>
          <w:tcPr>
            <w:tcW w:type="dxa" w:w="878"/>
          </w:tcPr>
          <w:p>
            <w:pPr>
              <w:spacing w:after="40" w:before="40"/>
            </w:pPr>
            <w:r/>
            <w:r>
              <w:rPr>
                <w:b w:val="0"/>
                <w:sz w:val="16"/>
              </w:rPr>
              <w:t>0.415</w:t>
            </w:r>
          </w:p>
        </w:tc>
      </w:tr>
      <w:tr>
        <w:tc>
          <w:tcPr>
            <w:tcW w:type="dxa" w:w="3024"/>
          </w:tcPr>
          <w:p>
            <w:pPr>
              <w:spacing w:after="40" w:before="40"/>
            </w:pPr>
            <w:r/>
            <w:r>
              <w:rPr>
                <w:b w:val="0"/>
                <w:sz w:val="16"/>
              </w:rPr>
              <w:t>reg_lambda = 5</w:t>
            </w:r>
          </w:p>
        </w:tc>
        <w:tc>
          <w:tcPr>
            <w:tcW w:type="dxa" w:w="792"/>
          </w:tcPr>
          <w:p>
            <w:pPr>
              <w:spacing w:after="40" w:before="40"/>
            </w:pPr>
            <w:r/>
            <w:r>
              <w:rPr>
                <w:b w:val="0"/>
                <w:sz w:val="16"/>
              </w:rPr>
              <w:t>130</w:t>
            </w:r>
          </w:p>
        </w:tc>
        <w:tc>
          <w:tcPr>
            <w:tcW w:type="dxa" w:w="1008"/>
          </w:tcPr>
          <w:p>
            <w:pPr>
              <w:spacing w:after="40" w:before="40"/>
            </w:pPr>
            <w:r/>
            <w:r>
              <w:rPr>
                <w:b w:val="0"/>
                <w:sz w:val="16"/>
              </w:rPr>
              <w:t>5.5367</w:t>
            </w:r>
          </w:p>
        </w:tc>
        <w:tc>
          <w:tcPr>
            <w:tcW w:type="dxa" w:w="950"/>
          </w:tcPr>
          <w:p>
            <w:pPr>
              <w:spacing w:after="40" w:before="40"/>
            </w:pPr>
            <w:r/>
            <w:r>
              <w:rPr>
                <w:b w:val="0"/>
                <w:sz w:val="16"/>
              </w:rPr>
              <w:t>3.0430</w:t>
            </w:r>
          </w:p>
        </w:tc>
        <w:tc>
          <w:tcPr>
            <w:tcW w:type="dxa" w:w="1037"/>
          </w:tcPr>
          <w:p>
            <w:pPr>
              <w:spacing w:after="40" w:before="40"/>
            </w:pPr>
            <w:r/>
            <w:r>
              <w:rPr>
                <w:b w:val="0"/>
                <w:sz w:val="16"/>
              </w:rPr>
              <w:t>5.5257</w:t>
            </w:r>
          </w:p>
        </w:tc>
        <w:tc>
          <w:tcPr>
            <w:tcW w:type="dxa" w:w="979"/>
          </w:tcPr>
          <w:p>
            <w:pPr>
              <w:spacing w:after="40" w:before="40"/>
            </w:pPr>
            <w:r/>
            <w:r>
              <w:rPr>
                <w:b w:val="0"/>
                <w:sz w:val="16"/>
              </w:rPr>
              <w:t>3.1312</w:t>
            </w:r>
          </w:p>
        </w:tc>
        <w:tc>
          <w:tcPr>
            <w:tcW w:type="dxa" w:w="979"/>
          </w:tcPr>
          <w:p>
            <w:pPr>
              <w:spacing w:after="40" w:before="40"/>
            </w:pPr>
            <w:r/>
            <w:r>
              <w:rPr>
                <w:b w:val="0"/>
                <w:sz w:val="16"/>
              </w:rPr>
              <w:t>0.0051</w:t>
            </w:r>
          </w:p>
        </w:tc>
        <w:tc>
          <w:tcPr>
            <w:tcW w:type="dxa" w:w="878"/>
          </w:tcPr>
          <w:p>
            <w:pPr>
              <w:spacing w:after="40" w:before="40"/>
            </w:pPr>
            <w:r/>
            <w:r>
              <w:rPr>
                <w:b w:val="0"/>
                <w:sz w:val="16"/>
              </w:rPr>
              <w:t>0.374</w:t>
            </w:r>
          </w:p>
        </w:tc>
      </w:tr>
      <w:tr>
        <w:tc>
          <w:tcPr>
            <w:tcW w:type="dxa" w:w="3024"/>
          </w:tcPr>
          <w:p>
            <w:pPr>
              <w:spacing w:after="40" w:before="40"/>
            </w:pPr>
            <w:r/>
            <w:r>
              <w:rPr>
                <w:b w:val="0"/>
                <w:sz w:val="16"/>
              </w:rPr>
              <w:t>No sample weighting</w:t>
            </w:r>
          </w:p>
        </w:tc>
        <w:tc>
          <w:tcPr>
            <w:tcW w:type="dxa" w:w="792"/>
          </w:tcPr>
          <w:p>
            <w:pPr>
              <w:spacing w:after="40" w:before="40"/>
            </w:pPr>
            <w:r/>
            <w:r>
              <w:rPr>
                <w:b w:val="0"/>
                <w:sz w:val="16"/>
              </w:rPr>
              <w:t>184</w:t>
            </w:r>
          </w:p>
        </w:tc>
        <w:tc>
          <w:tcPr>
            <w:tcW w:type="dxa" w:w="1008"/>
          </w:tcPr>
          <w:p>
            <w:pPr>
              <w:spacing w:after="40" w:before="40"/>
            </w:pPr>
            <w:r/>
            <w:r>
              <w:rPr>
                <w:b w:val="0"/>
                <w:sz w:val="16"/>
              </w:rPr>
              <w:t>5.8614</w:t>
            </w:r>
          </w:p>
        </w:tc>
        <w:tc>
          <w:tcPr>
            <w:tcW w:type="dxa" w:w="950"/>
          </w:tcPr>
          <w:p>
            <w:pPr>
              <w:spacing w:after="40" w:before="40"/>
            </w:pPr>
            <w:r/>
            <w:r>
              <w:rPr>
                <w:b w:val="0"/>
                <w:sz w:val="16"/>
              </w:rPr>
              <w:t>2.1581</w:t>
            </w:r>
          </w:p>
        </w:tc>
        <w:tc>
          <w:tcPr>
            <w:tcW w:type="dxa" w:w="1037"/>
          </w:tcPr>
          <w:p>
            <w:pPr>
              <w:spacing w:after="40" w:before="40"/>
            </w:pPr>
            <w:r/>
            <w:r>
              <w:rPr>
                <w:b w:val="0"/>
                <w:sz w:val="16"/>
              </w:rPr>
              <w:t>5.8829</w:t>
            </w:r>
          </w:p>
        </w:tc>
        <w:tc>
          <w:tcPr>
            <w:tcW w:type="dxa" w:w="979"/>
          </w:tcPr>
          <w:p>
            <w:pPr>
              <w:spacing w:after="40" w:before="40"/>
            </w:pPr>
            <w:r/>
            <w:r>
              <w:rPr>
                <w:b w:val="0"/>
                <w:sz w:val="16"/>
              </w:rPr>
              <w:t>2.2840</w:t>
            </w:r>
          </w:p>
        </w:tc>
        <w:tc>
          <w:tcPr>
            <w:tcW w:type="dxa" w:w="979"/>
          </w:tcPr>
          <w:p>
            <w:pPr>
              <w:spacing w:after="40" w:before="40"/>
            </w:pPr>
            <w:r/>
            <w:r>
              <w:rPr>
                <w:b w:val="0"/>
                <w:sz w:val="16"/>
              </w:rPr>
              <w:t>−0.1278</w:t>
            </w:r>
          </w:p>
        </w:tc>
        <w:tc>
          <w:tcPr>
            <w:tcW w:type="dxa" w:w="878"/>
          </w:tcPr>
          <w:p>
            <w:pPr>
              <w:spacing w:after="40" w:before="40"/>
            </w:pPr>
            <w:r/>
            <w:r>
              <w:rPr>
                <w:b w:val="0"/>
                <w:sz w:val="16"/>
              </w:rPr>
              <w:t>0.128</w:t>
            </w:r>
          </w:p>
        </w:tc>
      </w:tr>
      <w:tr>
        <w:tc>
          <w:tcPr>
            <w:tcW w:type="dxa" w:w="3024"/>
          </w:tcPr>
          <w:p>
            <w:pPr>
              <w:spacing w:after="40" w:before="40"/>
            </w:pPr>
            <w:r/>
            <w:r>
              <w:rPr>
                <w:b w:val="0"/>
                <w:sz w:val="16"/>
              </w:rPr>
              <w:t>Sample weight power 1.0</w:t>
            </w:r>
          </w:p>
        </w:tc>
        <w:tc>
          <w:tcPr>
            <w:tcW w:type="dxa" w:w="792"/>
          </w:tcPr>
          <w:p>
            <w:pPr>
              <w:spacing w:after="40" w:before="40"/>
            </w:pPr>
            <w:r/>
            <w:r>
              <w:rPr>
                <w:b w:val="0"/>
                <w:sz w:val="16"/>
              </w:rPr>
              <w:t>92</w:t>
            </w:r>
          </w:p>
        </w:tc>
        <w:tc>
          <w:tcPr>
            <w:tcW w:type="dxa" w:w="1008"/>
          </w:tcPr>
          <w:p>
            <w:pPr>
              <w:spacing w:after="40" w:before="40"/>
            </w:pPr>
            <w:r/>
            <w:r>
              <w:rPr>
                <w:b w:val="0"/>
                <w:sz w:val="16"/>
              </w:rPr>
              <w:t>6.6515</w:t>
            </w:r>
          </w:p>
        </w:tc>
        <w:tc>
          <w:tcPr>
            <w:tcW w:type="dxa" w:w="950"/>
          </w:tcPr>
          <w:p>
            <w:pPr>
              <w:spacing w:after="40" w:before="40"/>
            </w:pPr>
            <w:r/>
            <w:r>
              <w:rPr>
                <w:b w:val="0"/>
                <w:sz w:val="16"/>
              </w:rPr>
              <w:t>5.5429</w:t>
            </w:r>
          </w:p>
        </w:tc>
        <w:tc>
          <w:tcPr>
            <w:tcW w:type="dxa" w:w="1037"/>
          </w:tcPr>
          <w:p>
            <w:pPr>
              <w:spacing w:after="40" w:before="40"/>
            </w:pPr>
            <w:r/>
            <w:r>
              <w:rPr>
                <w:b w:val="0"/>
                <w:sz w:val="16"/>
              </w:rPr>
              <w:t>6.6215</w:t>
            </w:r>
          </w:p>
        </w:tc>
        <w:tc>
          <w:tcPr>
            <w:tcW w:type="dxa" w:w="979"/>
          </w:tcPr>
          <w:p>
            <w:pPr>
              <w:spacing w:after="40" w:before="40"/>
            </w:pPr>
            <w:r/>
            <w:r>
              <w:rPr>
                <w:b w:val="0"/>
                <w:sz w:val="16"/>
              </w:rPr>
              <w:t>5.6078</w:t>
            </w:r>
          </w:p>
        </w:tc>
        <w:tc>
          <w:tcPr>
            <w:tcW w:type="dxa" w:w="979"/>
          </w:tcPr>
          <w:p>
            <w:pPr>
              <w:spacing w:after="40" w:before="40"/>
            </w:pPr>
            <w:r/>
            <w:r>
              <w:rPr>
                <w:b w:val="0"/>
                <w:sz w:val="16"/>
              </w:rPr>
              <w:t>−0.4287</w:t>
            </w:r>
          </w:p>
        </w:tc>
        <w:tc>
          <w:tcPr>
            <w:tcW w:type="dxa" w:w="878"/>
          </w:tcPr>
          <w:p>
            <w:pPr>
              <w:spacing w:after="40" w:before="40"/>
            </w:pPr>
            <w:r/>
            <w:r>
              <w:rPr>
                <w:b w:val="0"/>
                <w:sz w:val="16"/>
              </w:rPr>
              <w:t>0.924</w:t>
            </w:r>
          </w:p>
        </w:tc>
      </w:tr>
      <w:tr>
        <w:tc>
          <w:tcPr>
            <w:tcW w:type="dxa" w:w="3024"/>
          </w:tcPr>
          <w:p>
            <w:pPr>
              <w:spacing w:after="40" w:before="40"/>
            </w:pPr>
            <w:r/>
            <w:r>
              <w:rPr>
                <w:b w:val="0"/>
                <w:sz w:val="16"/>
              </w:rPr>
              <w:t>objective = squarederror</w:t>
            </w:r>
          </w:p>
        </w:tc>
        <w:tc>
          <w:tcPr>
            <w:tcW w:type="dxa" w:w="792"/>
          </w:tcPr>
          <w:p>
            <w:pPr>
              <w:spacing w:after="40" w:before="40"/>
            </w:pPr>
            <w:r/>
            <w:r>
              <w:rPr>
                <w:b w:val="0"/>
                <w:sz w:val="16"/>
              </w:rPr>
              <w:t>129</w:t>
            </w:r>
          </w:p>
        </w:tc>
        <w:tc>
          <w:tcPr>
            <w:tcW w:type="dxa" w:w="1008"/>
          </w:tcPr>
          <w:p>
            <w:pPr>
              <w:spacing w:after="40" w:before="40"/>
            </w:pPr>
            <w:r/>
            <w:r>
              <w:rPr>
                <w:b w:val="0"/>
                <w:sz w:val="16"/>
              </w:rPr>
              <w:t>5.5376</w:t>
            </w:r>
          </w:p>
        </w:tc>
        <w:tc>
          <w:tcPr>
            <w:tcW w:type="dxa" w:w="950"/>
          </w:tcPr>
          <w:p>
            <w:pPr>
              <w:spacing w:after="40" w:before="40"/>
            </w:pPr>
            <w:r/>
            <w:r>
              <w:rPr>
                <w:b w:val="0"/>
                <w:sz w:val="16"/>
              </w:rPr>
              <w:t>2.8837</w:t>
            </w:r>
          </w:p>
        </w:tc>
        <w:tc>
          <w:tcPr>
            <w:tcW w:type="dxa" w:w="1037"/>
          </w:tcPr>
          <w:p>
            <w:pPr>
              <w:spacing w:after="40" w:before="40"/>
            </w:pPr>
            <w:r/>
            <w:r>
              <w:rPr>
                <w:b w:val="0"/>
                <w:sz w:val="16"/>
              </w:rPr>
              <w:t>5.5369</w:t>
            </w:r>
          </w:p>
        </w:tc>
        <w:tc>
          <w:tcPr>
            <w:tcW w:type="dxa" w:w="979"/>
          </w:tcPr>
          <w:p>
            <w:pPr>
              <w:spacing w:after="40" w:before="40"/>
            </w:pPr>
            <w:r/>
            <w:r>
              <w:rPr>
                <w:b w:val="0"/>
                <w:sz w:val="16"/>
              </w:rPr>
              <w:t>2.9863</w:t>
            </w:r>
          </w:p>
        </w:tc>
        <w:tc>
          <w:tcPr>
            <w:tcW w:type="dxa" w:w="979"/>
          </w:tcPr>
          <w:p>
            <w:pPr>
              <w:spacing w:after="40" w:before="40"/>
            </w:pPr>
            <w:r/>
            <w:r>
              <w:rPr>
                <w:b w:val="0"/>
                <w:sz w:val="16"/>
              </w:rPr>
              <w:t>0.0010</w:t>
            </w:r>
          </w:p>
        </w:tc>
        <w:tc>
          <w:tcPr>
            <w:tcW w:type="dxa" w:w="878"/>
          </w:tcPr>
          <w:p>
            <w:pPr>
              <w:spacing w:after="40" w:before="40"/>
            </w:pPr>
            <w:r/>
            <w:r>
              <w:rPr>
                <w:b w:val="0"/>
                <w:sz w:val="16"/>
              </w:rPr>
              <w:t>0.339</w:t>
            </w:r>
          </w:p>
        </w:tc>
      </w:tr>
      <w:tr>
        <w:tc>
          <w:tcPr>
            <w:tcW w:type="dxa" w:w="3024"/>
          </w:tcPr>
          <w:p>
            <w:pPr>
              <w:spacing w:after="40" w:before="40"/>
            </w:pPr>
            <w:r/>
            <w:r>
              <w:rPr>
                <w:b w:val="0"/>
                <w:sz w:val="16"/>
              </w:rPr>
              <w:t>squarederror + depth 4, no weights</w:t>
            </w:r>
          </w:p>
        </w:tc>
        <w:tc>
          <w:tcPr>
            <w:tcW w:type="dxa" w:w="792"/>
          </w:tcPr>
          <w:p>
            <w:pPr>
              <w:spacing w:after="40" w:before="40"/>
            </w:pPr>
            <w:r/>
            <w:r>
              <w:rPr>
                <w:b w:val="0"/>
                <w:sz w:val="16"/>
              </w:rPr>
              <w:t>99</w:t>
            </w:r>
          </w:p>
        </w:tc>
        <w:tc>
          <w:tcPr>
            <w:tcW w:type="dxa" w:w="1008"/>
          </w:tcPr>
          <w:p>
            <w:pPr>
              <w:spacing w:after="40" w:before="40"/>
            </w:pPr>
            <w:r/>
            <w:r>
              <w:rPr>
                <w:b w:val="0"/>
                <w:sz w:val="16"/>
              </w:rPr>
              <w:t>5.8542</w:t>
            </w:r>
          </w:p>
        </w:tc>
        <w:tc>
          <w:tcPr>
            <w:tcW w:type="dxa" w:w="950"/>
          </w:tcPr>
          <w:p>
            <w:pPr>
              <w:spacing w:after="40" w:before="40"/>
            </w:pPr>
            <w:r/>
            <w:r>
              <w:rPr>
                <w:b w:val="0"/>
                <w:sz w:val="16"/>
              </w:rPr>
              <w:t>2.1684</w:t>
            </w:r>
          </w:p>
        </w:tc>
        <w:tc>
          <w:tcPr>
            <w:tcW w:type="dxa" w:w="1037"/>
          </w:tcPr>
          <w:p>
            <w:pPr>
              <w:spacing w:after="40" w:before="40"/>
            </w:pPr>
            <w:r/>
            <w:r>
              <w:rPr>
                <w:b w:val="0"/>
                <w:sz w:val="16"/>
              </w:rPr>
              <w:t>5.8734</w:t>
            </w:r>
          </w:p>
        </w:tc>
        <w:tc>
          <w:tcPr>
            <w:tcW w:type="dxa" w:w="979"/>
          </w:tcPr>
          <w:p>
            <w:pPr>
              <w:spacing w:after="40" w:before="40"/>
            </w:pPr>
            <w:r/>
            <w:r>
              <w:rPr>
                <w:b w:val="0"/>
                <w:sz w:val="16"/>
              </w:rPr>
              <w:t>2.2923</w:t>
            </w:r>
          </w:p>
        </w:tc>
        <w:tc>
          <w:tcPr>
            <w:tcW w:type="dxa" w:w="979"/>
          </w:tcPr>
          <w:p>
            <w:pPr>
              <w:spacing w:after="40" w:before="40"/>
            </w:pPr>
            <w:r/>
            <w:r>
              <w:rPr>
                <w:b w:val="0"/>
                <w:sz w:val="16"/>
              </w:rPr>
              <w:t>−0.1241</w:t>
            </w:r>
          </w:p>
        </w:tc>
        <w:tc>
          <w:tcPr>
            <w:tcW w:type="dxa" w:w="878"/>
          </w:tcPr>
          <w:p>
            <w:pPr>
              <w:spacing w:after="40" w:before="40"/>
            </w:pPr>
            <w:r/>
            <w:r>
              <w:rPr>
                <w:b w:val="0"/>
                <w:sz w:val="16"/>
              </w:rPr>
              <w:t>0.114</w:t>
            </w:r>
          </w:p>
        </w:tc>
      </w:tr>
    </w:tbl>
    <w:p>
      <w:pPr>
        <w:spacing w:after="40" w:before="0"/>
      </w:pPr>
    </w:p>
    <w:p>
      <w:pPr>
        <w:keepNext/>
        <w:spacing w:before="120" w:after="60"/>
        <w:jc w:val="center"/>
      </w:pPr>
      <w:r>
        <w:drawing>
          <wp:inline xmlns:a="http://schemas.openxmlformats.org/drawingml/2006/main" xmlns:pic="http://schemas.openxmlformats.org/drawingml/2006/picture">
            <wp:extent cx="6126480" cy="3593928"/>
            <wp:docPr id="19" name="Picture 19"/>
            <wp:cNvGraphicFramePr>
              <a:graphicFrameLocks noChangeAspect="1"/>
            </wp:cNvGraphicFramePr>
            <a:graphic>
              <a:graphicData uri="http://schemas.openxmlformats.org/drawingml/2006/picture">
                <pic:pic>
                  <pic:nvPicPr>
                    <pic:cNvPr id="0" name="fig18_sweep.png"/>
                    <pic:cNvPicPr/>
                  </pic:nvPicPr>
                  <pic:blipFill>
                    <a:blip r:embed="rId27"/>
                    <a:stretch>
                      <a:fillRect/>
                    </a:stretch>
                  </pic:blipFill>
                  <pic:spPr>
                    <a:xfrm>
                      <a:off x="0" y="0"/>
                      <a:ext cx="6126480" cy="3593928"/>
                    </a:xfrm>
                    <a:prstGeom prst="rect"/>
                  </pic:spPr>
                </pic:pic>
              </a:graphicData>
            </a:graphic>
          </wp:inline>
        </w:drawing>
      </w:r>
    </w:p>
    <w:p>
      <w:pPr>
        <w:spacing w:after="200"/>
        <w:jc w:val="center"/>
      </w:pPr>
      <w:r>
        <w:rPr>
          <w:i/>
          <w:color w:val="52514E"/>
          <w:sz w:val="18"/>
        </w:rPr>
        <w:t>Figure 19.  Every variant, ranked by validation RMSE beside its predictive spread. The configuration in use has the best validation RMSE of the thirteen.</w:t>
      </w:r>
    </w:p>
    <w:p>
      <w:pPr>
        <w:spacing w:after="140"/>
      </w:pPr>
      <w:r>
        <w:rPr>
          <w:b w:val="0"/>
          <w:sz w:val="21"/>
        </w:rPr>
        <w:t>The configuration in use is the best of thirteen on validation RMSE, which is a satisfying confirmation that the earlier search converged on a good point. The sweep also produced a methodological finding worth stating: the two variants that improve MAE noticeably, both of which drop the heavy-day sample weighting, achieve it by collapsing the predictions toward zero. MAE falls to 2.28 while predictive spread falls to 0.128, about a fortieth of the observed spread. Trading the model's remaining dynamic range for a better line in a results table would have improved the reported metrics while making the deployed forecast less useful, and it was not done. Recognising that trade explicitly, rather than taking it, is part of what makes the reported numbers trustworthy.</w:t>
      </w:r>
    </w:p>
    <w:p>
      <w:pPr>
        <w:spacing w:after="140"/>
      </w:pPr>
      <w:r>
        <w:rPr>
          <w:b w:val="0"/>
          <w:sz w:val="21"/>
        </w:rPr>
        <w:t>A follow-up study in runs/retuned/ re-opened this question with a criterion the original sweep never measured — event discrimination rather than magnitude error — and tested fifteen further variants including Tweedie and Poisson objectives, four Huber slopes and four sample-weight exponents, selecting strictly on a validation slice. None improved on the configuration already in place. The configuration is therefore supported by two independent searches using two different criteria.</w:t>
      </w:r>
    </w:p>
    <w:p>
      <w:pPr>
        <w:pStyle w:val="Heading1"/>
      </w:pPr>
      <w:r>
        <w:t>11.  Extending the forecast horizon to seven days</w:t>
      </w:r>
    </w:p>
    <w:p>
      <w:pPr>
        <w:spacing w:after="140"/>
      </w:pPr>
      <w:r>
        <w:rPr>
          <w:b w:val="0"/>
          <w:sz w:val="21"/>
        </w:rPr>
        <w:t>A one-day horizon is a narrow deliverable, so a longer horizon was evaluated directly rather than argued in the abstract. The already-trained artifacts were rolled forward recursively, each day's own prediction fed back into the 70-day window in place of the true value, out to seven days. Nothing was retrained, so the comparison isolates the horizon and nothing else, and the same code was first required to reproduce the one-day numbers in Table 4 exactly.</w:t>
      </w:r>
    </w:p>
    <w:p>
      <w:pPr>
        <w:keepNext/>
        <w:spacing w:after="80"/>
      </w:pPr>
      <w:r>
        <w:rPr>
          <w:i/>
          <w:color w:val="52514E"/>
          <w:sz w:val="18"/>
        </w:rPr>
        <w:t>Table 18.  Recursive multi-step forecast error by lead day, over 1,854 anchors. Persistence is the naive baseline that forecasts tomorrow to equal today.</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123"/>
            <w:shd w:val="clear" w:fill="E8EEF7"/>
          </w:tcPr>
          <w:p>
            <w:pPr>
              <w:spacing w:after="40" w:before="40"/>
            </w:pPr>
            <w:r/>
            <w:r>
              <w:rPr>
                <w:b/>
                <w:sz w:val="17"/>
              </w:rPr>
              <w:t>Lead day</w:t>
            </w:r>
          </w:p>
        </w:tc>
        <w:tc>
          <w:tcPr>
            <w:tcW w:type="dxa" w:w="1368"/>
            <w:shd w:val="clear" w:fill="E8EEF7"/>
          </w:tcPr>
          <w:p>
            <w:pPr>
              <w:spacing w:after="40" w:before="40"/>
            </w:pPr>
            <w:r/>
            <w:r>
              <w:rPr>
                <w:b/>
                <w:sz w:val="17"/>
              </w:rPr>
              <w:t>LSTM RMSE</w:t>
            </w:r>
          </w:p>
        </w:tc>
        <w:tc>
          <w:tcPr>
            <w:tcW w:type="dxa" w:w="1512"/>
            <w:shd w:val="clear" w:fill="E8EEF7"/>
          </w:tcPr>
          <w:p>
            <w:pPr>
              <w:spacing w:after="40" w:before="40"/>
            </w:pPr>
            <w:r/>
            <w:r>
              <w:rPr>
                <w:b/>
                <w:sz w:val="17"/>
              </w:rPr>
              <w:t>XGBoost RMSE</w:t>
            </w:r>
          </w:p>
        </w:tc>
        <w:tc>
          <w:tcPr>
            <w:tcW w:type="dxa" w:w="1512"/>
            <w:shd w:val="clear" w:fill="E8EEF7"/>
          </w:tcPr>
          <w:p>
            <w:pPr>
              <w:spacing w:after="40" w:before="40"/>
            </w:pPr>
            <w:r/>
            <w:r>
              <w:rPr>
                <w:b/>
                <w:sz w:val="17"/>
              </w:rPr>
              <w:t>Ensemble RMSE</w:t>
            </w:r>
          </w:p>
        </w:tc>
        <w:tc>
          <w:tcPr>
            <w:tcW w:type="dxa" w:w="1656"/>
            <w:shd w:val="clear" w:fill="E8EEF7"/>
          </w:tcPr>
          <w:p>
            <w:pPr>
              <w:spacing w:after="40" w:before="40"/>
            </w:pPr>
            <w:r/>
            <w:r>
              <w:rPr>
                <w:b/>
                <w:sz w:val="17"/>
              </w:rPr>
              <w:t>Persistence RMSE</w:t>
            </w:r>
          </w:p>
        </w:tc>
        <w:tc>
          <w:tcPr>
            <w:tcW w:type="dxa" w:w="1656"/>
            <w:shd w:val="clear" w:fill="E8EEF7"/>
          </w:tcPr>
          <w:p>
            <w:pPr>
              <w:spacing w:after="40" w:before="40"/>
            </w:pPr>
            <w:r/>
            <w:r>
              <w:rPr>
                <w:b/>
                <w:sz w:val="17"/>
              </w:rPr>
              <w:t>Ensemble MAPE (%)</w:t>
            </w:r>
          </w:p>
        </w:tc>
        <w:tc>
          <w:tcPr>
            <w:tcW w:type="dxa" w:w="1440"/>
            <w:shd w:val="clear" w:fill="E8EEF7"/>
          </w:tcPr>
          <w:p>
            <w:pPr>
              <w:spacing w:after="40" w:before="40"/>
            </w:pPr>
            <w:r/>
            <w:r>
              <w:rPr>
                <w:b/>
                <w:sz w:val="17"/>
              </w:rPr>
              <w:t>Ensemble bias</w:t>
            </w:r>
          </w:p>
        </w:tc>
      </w:tr>
      <w:tr>
        <w:tc>
          <w:tcPr>
            <w:tcW w:type="dxa" w:w="1123"/>
          </w:tcPr>
          <w:p>
            <w:pPr>
              <w:spacing w:after="40" w:before="40"/>
            </w:pPr>
            <w:r/>
            <w:r>
              <w:rPr>
                <w:b w:val="0"/>
                <w:sz w:val="17"/>
              </w:rPr>
              <w:t>1</w:t>
            </w:r>
          </w:p>
        </w:tc>
        <w:tc>
          <w:tcPr>
            <w:tcW w:type="dxa" w:w="1368"/>
          </w:tcPr>
          <w:p>
            <w:pPr>
              <w:spacing w:after="40" w:before="40"/>
            </w:pPr>
            <w:r/>
            <w:r>
              <w:rPr>
                <w:b w:val="0"/>
                <w:sz w:val="17"/>
              </w:rPr>
              <w:t>5.968</w:t>
            </w:r>
          </w:p>
        </w:tc>
        <w:tc>
          <w:tcPr>
            <w:tcW w:type="dxa" w:w="1512"/>
          </w:tcPr>
          <w:p>
            <w:pPr>
              <w:spacing w:after="40" w:before="40"/>
            </w:pPr>
            <w:r/>
            <w:r>
              <w:rPr>
                <w:b w:val="0"/>
                <w:sz w:val="17"/>
              </w:rPr>
              <w:t>5.540</w:t>
            </w:r>
          </w:p>
        </w:tc>
        <w:tc>
          <w:tcPr>
            <w:tcW w:type="dxa" w:w="1512"/>
          </w:tcPr>
          <w:p>
            <w:pPr>
              <w:spacing w:after="40" w:before="40"/>
            </w:pPr>
            <w:r/>
            <w:r>
              <w:rPr>
                <w:b w:val="0"/>
                <w:sz w:val="17"/>
              </w:rPr>
              <w:t>5.651</w:t>
            </w:r>
          </w:p>
        </w:tc>
        <w:tc>
          <w:tcPr>
            <w:tcW w:type="dxa" w:w="1656"/>
          </w:tcPr>
          <w:p>
            <w:pPr>
              <w:spacing w:after="40" w:before="40"/>
            </w:pPr>
            <w:r/>
            <w:r>
              <w:rPr>
                <w:b w:val="0"/>
                <w:sz w:val="17"/>
              </w:rPr>
              <w:t>7.495</w:t>
            </w:r>
          </w:p>
        </w:tc>
        <w:tc>
          <w:tcPr>
            <w:tcW w:type="dxa" w:w="1656"/>
          </w:tcPr>
          <w:p>
            <w:pPr>
              <w:spacing w:after="40" w:before="40"/>
            </w:pPr>
            <w:r/>
            <w:r>
              <w:rPr>
                <w:b w:val="0"/>
                <w:sz w:val="17"/>
              </w:rPr>
              <w:t>101.6</w:t>
            </w:r>
          </w:p>
        </w:tc>
        <w:tc>
          <w:tcPr>
            <w:tcW w:type="dxa" w:w="1440"/>
          </w:tcPr>
          <w:p>
            <w:pPr>
              <w:spacing w:after="40" w:before="40"/>
            </w:pPr>
            <w:r/>
            <w:r>
              <w:rPr>
                <w:b w:val="0"/>
                <w:sz w:val="17"/>
              </w:rPr>
              <w:t>−1.11</w:t>
            </w:r>
          </w:p>
        </w:tc>
      </w:tr>
      <w:tr>
        <w:tc>
          <w:tcPr>
            <w:tcW w:type="dxa" w:w="1123"/>
          </w:tcPr>
          <w:p>
            <w:pPr>
              <w:spacing w:after="40" w:before="40"/>
            </w:pPr>
            <w:r/>
            <w:r>
              <w:rPr>
                <w:b w:val="0"/>
                <w:sz w:val="17"/>
              </w:rPr>
              <w:t>2</w:t>
            </w:r>
          </w:p>
        </w:tc>
        <w:tc>
          <w:tcPr>
            <w:tcW w:type="dxa" w:w="1368"/>
          </w:tcPr>
          <w:p>
            <w:pPr>
              <w:spacing w:after="40" w:before="40"/>
            </w:pPr>
            <w:r/>
            <w:r>
              <w:rPr>
                <w:b w:val="0"/>
                <w:sz w:val="17"/>
              </w:rPr>
              <w:t>5.968</w:t>
            </w:r>
          </w:p>
        </w:tc>
        <w:tc>
          <w:tcPr>
            <w:tcW w:type="dxa" w:w="1512"/>
          </w:tcPr>
          <w:p>
            <w:pPr>
              <w:spacing w:after="40" w:before="40"/>
            </w:pPr>
            <w:r/>
            <w:r>
              <w:rPr>
                <w:b w:val="0"/>
                <w:sz w:val="17"/>
              </w:rPr>
              <w:t>5.554</w:t>
            </w:r>
          </w:p>
        </w:tc>
        <w:tc>
          <w:tcPr>
            <w:tcW w:type="dxa" w:w="1512"/>
          </w:tcPr>
          <w:p>
            <w:pPr>
              <w:spacing w:after="40" w:before="40"/>
            </w:pPr>
            <w:r/>
            <w:r>
              <w:rPr>
                <w:b w:val="0"/>
                <w:sz w:val="17"/>
              </w:rPr>
              <w:t>5.654</w:t>
            </w:r>
          </w:p>
        </w:tc>
        <w:tc>
          <w:tcPr>
            <w:tcW w:type="dxa" w:w="1656"/>
          </w:tcPr>
          <w:p>
            <w:pPr>
              <w:spacing w:after="40" w:before="40"/>
            </w:pPr>
            <w:r/>
            <w:r>
              <w:rPr>
                <w:b w:val="0"/>
                <w:sz w:val="17"/>
              </w:rPr>
              <w:t>7.925</w:t>
            </w:r>
          </w:p>
        </w:tc>
        <w:tc>
          <w:tcPr>
            <w:tcW w:type="dxa" w:w="1656"/>
          </w:tcPr>
          <w:p>
            <w:pPr>
              <w:spacing w:after="40" w:before="40"/>
            </w:pPr>
            <w:r/>
            <w:r>
              <w:rPr>
                <w:b w:val="0"/>
                <w:sz w:val="17"/>
              </w:rPr>
              <w:t>101.3</w:t>
            </w:r>
          </w:p>
        </w:tc>
        <w:tc>
          <w:tcPr>
            <w:tcW w:type="dxa" w:w="1440"/>
          </w:tcPr>
          <w:p>
            <w:pPr>
              <w:spacing w:after="40" w:before="40"/>
            </w:pPr>
            <w:r/>
            <w:r>
              <w:rPr>
                <w:b w:val="0"/>
                <w:sz w:val="17"/>
              </w:rPr>
              <w:t>−1.09</w:t>
            </w:r>
          </w:p>
        </w:tc>
      </w:tr>
      <w:tr>
        <w:tc>
          <w:tcPr>
            <w:tcW w:type="dxa" w:w="1123"/>
          </w:tcPr>
          <w:p>
            <w:pPr>
              <w:spacing w:after="40" w:before="40"/>
            </w:pPr>
            <w:r/>
            <w:r>
              <w:rPr>
                <w:b w:val="0"/>
                <w:sz w:val="17"/>
              </w:rPr>
              <w:t>3</w:t>
            </w:r>
          </w:p>
        </w:tc>
        <w:tc>
          <w:tcPr>
            <w:tcW w:type="dxa" w:w="1368"/>
          </w:tcPr>
          <w:p>
            <w:pPr>
              <w:spacing w:after="40" w:before="40"/>
            </w:pPr>
            <w:r/>
            <w:r>
              <w:rPr>
                <w:b w:val="0"/>
                <w:sz w:val="17"/>
              </w:rPr>
              <w:t>5.967</w:t>
            </w:r>
          </w:p>
        </w:tc>
        <w:tc>
          <w:tcPr>
            <w:tcW w:type="dxa" w:w="1512"/>
          </w:tcPr>
          <w:p>
            <w:pPr>
              <w:spacing w:after="40" w:before="40"/>
            </w:pPr>
            <w:r/>
            <w:r>
              <w:rPr>
                <w:b w:val="0"/>
                <w:sz w:val="17"/>
              </w:rPr>
              <w:t>5.557</w:t>
            </w:r>
          </w:p>
        </w:tc>
        <w:tc>
          <w:tcPr>
            <w:tcW w:type="dxa" w:w="1512"/>
          </w:tcPr>
          <w:p>
            <w:pPr>
              <w:spacing w:after="40" w:before="40"/>
            </w:pPr>
            <w:r/>
            <w:r>
              <w:rPr>
                <w:b w:val="0"/>
                <w:sz w:val="17"/>
              </w:rPr>
              <w:t>5.669</w:t>
            </w:r>
          </w:p>
        </w:tc>
        <w:tc>
          <w:tcPr>
            <w:tcW w:type="dxa" w:w="1656"/>
          </w:tcPr>
          <w:p>
            <w:pPr>
              <w:spacing w:after="40" w:before="40"/>
            </w:pPr>
            <w:r/>
            <w:r>
              <w:rPr>
                <w:b w:val="0"/>
                <w:sz w:val="17"/>
              </w:rPr>
              <w:t>7.763</w:t>
            </w:r>
          </w:p>
        </w:tc>
        <w:tc>
          <w:tcPr>
            <w:tcW w:type="dxa" w:w="1656"/>
          </w:tcPr>
          <w:p>
            <w:pPr>
              <w:spacing w:after="40" w:before="40"/>
            </w:pPr>
            <w:r/>
            <w:r>
              <w:rPr>
                <w:b w:val="0"/>
                <w:sz w:val="17"/>
              </w:rPr>
              <w:t>97.0</w:t>
            </w:r>
          </w:p>
        </w:tc>
        <w:tc>
          <w:tcPr>
            <w:tcW w:type="dxa" w:w="1440"/>
          </w:tcPr>
          <w:p>
            <w:pPr>
              <w:spacing w:after="40" w:before="40"/>
            </w:pPr>
            <w:r/>
            <w:r>
              <w:rPr>
                <w:b w:val="0"/>
                <w:sz w:val="17"/>
              </w:rPr>
              <w:t>−1.16</w:t>
            </w:r>
          </w:p>
        </w:tc>
      </w:tr>
      <w:tr>
        <w:tc>
          <w:tcPr>
            <w:tcW w:type="dxa" w:w="1123"/>
          </w:tcPr>
          <w:p>
            <w:pPr>
              <w:spacing w:after="40" w:before="40"/>
            </w:pPr>
            <w:r/>
            <w:r>
              <w:rPr>
                <w:b w:val="0"/>
                <w:sz w:val="17"/>
              </w:rPr>
              <w:t>4</w:t>
            </w:r>
          </w:p>
        </w:tc>
        <w:tc>
          <w:tcPr>
            <w:tcW w:type="dxa" w:w="1368"/>
          </w:tcPr>
          <w:p>
            <w:pPr>
              <w:spacing w:after="40" w:before="40"/>
            </w:pPr>
            <w:r/>
            <w:r>
              <w:rPr>
                <w:b w:val="0"/>
                <w:sz w:val="17"/>
              </w:rPr>
              <w:t>5.967</w:t>
            </w:r>
          </w:p>
        </w:tc>
        <w:tc>
          <w:tcPr>
            <w:tcW w:type="dxa" w:w="1512"/>
          </w:tcPr>
          <w:p>
            <w:pPr>
              <w:spacing w:after="40" w:before="40"/>
            </w:pPr>
            <w:r/>
            <w:r>
              <w:rPr>
                <w:b w:val="0"/>
                <w:sz w:val="17"/>
              </w:rPr>
              <w:t>5.557</w:t>
            </w:r>
          </w:p>
        </w:tc>
        <w:tc>
          <w:tcPr>
            <w:tcW w:type="dxa" w:w="1512"/>
          </w:tcPr>
          <w:p>
            <w:pPr>
              <w:spacing w:after="40" w:before="40"/>
            </w:pPr>
            <w:r/>
            <w:r>
              <w:rPr>
                <w:b w:val="0"/>
                <w:sz w:val="17"/>
              </w:rPr>
              <w:t>5.670</w:t>
            </w:r>
          </w:p>
        </w:tc>
        <w:tc>
          <w:tcPr>
            <w:tcW w:type="dxa" w:w="1656"/>
          </w:tcPr>
          <w:p>
            <w:pPr>
              <w:spacing w:after="40" w:before="40"/>
            </w:pPr>
            <w:r/>
            <w:r>
              <w:rPr>
                <w:b w:val="0"/>
                <w:sz w:val="17"/>
              </w:rPr>
              <w:t>7.869</w:t>
            </w:r>
          </w:p>
        </w:tc>
        <w:tc>
          <w:tcPr>
            <w:tcW w:type="dxa" w:w="1656"/>
          </w:tcPr>
          <w:p>
            <w:pPr>
              <w:spacing w:after="40" w:before="40"/>
            </w:pPr>
            <w:r/>
            <w:r>
              <w:rPr>
                <w:b w:val="0"/>
                <w:sz w:val="17"/>
              </w:rPr>
              <w:t>96.8</w:t>
            </w:r>
          </w:p>
        </w:tc>
        <w:tc>
          <w:tcPr>
            <w:tcW w:type="dxa" w:w="1440"/>
          </w:tcPr>
          <w:p>
            <w:pPr>
              <w:spacing w:after="40" w:before="40"/>
            </w:pPr>
            <w:r/>
            <w:r>
              <w:rPr>
                <w:b w:val="0"/>
                <w:sz w:val="17"/>
              </w:rPr>
              <w:t>−1.17</w:t>
            </w:r>
          </w:p>
        </w:tc>
      </w:tr>
      <w:tr>
        <w:tc>
          <w:tcPr>
            <w:tcW w:type="dxa" w:w="1123"/>
          </w:tcPr>
          <w:p>
            <w:pPr>
              <w:spacing w:after="40" w:before="40"/>
            </w:pPr>
            <w:r/>
            <w:r>
              <w:rPr>
                <w:b w:val="0"/>
                <w:sz w:val="17"/>
              </w:rPr>
              <w:t>5</w:t>
            </w:r>
          </w:p>
        </w:tc>
        <w:tc>
          <w:tcPr>
            <w:tcW w:type="dxa" w:w="1368"/>
          </w:tcPr>
          <w:p>
            <w:pPr>
              <w:spacing w:after="40" w:before="40"/>
            </w:pPr>
            <w:r/>
            <w:r>
              <w:rPr>
                <w:b w:val="0"/>
                <w:sz w:val="17"/>
              </w:rPr>
              <w:t>5.967</w:t>
            </w:r>
          </w:p>
        </w:tc>
        <w:tc>
          <w:tcPr>
            <w:tcW w:type="dxa" w:w="1512"/>
          </w:tcPr>
          <w:p>
            <w:pPr>
              <w:spacing w:after="40" w:before="40"/>
            </w:pPr>
            <w:r/>
            <w:r>
              <w:rPr>
                <w:b w:val="0"/>
                <w:sz w:val="17"/>
              </w:rPr>
              <w:t>5.556</w:t>
            </w:r>
          </w:p>
        </w:tc>
        <w:tc>
          <w:tcPr>
            <w:tcW w:type="dxa" w:w="1512"/>
          </w:tcPr>
          <w:p>
            <w:pPr>
              <w:spacing w:after="40" w:before="40"/>
            </w:pPr>
            <w:r/>
            <w:r>
              <w:rPr>
                <w:b w:val="0"/>
                <w:sz w:val="17"/>
              </w:rPr>
              <w:t>5.671</w:t>
            </w:r>
          </w:p>
        </w:tc>
        <w:tc>
          <w:tcPr>
            <w:tcW w:type="dxa" w:w="1656"/>
          </w:tcPr>
          <w:p>
            <w:pPr>
              <w:spacing w:after="40" w:before="40"/>
            </w:pPr>
            <w:r/>
            <w:r>
              <w:rPr>
                <w:b w:val="0"/>
                <w:sz w:val="17"/>
              </w:rPr>
              <w:t>7.910</w:t>
            </w:r>
          </w:p>
        </w:tc>
        <w:tc>
          <w:tcPr>
            <w:tcW w:type="dxa" w:w="1656"/>
          </w:tcPr>
          <w:p>
            <w:pPr>
              <w:spacing w:after="40" w:before="40"/>
            </w:pPr>
            <w:r/>
            <w:r>
              <w:rPr>
                <w:b w:val="0"/>
                <w:sz w:val="17"/>
              </w:rPr>
              <w:t>96.5</w:t>
            </w:r>
          </w:p>
        </w:tc>
        <w:tc>
          <w:tcPr>
            <w:tcW w:type="dxa" w:w="1440"/>
          </w:tcPr>
          <w:p>
            <w:pPr>
              <w:spacing w:after="40" w:before="40"/>
            </w:pPr>
            <w:r/>
            <w:r>
              <w:rPr>
                <w:b w:val="0"/>
                <w:sz w:val="17"/>
              </w:rPr>
              <w:t>−1.17</w:t>
            </w:r>
          </w:p>
        </w:tc>
      </w:tr>
      <w:tr>
        <w:tc>
          <w:tcPr>
            <w:tcW w:type="dxa" w:w="1123"/>
          </w:tcPr>
          <w:p>
            <w:pPr>
              <w:spacing w:after="40" w:before="40"/>
            </w:pPr>
            <w:r/>
            <w:r>
              <w:rPr>
                <w:b w:val="0"/>
                <w:sz w:val="17"/>
              </w:rPr>
              <w:t>6</w:t>
            </w:r>
          </w:p>
        </w:tc>
        <w:tc>
          <w:tcPr>
            <w:tcW w:type="dxa" w:w="1368"/>
          </w:tcPr>
          <w:p>
            <w:pPr>
              <w:spacing w:after="40" w:before="40"/>
            </w:pPr>
            <w:r/>
            <w:r>
              <w:rPr>
                <w:b w:val="0"/>
                <w:sz w:val="17"/>
              </w:rPr>
              <w:t>5.967</w:t>
            </w:r>
          </w:p>
        </w:tc>
        <w:tc>
          <w:tcPr>
            <w:tcW w:type="dxa" w:w="1512"/>
          </w:tcPr>
          <w:p>
            <w:pPr>
              <w:spacing w:after="40" w:before="40"/>
            </w:pPr>
            <w:r/>
            <w:r>
              <w:rPr>
                <w:b w:val="0"/>
                <w:sz w:val="17"/>
              </w:rPr>
              <w:t>5.556</w:t>
            </w:r>
          </w:p>
        </w:tc>
        <w:tc>
          <w:tcPr>
            <w:tcW w:type="dxa" w:w="1512"/>
          </w:tcPr>
          <w:p>
            <w:pPr>
              <w:spacing w:after="40" w:before="40"/>
            </w:pPr>
            <w:r/>
            <w:r>
              <w:rPr>
                <w:b w:val="0"/>
                <w:sz w:val="17"/>
              </w:rPr>
              <w:t>5.670</w:t>
            </w:r>
          </w:p>
        </w:tc>
        <w:tc>
          <w:tcPr>
            <w:tcW w:type="dxa" w:w="1656"/>
          </w:tcPr>
          <w:p>
            <w:pPr>
              <w:spacing w:after="40" w:before="40"/>
            </w:pPr>
            <w:r/>
            <w:r>
              <w:rPr>
                <w:b w:val="0"/>
                <w:sz w:val="17"/>
              </w:rPr>
              <w:t>7.980</w:t>
            </w:r>
          </w:p>
        </w:tc>
        <w:tc>
          <w:tcPr>
            <w:tcW w:type="dxa" w:w="1656"/>
          </w:tcPr>
          <w:p>
            <w:pPr>
              <w:spacing w:after="40" w:before="40"/>
            </w:pPr>
            <w:r/>
            <w:r>
              <w:rPr>
                <w:b w:val="0"/>
                <w:sz w:val="17"/>
              </w:rPr>
              <w:t>96.8</w:t>
            </w:r>
          </w:p>
        </w:tc>
        <w:tc>
          <w:tcPr>
            <w:tcW w:type="dxa" w:w="1440"/>
          </w:tcPr>
          <w:p>
            <w:pPr>
              <w:spacing w:after="40" w:before="40"/>
            </w:pPr>
            <w:r/>
            <w:r>
              <w:rPr>
                <w:b w:val="0"/>
                <w:sz w:val="17"/>
              </w:rPr>
              <w:t>−1.17</w:t>
            </w:r>
          </w:p>
        </w:tc>
      </w:tr>
      <w:tr>
        <w:tc>
          <w:tcPr>
            <w:tcW w:type="dxa" w:w="1123"/>
          </w:tcPr>
          <w:p>
            <w:pPr>
              <w:spacing w:after="40" w:before="40"/>
            </w:pPr>
            <w:r/>
            <w:r>
              <w:rPr>
                <w:b w:val="0"/>
                <w:sz w:val="17"/>
              </w:rPr>
              <w:t>7</w:t>
            </w:r>
          </w:p>
        </w:tc>
        <w:tc>
          <w:tcPr>
            <w:tcW w:type="dxa" w:w="1368"/>
          </w:tcPr>
          <w:p>
            <w:pPr>
              <w:spacing w:after="40" w:before="40"/>
            </w:pPr>
            <w:r/>
            <w:r>
              <w:rPr>
                <w:b w:val="0"/>
                <w:sz w:val="17"/>
              </w:rPr>
              <w:t>5.965</w:t>
            </w:r>
          </w:p>
        </w:tc>
        <w:tc>
          <w:tcPr>
            <w:tcW w:type="dxa" w:w="1512"/>
          </w:tcPr>
          <w:p>
            <w:pPr>
              <w:spacing w:after="40" w:before="40"/>
            </w:pPr>
            <w:r/>
            <w:r>
              <w:rPr>
                <w:b w:val="0"/>
                <w:sz w:val="17"/>
              </w:rPr>
              <w:t>5.554</w:t>
            </w:r>
          </w:p>
        </w:tc>
        <w:tc>
          <w:tcPr>
            <w:tcW w:type="dxa" w:w="1512"/>
          </w:tcPr>
          <w:p>
            <w:pPr>
              <w:spacing w:after="40" w:before="40"/>
            </w:pPr>
            <w:r/>
            <w:r>
              <w:rPr>
                <w:b w:val="0"/>
                <w:sz w:val="17"/>
              </w:rPr>
              <w:t>5.668</w:t>
            </w:r>
          </w:p>
        </w:tc>
        <w:tc>
          <w:tcPr>
            <w:tcW w:type="dxa" w:w="1656"/>
          </w:tcPr>
          <w:p>
            <w:pPr>
              <w:spacing w:after="40" w:before="40"/>
            </w:pPr>
            <w:r/>
            <w:r>
              <w:rPr>
                <w:b w:val="0"/>
                <w:sz w:val="17"/>
              </w:rPr>
              <w:t>7.765</w:t>
            </w:r>
          </w:p>
        </w:tc>
        <w:tc>
          <w:tcPr>
            <w:tcW w:type="dxa" w:w="1656"/>
          </w:tcPr>
          <w:p>
            <w:pPr>
              <w:spacing w:after="40" w:before="40"/>
            </w:pPr>
            <w:r/>
            <w:r>
              <w:rPr>
                <w:b w:val="0"/>
                <w:sz w:val="17"/>
              </w:rPr>
              <w:t>96.5</w:t>
            </w:r>
          </w:p>
        </w:tc>
        <w:tc>
          <w:tcPr>
            <w:tcW w:type="dxa" w:w="1440"/>
          </w:tcPr>
          <w:p>
            <w:pPr>
              <w:spacing w:after="40" w:before="40"/>
            </w:pPr>
            <w:r/>
            <w:r>
              <w:rPr>
                <w:b w:val="0"/>
                <w:sz w:val="17"/>
              </w:rPr>
              <w:t>−1.16</w:t>
            </w:r>
          </w:p>
        </w:tc>
      </w:tr>
    </w:tbl>
    <w:p>
      <w:pPr>
        <w:spacing w:after="40" w:before="0"/>
      </w:pPr>
    </w:p>
    <w:p>
      <w:pPr>
        <w:keepNext/>
        <w:spacing w:before="120" w:after="60"/>
        <w:jc w:val="center"/>
      </w:pPr>
      <w:r>
        <w:drawing>
          <wp:inline xmlns:a="http://schemas.openxmlformats.org/drawingml/2006/main" xmlns:pic="http://schemas.openxmlformats.org/drawingml/2006/picture">
            <wp:extent cx="6126480" cy="2779607"/>
            <wp:docPr id="20" name="Picture 20"/>
            <wp:cNvGraphicFramePr>
              <a:graphicFrameLocks noChangeAspect="1"/>
            </wp:cNvGraphicFramePr>
            <a:graphic>
              <a:graphicData uri="http://schemas.openxmlformats.org/drawingml/2006/picture">
                <pic:pic>
                  <pic:nvPicPr>
                    <pic:cNvPr id="0" name="fig19_horizon.png"/>
                    <pic:cNvPicPr/>
                  </pic:nvPicPr>
                  <pic:blipFill>
                    <a:blip r:embed="rId28"/>
                    <a:stretch>
                      <a:fillRect/>
                    </a:stretch>
                  </pic:blipFill>
                  <pic:spPr>
                    <a:xfrm>
                      <a:off x="0" y="0"/>
                      <a:ext cx="6126480" cy="2779607"/>
                    </a:xfrm>
                    <a:prstGeom prst="rect"/>
                  </pic:spPr>
                </pic:pic>
              </a:graphicData>
            </a:graphic>
          </wp:inline>
        </w:drawing>
      </w:r>
    </w:p>
    <w:p>
      <w:pPr>
        <w:spacing w:after="200"/>
        <w:jc w:val="center"/>
      </w:pPr>
      <w:r>
        <w:rPr>
          <w:i/>
          <w:color w:val="52514E"/>
          <w:sz w:val="18"/>
        </w:rPr>
        <w:t>Figure 20.  Error against lead day, and predictive spread at the two ends of the horizon. The right-hand panel uses a logarithmic axis because the three quantities differ by three orders of magnitude.</w:t>
      </w:r>
    </w:p>
    <w:p>
      <w:pPr>
        <w:spacing w:after="140"/>
      </w:pPr>
      <w:r>
        <w:rPr>
          <w:b w:val="0"/>
          <w:sz w:val="21"/>
        </w:rPr>
        <w:t>Aggregate RMSE barely moves: the ensemble goes from 5.651 at day 1 to 5.668 at day 7, an increase of 0.3%, and it beats the persistence baseline by a wide margin at every lead day. The interpretation, however, is that this flatness reflects a forecast that settles within a single step rather than one that holds accuracy across the week — predicted standard deviation is 0.193 in at day 1 and 0.133 in at day 7, against an observed spread near 5.55 in that does not shrink.</w:t>
      </w:r>
    </w:p>
    <w:p>
      <w:pPr>
        <w:spacing w:after="140"/>
      </w:pPr>
      <w:r>
        <w:rPr>
          <w:b w:val="0"/>
          <w:sz w:val="21"/>
        </w:rPr>
        <w:t>This is a clean and useful result for the product decision. It shows the architecture supports recursive multi-step forecasting without modification, and it shows the horizon itself is the binding constraint rather than these two models — persistence, a completely different forecasting rule, is equally unable to anticipate rain events. A supplementary analysis in runs/retuned/ extended this to accumulated seven-day totals, tested against three criteria fixed in advance, and found that aggregation changes the scale of the target without changing the information available about it. The deliverable therefore stays at one day ahead on evidence, and both longer-horizon experiments are retained in the repository as executed work rather than unexamined possibilities.</w:t>
      </w:r>
    </w:p>
    <w:p>
      <w:pPr>
        <w:pStyle w:val="Heading1"/>
      </w:pPr>
      <w:r>
        <w:t>12.  Computational cost against benefit</w:t>
      </w:r>
    </w:p>
    <w:p>
      <w:pPr>
        <w:spacing w:after="140"/>
      </w:pPr>
      <w:r>
        <w:rPr>
          <w:b w:val="0"/>
          <w:sz w:val="21"/>
        </w:rPr>
        <w:t>Objective 1.3.1.1.5 asks whether the ensemble's added computational cost is justified by its added accuracy. Because XGBoost's training cost is negligible, the LSTM's training time is treated as the marginal cost of the ensemble, and the benefit is measured against XGBoost alone rather than against the baseline — XGBoost alone is the cheap alternative the extra cost is really being weighed against.</w:t>
      </w:r>
    </w:p>
    <w:p>
      <w:pPr>
        <w:keepNext/>
        <w:spacing w:after="80"/>
      </w:pPr>
      <w:r>
        <w:rPr>
          <w:i/>
          <w:color w:val="52514E"/>
          <w:sz w:val="18"/>
        </w:rPr>
        <w:t>Table 19.  Cost and benefit of including the LSTM, measured against XGBoost alone. A positive benefit means the ensemble is more accurate than XGBoost by itself.</w:t>
      </w:r>
    </w:p>
    <w:tbl>
      <w:tblPr>
        <w:tblStyle w:val="TableGrid"/>
        <w:tblW w:type="auto" w:w="0"/>
        <w:jc w:val="center"/>
        <w:tblLook w:firstColumn="1" w:firstRow="1" w:lastColumn="0" w:lastRow="0" w:noHBand="0" w:noVBand="1" w:val="04A0"/>
      </w:tblPr>
      <w:tblGrid>
        <w:gridCol w:w="3216"/>
        <w:gridCol w:w="3216"/>
        <w:gridCol w:w="3216"/>
      </w:tblGrid>
      <w:tr>
        <w:tc>
          <w:tcPr>
            <w:tcW w:type="dxa" w:w="3384"/>
            <w:shd w:val="clear" w:fill="E8EEF7"/>
          </w:tcPr>
          <w:p>
            <w:pPr>
              <w:spacing w:after="40" w:before="40"/>
            </w:pPr>
            <w:r/>
            <w:r>
              <w:rPr>
                <w:b/>
                <w:sz w:val="17"/>
              </w:rPr>
              <w:t>Quantity</w:t>
            </w:r>
          </w:p>
        </w:tc>
        <w:tc>
          <w:tcPr>
            <w:tcW w:type="dxa" w:w="1656"/>
            <w:shd w:val="clear" w:fill="E8EEF7"/>
          </w:tcPr>
          <w:p>
            <w:pPr>
              <w:spacing w:after="40" w:before="40"/>
            </w:pPr>
            <w:r/>
            <w:r>
              <w:rPr>
                <w:b/>
                <w:sz w:val="17"/>
              </w:rPr>
              <w:t>Value</w:t>
            </w:r>
          </w:p>
        </w:tc>
        <w:tc>
          <w:tcPr>
            <w:tcW w:type="dxa" w:w="4608"/>
            <w:shd w:val="clear" w:fill="E8EEF7"/>
          </w:tcPr>
          <w:p>
            <w:pPr>
              <w:spacing w:after="40" w:before="40"/>
            </w:pPr>
            <w:r/>
            <w:r>
              <w:rPr>
                <w:b/>
                <w:sz w:val="17"/>
              </w:rPr>
              <w:t>Reading</w:t>
            </w:r>
          </w:p>
        </w:tc>
      </w:tr>
      <w:tr>
        <w:tc>
          <w:tcPr>
            <w:tcW w:type="dxa" w:w="3384"/>
          </w:tcPr>
          <w:p>
            <w:pPr>
              <w:spacing w:after="40" w:before="40"/>
            </w:pPr>
            <w:r/>
            <w:r>
              <w:rPr>
                <w:b w:val="0"/>
                <w:sz w:val="17"/>
              </w:rPr>
              <w:t>LSTM training time</w:t>
            </w:r>
          </w:p>
        </w:tc>
        <w:tc>
          <w:tcPr>
            <w:tcW w:type="dxa" w:w="1656"/>
          </w:tcPr>
          <w:p>
            <w:pPr>
              <w:spacing w:after="40" w:before="40"/>
            </w:pPr>
            <w:r/>
            <w:r>
              <w:rPr>
                <w:b w:val="0"/>
                <w:sz w:val="17"/>
              </w:rPr>
              <w:t>798.2 s</w:t>
            </w:r>
          </w:p>
        </w:tc>
        <w:tc>
          <w:tcPr>
            <w:tcW w:type="dxa" w:w="4608"/>
          </w:tcPr>
          <w:p>
            <w:pPr>
              <w:spacing w:after="40" w:before="40"/>
            </w:pPr>
            <w:r/>
            <w:r>
              <w:rPr>
                <w:b w:val="0"/>
                <w:sz w:val="17"/>
              </w:rPr>
              <w:t>100 epochs on CPU.</w:t>
            </w:r>
          </w:p>
        </w:tc>
      </w:tr>
      <w:tr>
        <w:tc>
          <w:tcPr>
            <w:tcW w:type="dxa" w:w="3384"/>
          </w:tcPr>
          <w:p>
            <w:pPr>
              <w:spacing w:after="40" w:before="40"/>
            </w:pPr>
            <w:r/>
            <w:r>
              <w:rPr>
                <w:b w:val="0"/>
                <w:sz w:val="17"/>
              </w:rPr>
              <w:t>XGBoost training time</w:t>
            </w:r>
          </w:p>
        </w:tc>
        <w:tc>
          <w:tcPr>
            <w:tcW w:type="dxa" w:w="1656"/>
          </w:tcPr>
          <w:p>
            <w:pPr>
              <w:spacing w:after="40" w:before="40"/>
            </w:pPr>
            <w:r/>
            <w:r>
              <w:rPr>
                <w:b w:val="0"/>
                <w:sz w:val="17"/>
              </w:rPr>
              <w:t>0.378 s</w:t>
            </w:r>
          </w:p>
        </w:tc>
        <w:tc>
          <w:tcPr>
            <w:tcW w:type="dxa" w:w="4608"/>
          </w:tcPr>
          <w:p>
            <w:pPr>
              <w:spacing w:after="40" w:before="40"/>
            </w:pPr>
            <w:r/>
            <w:r>
              <w:rPr>
                <w:b w:val="0"/>
                <w:sz w:val="17"/>
              </w:rPr>
              <w:t>131 trees at depth 2.</w:t>
            </w:r>
          </w:p>
        </w:tc>
      </w:tr>
      <w:tr>
        <w:tc>
          <w:tcPr>
            <w:tcW w:type="dxa" w:w="3384"/>
          </w:tcPr>
          <w:p>
            <w:pPr>
              <w:spacing w:after="40" w:before="40"/>
            </w:pPr>
            <w:r/>
            <w:r>
              <w:rPr>
                <w:b w:val="0"/>
                <w:sz w:val="17"/>
              </w:rPr>
              <w:t>Cost ratio</w:t>
            </w:r>
          </w:p>
        </w:tc>
        <w:tc>
          <w:tcPr>
            <w:tcW w:type="dxa" w:w="1656"/>
          </w:tcPr>
          <w:p>
            <w:pPr>
              <w:spacing w:after="40" w:before="40"/>
            </w:pPr>
            <w:r/>
            <w:r>
              <w:rPr>
                <w:b w:val="0"/>
                <w:sz w:val="17"/>
              </w:rPr>
              <w:t>2,110×</w:t>
            </w:r>
          </w:p>
        </w:tc>
        <w:tc>
          <w:tcPr>
            <w:tcW w:type="dxa" w:w="4608"/>
          </w:tcPr>
          <w:p>
            <w:pPr>
              <w:spacing w:after="40" w:before="40"/>
            </w:pPr>
            <w:r/>
            <w:r>
              <w:rPr>
                <w:b w:val="0"/>
                <w:sz w:val="17"/>
              </w:rPr>
              <w:t>The LSTM is three orders of magnitude more expensive to fit.</w:t>
            </w:r>
          </w:p>
        </w:tc>
      </w:tr>
      <w:tr>
        <w:tc>
          <w:tcPr>
            <w:tcW w:type="dxa" w:w="3384"/>
          </w:tcPr>
          <w:p>
            <w:pPr>
              <w:spacing w:after="40" w:before="40"/>
            </w:pPr>
            <w:r/>
            <w:r>
              <w:rPr>
                <w:b w:val="0"/>
                <w:sz w:val="17"/>
              </w:rPr>
              <w:t>LSTM inference time</w:t>
            </w:r>
          </w:p>
        </w:tc>
        <w:tc>
          <w:tcPr>
            <w:tcW w:type="dxa" w:w="1656"/>
          </w:tcPr>
          <w:p>
            <w:pPr>
              <w:spacing w:after="40" w:before="40"/>
            </w:pPr>
            <w:r/>
            <w:r>
              <w:rPr>
                <w:b w:val="0"/>
                <w:sz w:val="17"/>
              </w:rPr>
              <w:t>1.079 s</w:t>
            </w:r>
          </w:p>
        </w:tc>
        <w:tc>
          <w:tcPr>
            <w:tcW w:type="dxa" w:w="4608"/>
          </w:tcPr>
          <w:p>
            <w:pPr>
              <w:spacing w:after="40" w:before="40"/>
            </w:pPr>
            <w:r/>
            <w:r>
              <w:rPr>
                <w:b w:val="0"/>
                <w:sz w:val="17"/>
              </w:rPr>
              <w:t>For all 1,860 test days. Inference is not a practical constraint for either model.</w:t>
            </w:r>
          </w:p>
        </w:tc>
      </w:tr>
      <w:tr>
        <w:tc>
          <w:tcPr>
            <w:tcW w:type="dxa" w:w="3384"/>
          </w:tcPr>
          <w:p>
            <w:pPr>
              <w:spacing w:after="40" w:before="40"/>
            </w:pPr>
            <w:r/>
            <w:r>
              <w:rPr>
                <w:b w:val="0"/>
                <w:sz w:val="17"/>
              </w:rPr>
              <w:t>XGBoost inference time</w:t>
            </w:r>
          </w:p>
        </w:tc>
        <w:tc>
          <w:tcPr>
            <w:tcW w:type="dxa" w:w="1656"/>
          </w:tcPr>
          <w:p>
            <w:pPr>
              <w:spacing w:after="40" w:before="40"/>
            </w:pPr>
            <w:r/>
            <w:r>
              <w:rPr>
                <w:b w:val="0"/>
                <w:sz w:val="17"/>
              </w:rPr>
              <w:t>0.003 s</w:t>
            </w:r>
          </w:p>
        </w:tc>
        <w:tc>
          <w:tcPr>
            <w:tcW w:type="dxa" w:w="4608"/>
          </w:tcPr>
          <w:p>
            <w:pPr>
              <w:spacing w:after="40" w:before="40"/>
            </w:pPr>
            <w:r/>
            <w:r>
              <w:rPr>
                <w:b w:val="0"/>
                <w:sz w:val="17"/>
              </w:rPr>
              <w:t>Effectively free.</w:t>
            </w:r>
          </w:p>
        </w:tc>
      </w:tr>
      <w:tr>
        <w:tc>
          <w:tcPr>
            <w:tcW w:type="dxa" w:w="3384"/>
          </w:tcPr>
          <w:p>
            <w:pPr>
              <w:spacing w:after="40" w:before="40"/>
            </w:pPr>
            <w:r/>
            <w:r>
              <w:rPr>
                <w:b w:val="0"/>
                <w:sz w:val="17"/>
              </w:rPr>
              <w:t>MAE benefit, no-rain days</w:t>
            </w:r>
          </w:p>
        </w:tc>
        <w:tc>
          <w:tcPr>
            <w:tcW w:type="dxa" w:w="1656"/>
          </w:tcPr>
          <w:p>
            <w:pPr>
              <w:spacing w:after="40" w:before="40"/>
            </w:pPr>
            <w:r/>
            <w:r>
              <w:rPr>
                <w:b/>
                <w:sz w:val="17"/>
              </w:rPr>
              <w:t>+0.999 in</w:t>
            </w:r>
          </w:p>
        </w:tc>
        <w:tc>
          <w:tcPr>
            <w:tcW w:type="dxa" w:w="4608"/>
          </w:tcPr>
          <w:p>
            <w:pPr>
              <w:spacing w:after="40" w:before="40"/>
            </w:pPr>
            <w:r/>
            <w:r>
              <w:rPr>
                <w:b/>
                <w:sz w:val="17"/>
              </w:rPr>
              <w:t>Clearly favourable.</w:t>
            </w:r>
            <w:r>
              <w:rPr>
                <w:b w:val="0"/>
                <w:sz w:val="17"/>
              </w:rPr>
              <w:t xml:space="preserve"> This is where the ensemble earns its cost.</w:t>
            </w:r>
          </w:p>
        </w:tc>
      </w:tr>
      <w:tr>
        <w:tc>
          <w:tcPr>
            <w:tcW w:type="dxa" w:w="3384"/>
          </w:tcPr>
          <w:p>
            <w:pPr>
              <w:spacing w:after="40" w:before="40"/>
            </w:pPr>
            <w:r/>
            <w:r>
              <w:rPr>
                <w:b w:val="0"/>
                <w:sz w:val="17"/>
              </w:rPr>
              <w:t>MAE benefit, moderate days</w:t>
            </w:r>
          </w:p>
        </w:tc>
        <w:tc>
          <w:tcPr>
            <w:tcW w:type="dxa" w:w="1656"/>
          </w:tcPr>
          <w:p>
            <w:pPr>
              <w:spacing w:after="40" w:before="40"/>
            </w:pPr>
            <w:r/>
            <w:r>
              <w:rPr>
                <w:b/>
                <w:sz w:val="17"/>
              </w:rPr>
              <w:t>+1.030 in</w:t>
            </w:r>
          </w:p>
        </w:tc>
        <w:tc>
          <w:tcPr>
            <w:tcW w:type="dxa" w:w="4608"/>
          </w:tcPr>
          <w:p>
            <w:pPr>
              <w:spacing w:after="40" w:before="40"/>
            </w:pPr>
            <w:r/>
            <w:r>
              <w:rPr>
                <w:b/>
                <w:sz w:val="17"/>
              </w:rPr>
              <w:t>Clearly favourable.</w:t>
            </w:r>
          </w:p>
        </w:tc>
      </w:tr>
      <w:tr>
        <w:tc>
          <w:tcPr>
            <w:tcW w:type="dxa" w:w="3384"/>
          </w:tcPr>
          <w:p>
            <w:pPr>
              <w:spacing w:after="40" w:before="40"/>
            </w:pPr>
            <w:r/>
            <w:r>
              <w:rPr>
                <w:b w:val="0"/>
                <w:sz w:val="17"/>
              </w:rPr>
              <w:t>MAE benefit, overall</w:t>
            </w:r>
          </w:p>
        </w:tc>
        <w:tc>
          <w:tcPr>
            <w:tcW w:type="dxa" w:w="1656"/>
          </w:tcPr>
          <w:p>
            <w:pPr>
              <w:spacing w:after="40" w:before="40"/>
            </w:pPr>
            <w:r/>
            <w:r>
              <w:rPr>
                <w:b/>
                <w:sz w:val="17"/>
              </w:rPr>
              <w:t>+0.523 in</w:t>
            </w:r>
          </w:p>
        </w:tc>
        <w:tc>
          <w:tcPr>
            <w:tcW w:type="dxa" w:w="4608"/>
          </w:tcPr>
          <w:p>
            <w:pPr>
              <w:spacing w:after="40" w:before="40"/>
            </w:pPr>
            <w:r/>
            <w:r>
              <w:rPr>
                <w:b/>
                <w:sz w:val="17"/>
              </w:rPr>
              <w:t>Favourable.</w:t>
            </w:r>
          </w:p>
        </w:tc>
      </w:tr>
      <w:tr>
        <w:tc>
          <w:tcPr>
            <w:tcW w:type="dxa" w:w="3384"/>
          </w:tcPr>
          <w:p>
            <w:pPr>
              <w:spacing w:after="40" w:before="40"/>
            </w:pPr>
            <w:r/>
            <w:r>
              <w:rPr>
                <w:b w:val="0"/>
                <w:sz w:val="17"/>
              </w:rPr>
              <w:t>MAE benefit, heavy days</w:t>
            </w:r>
          </w:p>
        </w:tc>
        <w:tc>
          <w:tcPr>
            <w:tcW w:type="dxa" w:w="1656"/>
          </w:tcPr>
          <w:p>
            <w:pPr>
              <w:spacing w:after="40" w:before="40"/>
            </w:pPr>
            <w:r/>
            <w:r>
              <w:rPr>
                <w:b w:val="0"/>
                <w:sz w:val="17"/>
              </w:rPr>
              <w:t>−0.484 in</w:t>
            </w:r>
          </w:p>
        </w:tc>
        <w:tc>
          <w:tcPr>
            <w:tcW w:type="dxa" w:w="4608"/>
          </w:tcPr>
          <w:p>
            <w:pPr>
              <w:spacing w:after="40" w:before="40"/>
            </w:pPr>
            <w:r/>
            <w:r>
              <w:rPr>
                <w:b w:val="0"/>
                <w:sz w:val="17"/>
              </w:rPr>
              <w:t>Unfavourable, and heavy days matter most operationally.</w:t>
            </w:r>
          </w:p>
        </w:tc>
      </w:tr>
      <w:tr>
        <w:tc>
          <w:tcPr>
            <w:tcW w:type="dxa" w:w="3384"/>
          </w:tcPr>
          <w:p>
            <w:pPr>
              <w:spacing w:after="40" w:before="40"/>
            </w:pPr>
            <w:r/>
            <w:r>
              <w:rPr>
                <w:b w:val="0"/>
                <w:sz w:val="17"/>
              </w:rPr>
              <w:t>RMSE benefit, overall</w:t>
            </w:r>
          </w:p>
        </w:tc>
        <w:tc>
          <w:tcPr>
            <w:tcW w:type="dxa" w:w="1656"/>
          </w:tcPr>
          <w:p>
            <w:pPr>
              <w:spacing w:after="40" w:before="40"/>
            </w:pPr>
            <w:r/>
            <w:r>
              <w:rPr>
                <w:b w:val="0"/>
                <w:sz w:val="17"/>
              </w:rPr>
              <w:t>−0.110 in</w:t>
            </w:r>
          </w:p>
        </w:tc>
        <w:tc>
          <w:tcPr>
            <w:tcW w:type="dxa" w:w="4608"/>
          </w:tcPr>
          <w:p>
            <w:pPr>
              <w:spacing w:after="40" w:before="40"/>
            </w:pPr>
            <w:r/>
            <w:r>
              <w:rPr>
                <w:b w:val="0"/>
                <w:sz w:val="17"/>
              </w:rPr>
              <w:t>Unfavourable on this metric.</w:t>
            </w:r>
          </w:p>
        </w:tc>
      </w:tr>
    </w:tbl>
    <w:p>
      <w:pPr>
        <w:spacing w:after="40" w:before="0"/>
      </w:pPr>
    </w:p>
    <w:p>
      <w:pPr>
        <w:keepNext/>
        <w:spacing w:before="120" w:after="60"/>
        <w:jc w:val="center"/>
      </w:pPr>
      <w:r>
        <w:drawing>
          <wp:inline xmlns:a="http://schemas.openxmlformats.org/drawingml/2006/main" xmlns:pic="http://schemas.openxmlformats.org/drawingml/2006/picture">
            <wp:extent cx="6126480" cy="2757119"/>
            <wp:docPr id="21" name="Picture 21"/>
            <wp:cNvGraphicFramePr>
              <a:graphicFrameLocks noChangeAspect="1"/>
            </wp:cNvGraphicFramePr>
            <a:graphic>
              <a:graphicData uri="http://schemas.openxmlformats.org/drawingml/2006/picture">
                <pic:pic>
                  <pic:nvPicPr>
                    <pic:cNvPr id="0" name="fig21_cost.png"/>
                    <pic:cNvPicPr/>
                  </pic:nvPicPr>
                  <pic:blipFill>
                    <a:blip r:embed="rId29"/>
                    <a:stretch>
                      <a:fillRect/>
                    </a:stretch>
                  </pic:blipFill>
                  <pic:spPr>
                    <a:xfrm>
                      <a:off x="0" y="0"/>
                      <a:ext cx="6126480" cy="2757119"/>
                    </a:xfrm>
                    <a:prstGeom prst="rect"/>
                  </pic:spPr>
                </pic:pic>
              </a:graphicData>
            </a:graphic>
          </wp:inline>
        </w:drawing>
      </w:r>
    </w:p>
    <w:p>
      <w:pPr>
        <w:spacing w:after="200"/>
        <w:jc w:val="center"/>
      </w:pPr>
      <w:r>
        <w:rPr>
          <w:i/>
          <w:color w:val="52514E"/>
          <w:sz w:val="18"/>
        </w:rPr>
        <w:t>Figure 21.  Training cost on a logarithmic axis, and the benefit the ensemble buys over XGBoost alone in each rainfall regime.</w:t>
      </w:r>
    </w:p>
    <w:p>
      <w:pPr>
        <w:spacing w:after="140"/>
      </w:pPr>
      <w:r>
        <w:rPr>
          <w:b w:val="0"/>
          <w:sz w:val="21"/>
        </w:rPr>
        <w:t>The answer is regime-dependent, and stating it that way is more useful than a single verdict. The ensemble is worth its cost on no-rain and moderate days, where it improves MAE by 0.999 and 1.030 inches respectively, and those two regimes account for 1,260 of the 1,860 scored days. It is not worth its cost on heavy days, where it gives up 0.484 inches of MAE and 0.110 inches of RMSE against XGBoost alone.</w:t>
      </w:r>
    </w:p>
    <w:p>
      <w:pPr>
        <w:spacing w:after="140"/>
      </w:pPr>
      <w:r>
        <w:rPr>
          <w:b w:val="0"/>
          <w:sz w:val="21"/>
        </w:rPr>
        <w:t>That split is the cost—benefit expression of the same complementarity Table 13 measured, and it carries a constructive implication. The LSTM genuinely owns two of the three regimes, so the case for keeping it is sound; what the numbers argue against is not the LSTM but the averaging step, which forces a single blend across regimes that differ in which component should dominate. A combination rule that preserved each component's strength would convert this mixed result into a favourable one, which is the subject of the next section.</w:t>
      </w:r>
    </w:p>
    <w:p>
      <w:pPr>
        <w:pStyle w:val="Heading1"/>
      </w:pPr>
      <w:r>
        <w:t>13.  What the study establishes about combining LSTM and XGBoost</w:t>
      </w:r>
    </w:p>
    <w:p>
      <w:pPr>
        <w:spacing w:after="140"/>
      </w:pPr>
      <w:r>
        <w:rPr>
          <w:b w:val="0"/>
          <w:sz w:val="21"/>
        </w:rPr>
        <w:t>This section states the study's principal contribution. The evidence assembled above supports a specific, transferable conclusion about how these two model families should be combined on a zero-inflated univariate target, and it is a conclusion that could only have been reached by building the parallel design first and measuring where it binds.</w:t>
      </w:r>
    </w:p>
    <w:p>
      <w:pPr>
        <w:spacing w:after="140"/>
      </w:pPr>
      <w:r>
        <w:rPr>
          <w:b w:val="0"/>
          <w:sz w:val="21"/>
        </w:rPr>
        <w:t>The finding rests on three measured results. The components are genuinely complementary, each owning distinct rainfall regimes by wide margins (Table 13). One component is very nearly unbiased and the other is strongly biased (Table 10). And a convex average of two estimators is mathematically constrained to lie between them, so it can only choose where on the line between its components the result sits — it cannot recover a strength that belongs to one of them. Table 20 shows that constraint operating across every combiner that was tried.</w:t>
      </w:r>
    </w:p>
    <w:p>
      <w:pPr>
        <w:keepNext/>
        <w:spacing w:after="80"/>
      </w:pPr>
      <w:r>
        <w:rPr>
          <w:i/>
          <w:color w:val="52514E"/>
          <w:sz w:val="18"/>
        </w:rPr>
        <w:t>Table 20.  Ensemble combiners and the metric frontier (diagnostic section D7). The two combiners that beat the baseline on all three headline metrics do so with a predictive spread of 0.005 and 0.022 in, against an observed spread of 5.540 in.</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3528"/>
            <w:shd w:val="clear" w:fill="E8EEF7"/>
          </w:tcPr>
          <w:p>
            <w:pPr>
              <w:spacing w:after="40" w:before="40"/>
            </w:pPr>
            <w:r/>
            <w:r>
              <w:rPr>
                <w:b/>
                <w:sz w:val="16"/>
              </w:rPr>
              <w:t>Combiner</w:t>
            </w:r>
          </w:p>
        </w:tc>
        <w:tc>
          <w:tcPr>
            <w:tcW w:type="dxa" w:w="979"/>
            <w:shd w:val="clear" w:fill="E8EEF7"/>
          </w:tcPr>
          <w:p>
            <w:pPr>
              <w:spacing w:after="40" w:before="40"/>
            </w:pPr>
            <w:r/>
            <w:r>
              <w:rPr>
                <w:b/>
                <w:sz w:val="16"/>
              </w:rPr>
              <w:t>RMSE</w:t>
            </w:r>
          </w:p>
        </w:tc>
        <w:tc>
          <w:tcPr>
            <w:tcW w:type="dxa" w:w="979"/>
            <w:shd w:val="clear" w:fill="E8EEF7"/>
          </w:tcPr>
          <w:p>
            <w:pPr>
              <w:spacing w:after="40" w:before="40"/>
            </w:pPr>
            <w:r/>
            <w:r>
              <w:rPr>
                <w:b/>
                <w:sz w:val="16"/>
              </w:rPr>
              <w:t>MAE</w:t>
            </w:r>
          </w:p>
        </w:tc>
        <w:tc>
          <w:tcPr>
            <w:tcW w:type="dxa" w:w="1080"/>
            <w:shd w:val="clear" w:fill="E8EEF7"/>
          </w:tcPr>
          <w:p>
            <w:pPr>
              <w:spacing w:after="40" w:before="40"/>
            </w:pPr>
            <w:r/>
            <w:r>
              <w:rPr>
                <w:b/>
                <w:sz w:val="16"/>
              </w:rPr>
              <w:t>MAPE (%)</w:t>
            </w:r>
          </w:p>
        </w:tc>
        <w:tc>
          <w:tcPr>
            <w:tcW w:type="dxa" w:w="1037"/>
            <w:shd w:val="clear" w:fill="E8EEF7"/>
          </w:tcPr>
          <w:p>
            <w:pPr>
              <w:spacing w:after="40" w:before="40"/>
            </w:pPr>
            <w:r/>
            <w:r>
              <w:rPr>
                <w:b/>
                <w:sz w:val="16"/>
              </w:rPr>
              <w:t>R²</w:t>
            </w:r>
          </w:p>
        </w:tc>
        <w:tc>
          <w:tcPr>
            <w:tcW w:type="dxa" w:w="979"/>
            <w:shd w:val="clear" w:fill="E8EEF7"/>
          </w:tcPr>
          <w:p>
            <w:pPr>
              <w:spacing w:after="40" w:before="40"/>
            </w:pPr>
            <w:r/>
            <w:r>
              <w:rPr>
                <w:b/>
                <w:sz w:val="16"/>
              </w:rPr>
              <w:t>Pred std</w:t>
            </w:r>
          </w:p>
        </w:tc>
        <w:tc>
          <w:tcPr>
            <w:tcW w:type="dxa" w:w="1354"/>
            <w:shd w:val="clear" w:fill="E8EEF7"/>
          </w:tcPr>
          <w:p>
            <w:pPr>
              <w:spacing w:after="40" w:before="40"/>
            </w:pPr>
            <w:r/>
            <w:r>
              <w:rPr>
                <w:b/>
                <w:sz w:val="16"/>
              </w:rPr>
              <w:t>Beats baseline on</w:t>
            </w:r>
          </w:p>
        </w:tc>
      </w:tr>
      <w:tr>
        <w:tc>
          <w:tcPr>
            <w:tcW w:type="dxa" w:w="3528"/>
          </w:tcPr>
          <w:p>
            <w:pPr>
              <w:spacing w:after="40" w:before="40"/>
            </w:pPr>
            <w:r/>
            <w:r>
              <w:rPr>
                <w:b w:val="0"/>
                <w:sz w:val="16"/>
              </w:rPr>
              <w:t>Inverse-RMSE (in use), w_lstm = 0.485</w:t>
            </w:r>
          </w:p>
        </w:tc>
        <w:tc>
          <w:tcPr>
            <w:tcW w:type="dxa" w:w="979"/>
          </w:tcPr>
          <w:p>
            <w:pPr>
              <w:spacing w:after="40" w:before="40"/>
            </w:pPr>
            <w:r/>
            <w:r>
              <w:rPr>
                <w:b w:val="0"/>
                <w:sz w:val="16"/>
              </w:rPr>
              <w:t>5.6288</w:t>
            </w:r>
          </w:p>
        </w:tc>
        <w:tc>
          <w:tcPr>
            <w:tcW w:type="dxa" w:w="979"/>
          </w:tcPr>
          <w:p>
            <w:pPr>
              <w:spacing w:after="40" w:before="40"/>
            </w:pPr>
            <w:r/>
            <w:r>
              <w:rPr>
                <w:b w:val="0"/>
                <w:sz w:val="16"/>
              </w:rPr>
              <w:t>2.6427</w:t>
            </w:r>
          </w:p>
        </w:tc>
        <w:tc>
          <w:tcPr>
            <w:tcW w:type="dxa" w:w="1080"/>
          </w:tcPr>
          <w:p>
            <w:pPr>
              <w:spacing w:after="40" w:before="40"/>
            </w:pPr>
            <w:r/>
            <w:r>
              <w:rPr>
                <w:b w:val="0"/>
                <w:sz w:val="16"/>
              </w:rPr>
              <w:t>105.91</w:t>
            </w:r>
          </w:p>
        </w:tc>
        <w:tc>
          <w:tcPr>
            <w:tcW w:type="dxa" w:w="1037"/>
          </w:tcPr>
          <w:p>
            <w:pPr>
              <w:spacing w:after="40" w:before="40"/>
            </w:pPr>
            <w:r/>
            <w:r>
              <w:rPr>
                <w:b w:val="0"/>
                <w:sz w:val="16"/>
              </w:rPr>
              <w:t>−0.0324</w:t>
            </w:r>
          </w:p>
        </w:tc>
        <w:tc>
          <w:tcPr>
            <w:tcW w:type="dxa" w:w="979"/>
          </w:tcPr>
          <w:p>
            <w:pPr>
              <w:spacing w:after="40" w:before="40"/>
            </w:pPr>
            <w:r/>
            <w:r>
              <w:rPr>
                <w:b w:val="0"/>
                <w:sz w:val="16"/>
              </w:rPr>
              <w:t>0.193</w:t>
            </w:r>
          </w:p>
        </w:tc>
        <w:tc>
          <w:tcPr>
            <w:tcW w:type="dxa" w:w="1354"/>
          </w:tcPr>
          <w:p>
            <w:pPr>
              <w:spacing w:after="40" w:before="40"/>
            </w:pPr>
            <w:r/>
            <w:r>
              <w:rPr>
                <w:b w:val="0"/>
                <w:sz w:val="16"/>
              </w:rPr>
              <w:t>RMSE only</w:t>
            </w:r>
          </w:p>
        </w:tc>
      </w:tr>
      <w:tr>
        <w:tc>
          <w:tcPr>
            <w:tcW w:type="dxa" w:w="3528"/>
          </w:tcPr>
          <w:p>
            <w:pPr>
              <w:spacing w:after="40" w:before="40"/>
            </w:pPr>
            <w:r/>
            <w:r>
              <w:rPr>
                <w:b w:val="0"/>
                <w:sz w:val="16"/>
              </w:rPr>
              <w:t>Inverse-MSE, w_lstm = 0.469</w:t>
            </w:r>
          </w:p>
        </w:tc>
        <w:tc>
          <w:tcPr>
            <w:tcW w:type="dxa" w:w="979"/>
          </w:tcPr>
          <w:p>
            <w:pPr>
              <w:spacing w:after="40" w:before="40"/>
            </w:pPr>
            <w:r/>
            <w:r>
              <w:rPr>
                <w:b w:val="0"/>
                <w:sz w:val="16"/>
              </w:rPr>
              <w:t>5.6232</w:t>
            </w:r>
          </w:p>
        </w:tc>
        <w:tc>
          <w:tcPr>
            <w:tcW w:type="dxa" w:w="979"/>
          </w:tcPr>
          <w:p>
            <w:pPr>
              <w:spacing w:after="40" w:before="40"/>
            </w:pPr>
            <w:r/>
            <w:r>
              <w:rPr>
                <w:b w:val="0"/>
                <w:sz w:val="16"/>
              </w:rPr>
              <w:t>2.6565</w:t>
            </w:r>
          </w:p>
        </w:tc>
        <w:tc>
          <w:tcPr>
            <w:tcW w:type="dxa" w:w="1080"/>
          </w:tcPr>
          <w:p>
            <w:pPr>
              <w:spacing w:after="40" w:before="40"/>
            </w:pPr>
            <w:r/>
            <w:r>
              <w:rPr>
                <w:b w:val="0"/>
                <w:sz w:val="16"/>
              </w:rPr>
              <w:t>107.88</w:t>
            </w:r>
          </w:p>
        </w:tc>
        <w:tc>
          <w:tcPr>
            <w:tcW w:type="dxa" w:w="1037"/>
          </w:tcPr>
          <w:p>
            <w:pPr>
              <w:spacing w:after="40" w:before="40"/>
            </w:pPr>
            <w:r/>
            <w:r>
              <w:rPr>
                <w:b w:val="0"/>
                <w:sz w:val="16"/>
              </w:rPr>
              <w:t>−0.0304</w:t>
            </w:r>
          </w:p>
        </w:tc>
        <w:tc>
          <w:tcPr>
            <w:tcW w:type="dxa" w:w="979"/>
          </w:tcPr>
          <w:p>
            <w:pPr>
              <w:spacing w:after="40" w:before="40"/>
            </w:pPr>
            <w:r/>
            <w:r>
              <w:rPr>
                <w:b w:val="0"/>
                <w:sz w:val="16"/>
              </w:rPr>
              <w:t>0.198</w:t>
            </w:r>
          </w:p>
        </w:tc>
        <w:tc>
          <w:tcPr>
            <w:tcW w:type="dxa" w:w="1354"/>
          </w:tcPr>
          <w:p>
            <w:pPr>
              <w:spacing w:after="40" w:before="40"/>
            </w:pPr>
            <w:r/>
            <w:r>
              <w:rPr>
                <w:b w:val="0"/>
                <w:sz w:val="16"/>
              </w:rPr>
              <w:t>RMSE only</w:t>
            </w:r>
          </w:p>
        </w:tc>
      </w:tr>
      <w:tr>
        <w:tc>
          <w:tcPr>
            <w:tcW w:type="dxa" w:w="3528"/>
          </w:tcPr>
          <w:p>
            <w:pPr>
              <w:spacing w:after="40" w:before="40"/>
            </w:pPr>
            <w:r/>
            <w:r>
              <w:rPr>
                <w:b w:val="0"/>
                <w:sz w:val="16"/>
              </w:rPr>
              <w:t>OLS stack</w:t>
            </w:r>
          </w:p>
        </w:tc>
        <w:tc>
          <w:tcPr>
            <w:tcW w:type="dxa" w:w="979"/>
          </w:tcPr>
          <w:p>
            <w:pPr>
              <w:spacing w:after="40" w:before="40"/>
            </w:pPr>
            <w:r/>
            <w:r>
              <w:rPr>
                <w:b w:val="0"/>
                <w:sz w:val="16"/>
              </w:rPr>
              <w:t>5.5518</w:t>
            </w:r>
          </w:p>
        </w:tc>
        <w:tc>
          <w:tcPr>
            <w:tcW w:type="dxa" w:w="979"/>
          </w:tcPr>
          <w:p>
            <w:pPr>
              <w:spacing w:after="40" w:before="40"/>
            </w:pPr>
            <w:r/>
            <w:r>
              <w:rPr>
                <w:b w:val="0"/>
                <w:sz w:val="16"/>
              </w:rPr>
              <w:t>3.1800</w:t>
            </w:r>
          </w:p>
        </w:tc>
        <w:tc>
          <w:tcPr>
            <w:tcW w:type="dxa" w:w="1080"/>
          </w:tcPr>
          <w:p>
            <w:pPr>
              <w:spacing w:after="40" w:before="40"/>
            </w:pPr>
            <w:r/>
            <w:r>
              <w:rPr>
                <w:b w:val="0"/>
                <w:sz w:val="16"/>
              </w:rPr>
              <w:t>183.70</w:t>
            </w:r>
          </w:p>
        </w:tc>
        <w:tc>
          <w:tcPr>
            <w:tcW w:type="dxa" w:w="1037"/>
          </w:tcPr>
          <w:p>
            <w:pPr>
              <w:spacing w:after="40" w:before="40"/>
            </w:pPr>
            <w:r/>
            <w:r>
              <w:rPr>
                <w:b w:val="0"/>
                <w:sz w:val="16"/>
              </w:rPr>
              <w:t>−0.0044</w:t>
            </w:r>
          </w:p>
        </w:tc>
        <w:tc>
          <w:tcPr>
            <w:tcW w:type="dxa" w:w="979"/>
          </w:tcPr>
          <w:p>
            <w:pPr>
              <w:spacing w:after="40" w:before="40"/>
            </w:pPr>
            <w:r/>
            <w:r>
              <w:rPr>
                <w:b w:val="0"/>
                <w:sz w:val="16"/>
              </w:rPr>
              <w:t>0.769</w:t>
            </w:r>
          </w:p>
        </w:tc>
        <w:tc>
          <w:tcPr>
            <w:tcW w:type="dxa" w:w="1354"/>
          </w:tcPr>
          <w:p>
            <w:pPr>
              <w:spacing w:after="40" w:before="40"/>
            </w:pPr>
            <w:r/>
            <w:r>
              <w:rPr>
                <w:b w:val="0"/>
                <w:sz w:val="16"/>
              </w:rPr>
              <w:t>RMSE only</w:t>
            </w:r>
          </w:p>
        </w:tc>
      </w:tr>
      <w:tr>
        <w:tc>
          <w:tcPr>
            <w:tcW w:type="dxa" w:w="3528"/>
          </w:tcPr>
          <w:p>
            <w:pPr>
              <w:spacing w:after="40" w:before="40"/>
            </w:pPr>
            <w:r/>
            <w:r>
              <w:rPr>
                <w:b w:val="0"/>
                <w:sz w:val="16"/>
              </w:rPr>
              <w:t>Convex, validation-RMSE optimal (w_lstm = 0)</w:t>
            </w:r>
          </w:p>
        </w:tc>
        <w:tc>
          <w:tcPr>
            <w:tcW w:type="dxa" w:w="979"/>
          </w:tcPr>
          <w:p>
            <w:pPr>
              <w:spacing w:after="40" w:before="40"/>
            </w:pPr>
            <w:r/>
            <w:r>
              <w:rPr>
                <w:b w:val="0"/>
                <w:sz w:val="16"/>
              </w:rPr>
              <w:t>5.5320</w:t>
            </w:r>
          </w:p>
        </w:tc>
        <w:tc>
          <w:tcPr>
            <w:tcW w:type="dxa" w:w="979"/>
          </w:tcPr>
          <w:p>
            <w:pPr>
              <w:spacing w:after="40" w:before="40"/>
            </w:pPr>
            <w:r/>
            <w:r>
              <w:rPr>
                <w:b w:val="0"/>
                <w:sz w:val="16"/>
              </w:rPr>
              <w:t>3.1341</w:t>
            </w:r>
          </w:p>
        </w:tc>
        <w:tc>
          <w:tcPr>
            <w:tcW w:type="dxa" w:w="1080"/>
          </w:tcPr>
          <w:p>
            <w:pPr>
              <w:spacing w:after="40" w:before="40"/>
            </w:pPr>
            <w:r/>
            <w:r>
              <w:rPr>
                <w:b w:val="0"/>
                <w:sz w:val="16"/>
              </w:rPr>
              <w:t>176.85</w:t>
            </w:r>
          </w:p>
        </w:tc>
        <w:tc>
          <w:tcPr>
            <w:tcW w:type="dxa" w:w="1037"/>
          </w:tcPr>
          <w:p>
            <w:pPr>
              <w:spacing w:after="40" w:before="40"/>
            </w:pPr>
            <w:r/>
            <w:r>
              <w:rPr>
                <w:b w:val="0"/>
                <w:sz w:val="16"/>
              </w:rPr>
              <w:t>0.0028</w:t>
            </w:r>
          </w:p>
        </w:tc>
        <w:tc>
          <w:tcPr>
            <w:tcW w:type="dxa" w:w="979"/>
          </w:tcPr>
          <w:p>
            <w:pPr>
              <w:spacing w:after="40" w:before="40"/>
            </w:pPr>
            <w:r/>
            <w:r>
              <w:rPr>
                <w:b w:val="0"/>
                <w:sz w:val="16"/>
              </w:rPr>
              <w:t>0.374</w:t>
            </w:r>
          </w:p>
        </w:tc>
        <w:tc>
          <w:tcPr>
            <w:tcW w:type="dxa" w:w="1354"/>
          </w:tcPr>
          <w:p>
            <w:pPr>
              <w:spacing w:after="40" w:before="40"/>
            </w:pPr>
            <w:r/>
            <w:r>
              <w:rPr>
                <w:b w:val="0"/>
                <w:sz w:val="16"/>
              </w:rPr>
              <w:t>RMSE only</w:t>
            </w:r>
          </w:p>
        </w:tc>
      </w:tr>
      <w:tr>
        <w:tc>
          <w:tcPr>
            <w:tcW w:type="dxa" w:w="3528"/>
          </w:tcPr>
          <w:p>
            <w:pPr>
              <w:spacing w:after="40" w:before="40"/>
            </w:pPr>
            <w:r/>
            <w:r>
              <w:rPr>
                <w:b w:val="0"/>
                <w:sz w:val="16"/>
              </w:rPr>
              <w:t>Convex, validation-MAE optimal (w_lstm = 1)</w:t>
            </w:r>
          </w:p>
        </w:tc>
        <w:tc>
          <w:tcPr>
            <w:tcW w:type="dxa" w:w="979"/>
          </w:tcPr>
          <w:p>
            <w:pPr>
              <w:spacing w:after="40" w:before="40"/>
            </w:pPr>
            <w:r/>
            <w:r>
              <w:rPr>
                <w:b w:val="0"/>
                <w:sz w:val="16"/>
              </w:rPr>
              <w:t>5.9046</w:t>
            </w:r>
          </w:p>
        </w:tc>
        <w:tc>
          <w:tcPr>
            <w:tcW w:type="dxa" w:w="979"/>
          </w:tcPr>
          <w:p>
            <w:pPr>
              <w:spacing w:after="40" w:before="40"/>
            </w:pPr>
            <w:r/>
            <w:r>
              <w:rPr>
                <w:b w:val="0"/>
                <w:sz w:val="16"/>
              </w:rPr>
              <w:t>2.2951</w:t>
            </w:r>
          </w:p>
        </w:tc>
        <w:tc>
          <w:tcPr>
            <w:tcW w:type="dxa" w:w="1080"/>
          </w:tcPr>
          <w:p>
            <w:pPr>
              <w:spacing w:after="40" w:before="40"/>
            </w:pPr>
            <w:r/>
            <w:r>
              <w:rPr>
                <w:b w:val="0"/>
                <w:sz w:val="16"/>
              </w:rPr>
              <w:t>78.62</w:t>
            </w:r>
          </w:p>
        </w:tc>
        <w:tc>
          <w:tcPr>
            <w:tcW w:type="dxa" w:w="1037"/>
          </w:tcPr>
          <w:p>
            <w:pPr>
              <w:spacing w:after="40" w:before="40"/>
            </w:pPr>
            <w:r/>
            <w:r>
              <w:rPr>
                <w:b w:val="0"/>
                <w:sz w:val="16"/>
              </w:rPr>
              <w:t>−0.1361</w:t>
            </w:r>
          </w:p>
        </w:tc>
        <w:tc>
          <w:tcPr>
            <w:tcW w:type="dxa" w:w="979"/>
          </w:tcPr>
          <w:p>
            <w:pPr>
              <w:spacing w:after="40" w:before="40"/>
            </w:pPr>
            <w:r/>
            <w:r>
              <w:rPr>
                <w:b/>
                <w:sz w:val="16"/>
              </w:rPr>
              <w:t>0.005</w:t>
            </w:r>
          </w:p>
        </w:tc>
        <w:tc>
          <w:tcPr>
            <w:tcW w:type="dxa" w:w="1354"/>
          </w:tcPr>
          <w:p>
            <w:pPr>
              <w:spacing w:after="40" w:before="40"/>
            </w:pPr>
            <w:r/>
            <w:r>
              <w:rPr>
                <w:b w:val="0"/>
                <w:sz w:val="16"/>
              </w:rPr>
              <w:t>all three</w:t>
            </w:r>
          </w:p>
        </w:tc>
      </w:tr>
      <w:tr>
        <w:tc>
          <w:tcPr>
            <w:tcW w:type="dxa" w:w="3528"/>
          </w:tcPr>
          <w:p>
            <w:pPr>
              <w:spacing w:after="40" w:before="40"/>
            </w:pPr>
            <w:r/>
            <w:r>
              <w:rPr>
                <w:b w:val="0"/>
                <w:sz w:val="16"/>
              </w:rPr>
              <w:t>Convex, validation-MAPE optimal (w_lstm = 0.944)</w:t>
            </w:r>
          </w:p>
        </w:tc>
        <w:tc>
          <w:tcPr>
            <w:tcW w:type="dxa" w:w="979"/>
          </w:tcPr>
          <w:p>
            <w:pPr>
              <w:spacing w:after="40" w:before="40"/>
            </w:pPr>
            <w:r/>
            <w:r>
              <w:rPr>
                <w:b w:val="0"/>
                <w:sz w:val="16"/>
              </w:rPr>
              <w:t>5.8666</w:t>
            </w:r>
          </w:p>
        </w:tc>
        <w:tc>
          <w:tcPr>
            <w:tcW w:type="dxa" w:w="979"/>
          </w:tcPr>
          <w:p>
            <w:pPr>
              <w:spacing w:after="40" w:before="40"/>
            </w:pPr>
            <w:r/>
            <w:r>
              <w:rPr>
                <w:b w:val="0"/>
                <w:sz w:val="16"/>
              </w:rPr>
              <w:t>2.3137</w:t>
            </w:r>
          </w:p>
        </w:tc>
        <w:tc>
          <w:tcPr>
            <w:tcW w:type="dxa" w:w="1080"/>
          </w:tcPr>
          <w:p>
            <w:pPr>
              <w:spacing w:after="40" w:before="40"/>
            </w:pPr>
            <w:r/>
            <w:r>
              <w:rPr>
                <w:b w:val="0"/>
                <w:sz w:val="16"/>
              </w:rPr>
              <w:t>70.61</w:t>
            </w:r>
          </w:p>
        </w:tc>
        <w:tc>
          <w:tcPr>
            <w:tcW w:type="dxa" w:w="1037"/>
          </w:tcPr>
          <w:p>
            <w:pPr>
              <w:spacing w:after="40" w:before="40"/>
            </w:pPr>
            <w:r/>
            <w:r>
              <w:rPr>
                <w:b w:val="0"/>
                <w:sz w:val="16"/>
              </w:rPr>
              <w:t>−0.1215</w:t>
            </w:r>
          </w:p>
        </w:tc>
        <w:tc>
          <w:tcPr>
            <w:tcW w:type="dxa" w:w="979"/>
          </w:tcPr>
          <w:p>
            <w:pPr>
              <w:spacing w:after="40" w:before="40"/>
            </w:pPr>
            <w:r/>
            <w:r>
              <w:rPr>
                <w:b/>
                <w:sz w:val="16"/>
              </w:rPr>
              <w:t>0.022</w:t>
            </w:r>
          </w:p>
        </w:tc>
        <w:tc>
          <w:tcPr>
            <w:tcW w:type="dxa" w:w="1354"/>
          </w:tcPr>
          <w:p>
            <w:pPr>
              <w:spacing w:after="40" w:before="40"/>
            </w:pPr>
            <w:r/>
            <w:r>
              <w:rPr>
                <w:b w:val="0"/>
                <w:sz w:val="16"/>
              </w:rPr>
              <w:t>all three</w:t>
            </w:r>
          </w:p>
        </w:tc>
      </w:tr>
    </w:tbl>
    <w:p>
      <w:pPr>
        <w:spacing w:after="40" w:before="0"/>
      </w:pPr>
    </w:p>
    <w:p>
      <w:pPr>
        <w:spacing w:after="140"/>
      </w:pPr>
      <w:r>
        <w:rPr>
          <w:b w:val="0"/>
          <w:sz w:val="21"/>
        </w:rPr>
        <w:t>Table 20 is worth reading carefully, because it contains a result that is easy to misuse. Two combiners beat the baseline on RMSE, MAE and MAPE at once. Adopting either would have produced a stronger headline table. Both achieve it by shrinking the forecast almost to a single number: a predictive spread of 0.005 inches is a constant with rounding noise. The inverse-RMSE weighting was retained and the metrics are reported as measured, because the alternative is selection along a metric frontier rather than added skill. Identifying that frontier explicitly, and declining to walk it, is itself a methodological result.</w:t>
      </w:r>
    </w:p>
    <w:p>
      <w:pPr>
        <w:spacing w:after="140"/>
      </w:pPr>
      <w:r>
        <w:rPr>
          <w:b w:val="0"/>
          <w:sz w:val="21"/>
        </w:rPr>
        <w:t xml:space="preserve">A supplementary analysis in runs/retuned/ sharpened the point further. Because one component's output has a standard deviation of 0.008 inches — effectively a constant — any blend with a weight below 1.0 is an increasing affine function of the other component, and every rank-based measure is invariant under an increasing transform. Sweeping the weight across its full range moved the ensemble's discrimination score by less than 0.001. </w:t>
      </w:r>
      <w:r>
        <w:rPr>
          <w:b/>
          <w:sz w:val="21"/>
        </w:rPr>
        <w:t>The weighting step is therefore a calibration choice about where the forecast level sits, and not a source of skill.</w:t>
      </w:r>
      <w:r>
        <w:rPr>
          <w:b w:val="0"/>
          <w:sz w:val="21"/>
        </w:rPr>
        <w:t xml:space="preserve"> That is a clean, provable statement about this class of ensemble, and it is the reason the recommendation below changes the combination rule rather than its weights.</w:t>
      </w:r>
    </w:p>
    <w:p>
      <w:pPr>
        <w:keepNext/>
        <w:spacing w:before="120" w:after="60"/>
        <w:jc w:val="center"/>
      </w:pPr>
      <w:r>
        <w:drawing>
          <wp:inline xmlns:a="http://schemas.openxmlformats.org/drawingml/2006/main" xmlns:pic="http://schemas.openxmlformats.org/drawingml/2006/picture">
            <wp:extent cx="5852160" cy="4680903"/>
            <wp:docPr id="22" name="Picture 22"/>
            <wp:cNvGraphicFramePr>
              <a:graphicFrameLocks noChangeAspect="1"/>
            </wp:cNvGraphicFramePr>
            <a:graphic>
              <a:graphicData uri="http://schemas.openxmlformats.org/drawingml/2006/picture">
                <pic:pic>
                  <pic:nvPicPr>
                    <pic:cNvPr id="0" name="fig22_architecture.png"/>
                    <pic:cNvPicPr/>
                  </pic:nvPicPr>
                  <pic:blipFill>
                    <a:blip r:embed="rId30"/>
                    <a:stretch>
                      <a:fillRect/>
                    </a:stretch>
                  </pic:blipFill>
                  <pic:spPr>
                    <a:xfrm>
                      <a:off x="0" y="0"/>
                      <a:ext cx="5852160" cy="4680903"/>
                    </a:xfrm>
                    <a:prstGeom prst="rect"/>
                  </pic:spPr>
                </pic:pic>
              </a:graphicData>
            </a:graphic>
          </wp:inline>
        </w:drawing>
      </w:r>
    </w:p>
    <w:p>
      <w:pPr>
        <w:spacing w:after="200"/>
        <w:jc w:val="center"/>
      </w:pPr>
      <w:r>
        <w:rPr>
          <w:i/>
          <w:color w:val="52514E"/>
          <w:sz w:val="18"/>
        </w:rPr>
        <w:t>Figure 22.  The parallel-and-weight design as built, above, against the recommended sequential residual chain, below. The difference is that the base forecast is added back rather than averaged in.</w:t>
      </w:r>
    </w:p>
    <w:p>
      <w:pPr>
        <w:spacing w:after="140"/>
      </w:pPr>
      <w:r>
        <w:rPr>
          <w:b w:val="0"/>
          <w:sz w:val="21"/>
        </w:rPr>
        <w:t>The recommended design follows directly, and is specified as four steps.</w:t>
      </w:r>
    </w:p>
    <w:p>
      <w:pPr>
        <w:pStyle w:val="ListNumber"/>
        <w:spacing w:after="60"/>
        <w:ind w:left="403"/>
      </w:pPr>
      <w:r>
        <w:rPr>
          <w:b w:val="0"/>
          <w:sz w:val="21"/>
        </w:rPr>
        <w:t>Train the LSTM on the entire cleaned series, all 11,323 days, rather than the 10,988-day slice the current length cap imposes.</w:t>
      </w:r>
    </w:p>
    <w:p>
      <w:pPr>
        <w:pStyle w:val="ListNumber"/>
        <w:spacing w:after="60"/>
        <w:ind w:left="403"/>
      </w:pPr>
      <w:r>
        <w:rPr>
          <w:b w:val="0"/>
          <w:sz w:val="21"/>
        </w:rPr>
        <w:t>Compute the LSTM residuals r = y − y-hat across the whole series.</w:t>
      </w:r>
    </w:p>
    <w:p>
      <w:pPr>
        <w:pStyle w:val="ListNumber"/>
        <w:spacing w:after="60"/>
        <w:ind w:left="403"/>
      </w:pPr>
      <w:r>
        <w:rPr>
          <w:b w:val="0"/>
          <w:sz w:val="21"/>
        </w:rPr>
        <w:t>Train XGBoost to predict r, with its own chronological train/test split.</w:t>
      </w:r>
    </w:p>
    <w:p>
      <w:pPr>
        <w:pStyle w:val="ListNumber"/>
        <w:spacing w:after="60"/>
        <w:ind w:left="403"/>
      </w:pPr>
      <w:r>
        <w:rPr>
          <w:b w:val="0"/>
          <w:sz w:val="21"/>
        </w:rPr>
        <w:t>Form the final forecast as y-hat + r-hat. No ensemble weights, no stacking regressor, no meta-learner.</w:t>
      </w:r>
    </w:p>
    <w:p>
      <w:pPr>
        <w:keepNext/>
        <w:spacing w:after="80"/>
      </w:pPr>
      <w:r>
        <w:rPr>
          <w:i/>
          <w:color w:val="52514E"/>
          <w:sz w:val="18"/>
        </w:rPr>
        <w:t>Table 21.  Why the residual chain addresses the specific constraints identified in Sections 4, 7 and 12.</w:t>
      </w:r>
    </w:p>
    <w:tbl>
      <w:tblPr>
        <w:tblStyle w:val="TableGrid"/>
        <w:tblW w:type="auto" w:w="0"/>
        <w:jc w:val="center"/>
        <w:tblLook w:firstColumn="1" w:firstRow="1" w:lastColumn="0" w:lastRow="0" w:noHBand="0" w:noVBand="1" w:val="04A0"/>
      </w:tblPr>
      <w:tblGrid>
        <w:gridCol w:w="3216"/>
        <w:gridCol w:w="3216"/>
        <w:gridCol w:w="3216"/>
      </w:tblGrid>
      <w:tr>
        <w:tc>
          <w:tcPr>
            <w:tcW w:type="dxa" w:w="1944"/>
            <w:shd w:val="clear" w:fill="E8EEF7"/>
          </w:tcPr>
          <w:p>
            <w:pPr>
              <w:spacing w:after="40" w:before="40"/>
            </w:pPr>
            <w:r/>
            <w:r>
              <w:rPr>
                <w:b/>
                <w:sz w:val="17"/>
              </w:rPr>
              <w:t>Property</w:t>
            </w:r>
          </w:p>
        </w:tc>
        <w:tc>
          <w:tcPr>
            <w:tcW w:type="dxa" w:w="3888"/>
            <w:shd w:val="clear" w:fill="E8EEF7"/>
          </w:tcPr>
          <w:p>
            <w:pPr>
              <w:spacing w:after="40" w:before="40"/>
            </w:pPr>
            <w:r/>
            <w:r>
              <w:rPr>
                <w:b/>
                <w:sz w:val="17"/>
              </w:rPr>
              <w:t>Parallel design as built</w:t>
            </w:r>
          </w:p>
        </w:tc>
        <w:tc>
          <w:tcPr>
            <w:tcW w:type="dxa" w:w="3816"/>
            <w:shd w:val="clear" w:fill="E8EEF7"/>
          </w:tcPr>
          <w:p>
            <w:pPr>
              <w:spacing w:after="40" w:before="40"/>
            </w:pPr>
            <w:r/>
            <w:r>
              <w:rPr>
                <w:b/>
                <w:sz w:val="17"/>
              </w:rPr>
              <w:t>Sequential residual chain</w:t>
            </w:r>
          </w:p>
        </w:tc>
      </w:tr>
      <w:tr>
        <w:tc>
          <w:tcPr>
            <w:tcW w:type="dxa" w:w="1944"/>
          </w:tcPr>
          <w:p>
            <w:pPr>
              <w:spacing w:after="40" w:before="40"/>
            </w:pPr>
            <w:r/>
            <w:r>
              <w:rPr>
                <w:b w:val="0"/>
                <w:sz w:val="17"/>
              </w:rPr>
              <w:t>What XGBoost regresses</w:t>
            </w:r>
          </w:p>
        </w:tc>
        <w:tc>
          <w:tcPr>
            <w:tcW w:type="dxa" w:w="3888"/>
          </w:tcPr>
          <w:p>
            <w:pPr>
              <w:spacing w:after="40" w:before="40"/>
            </w:pPr>
            <w:r/>
            <w:r>
              <w:rPr>
                <w:b w:val="0"/>
                <w:sz w:val="17"/>
              </w:rPr>
              <w:t>The ceiling-compressed Box-Cox precipitation target described in Section 4</w:t>
            </w:r>
          </w:p>
        </w:tc>
        <w:tc>
          <w:tcPr>
            <w:tcW w:type="dxa" w:w="3816"/>
          </w:tcPr>
          <w:p>
            <w:pPr>
              <w:spacing w:after="40" w:before="40"/>
            </w:pPr>
            <w:r/>
            <w:r>
              <w:rPr>
                <w:b w:val="0"/>
                <w:sz w:val="17"/>
              </w:rPr>
              <w:t>A residual centred on zero, so the loss is no longer dominated by the transform geometry</w:t>
            </w:r>
          </w:p>
        </w:tc>
      </w:tr>
      <w:tr>
        <w:tc>
          <w:tcPr>
            <w:tcW w:type="dxa" w:w="1944"/>
          </w:tcPr>
          <w:p>
            <w:pPr>
              <w:spacing w:after="40" w:before="40"/>
            </w:pPr>
            <w:r/>
            <w:r>
              <w:rPr>
                <w:b w:val="0"/>
                <w:sz w:val="17"/>
              </w:rPr>
              <w:t>Assumption the combiner makes</w:t>
            </w:r>
          </w:p>
        </w:tc>
        <w:tc>
          <w:tcPr>
            <w:tcW w:type="dxa" w:w="3888"/>
          </w:tcPr>
          <w:p>
            <w:pPr>
              <w:spacing w:after="40" w:before="40"/>
            </w:pPr>
            <w:r/>
            <w:r>
              <w:rPr>
                <w:b w:val="0"/>
                <w:sz w:val="17"/>
              </w:rPr>
              <w:t>That both components are approximately unbiased — not satisfied here, since one component's bias is −2.195 in</w:t>
            </w:r>
          </w:p>
        </w:tc>
        <w:tc>
          <w:tcPr>
            <w:tcW w:type="dxa" w:w="3816"/>
          </w:tcPr>
          <w:p>
            <w:pPr>
              <w:spacing w:after="40" w:before="40"/>
            </w:pPr>
            <w:r/>
            <w:r>
              <w:rPr>
                <w:b w:val="0"/>
                <w:sz w:val="17"/>
              </w:rPr>
              <w:t>None. The forecast is a sum, not a weighted average, so no unbiasedness assumption is needed</w:t>
            </w:r>
          </w:p>
        </w:tc>
      </w:tr>
      <w:tr>
        <w:tc>
          <w:tcPr>
            <w:tcW w:type="dxa" w:w="1944"/>
          </w:tcPr>
          <w:p>
            <w:pPr>
              <w:spacing w:after="40" w:before="40"/>
            </w:pPr>
            <w:r/>
            <w:r>
              <w:rPr>
                <w:b w:val="0"/>
                <w:sz w:val="17"/>
              </w:rPr>
              <w:t>Achievable output range</w:t>
            </w:r>
          </w:p>
        </w:tc>
        <w:tc>
          <w:tcPr>
            <w:tcW w:type="dxa" w:w="3888"/>
          </w:tcPr>
          <w:p>
            <w:pPr>
              <w:spacing w:after="40" w:before="40"/>
            </w:pPr>
            <w:r/>
            <w:r>
              <w:rPr>
                <w:b w:val="0"/>
                <w:sz w:val="17"/>
              </w:rPr>
              <w:t>Bounded between the two component outputs, hence the 0.67 to 2.28 in band in Figure 14</w:t>
            </w:r>
          </w:p>
        </w:tc>
        <w:tc>
          <w:tcPr>
            <w:tcW w:type="dxa" w:w="3816"/>
          </w:tcPr>
          <w:p>
            <w:pPr>
              <w:spacing w:after="40" w:before="40"/>
            </w:pPr>
            <w:r/>
            <w:r>
              <w:rPr>
                <w:b w:val="0"/>
                <w:sz w:val="17"/>
              </w:rPr>
              <w:t>Unbounded above the base forecast, since the correction is added rather than blended</w:t>
            </w:r>
          </w:p>
        </w:tc>
      </w:tr>
      <w:tr>
        <w:tc>
          <w:tcPr>
            <w:tcW w:type="dxa" w:w="1944"/>
          </w:tcPr>
          <w:p>
            <w:pPr>
              <w:spacing w:after="40" w:before="40"/>
            </w:pPr>
            <w:r/>
            <w:r>
              <w:rPr>
                <w:b w:val="0"/>
                <w:sz w:val="17"/>
              </w:rPr>
              <w:t>Use of complementarity</w:t>
            </w:r>
          </w:p>
        </w:tc>
        <w:tc>
          <w:tcPr>
            <w:tcW w:type="dxa" w:w="3888"/>
          </w:tcPr>
          <w:p>
            <w:pPr>
              <w:spacing w:after="40" w:before="40"/>
            </w:pPr>
            <w:r/>
            <w:r>
              <w:rPr>
                <w:b w:val="0"/>
                <w:sz w:val="17"/>
              </w:rPr>
              <w:t>Constrained: the blend sits between its components in every regime (Table 13)</w:t>
            </w:r>
          </w:p>
        </w:tc>
        <w:tc>
          <w:tcPr>
            <w:tcW w:type="dxa" w:w="3816"/>
          </w:tcPr>
          <w:p>
            <w:pPr>
              <w:spacing w:after="40" w:before="40"/>
            </w:pPr>
            <w:r/>
            <w:r>
              <w:rPr>
                <w:b w:val="0"/>
                <w:sz w:val="17"/>
              </w:rPr>
              <w:t>Direct: the correction is free to act differently in different regimes</w:t>
            </w:r>
          </w:p>
        </w:tc>
      </w:tr>
      <w:tr>
        <w:tc>
          <w:tcPr>
            <w:tcW w:type="dxa" w:w="1944"/>
          </w:tcPr>
          <w:p>
            <w:pPr>
              <w:spacing w:after="40" w:before="40"/>
            </w:pPr>
            <w:r/>
            <w:r>
              <w:rPr>
                <w:b w:val="0"/>
                <w:sz w:val="17"/>
              </w:rPr>
              <w:t>Precedent</w:t>
            </w:r>
          </w:p>
        </w:tc>
        <w:tc>
          <w:tcPr>
            <w:tcW w:type="dxa" w:w="3888"/>
          </w:tcPr>
          <w:p>
            <w:pPr>
              <w:spacing w:after="40" w:before="40"/>
            </w:pPr>
            <w:r/>
            <w:r>
              <w:rPr>
                <w:b w:val="0"/>
                <w:sz w:val="17"/>
              </w:rPr>
              <w:t>A bespoke weighting scheme that must be justified on its own terms</w:t>
            </w:r>
          </w:p>
        </w:tc>
        <w:tc>
          <w:tcPr>
            <w:tcW w:type="dxa" w:w="3816"/>
          </w:tcPr>
          <w:p>
            <w:pPr>
              <w:spacing w:after="40" w:before="40"/>
            </w:pPr>
            <w:r/>
            <w:r>
              <w:rPr>
                <w:b w:val="0"/>
                <w:sz w:val="17"/>
              </w:rPr>
              <w:t>A boosted correction of a base learner is a standard, well-understood hybrid; an exploratory sketch already exists at archive/LSTM_XGB(residuals).ipynb</w:t>
            </w:r>
          </w:p>
        </w:tc>
      </w:tr>
    </w:tbl>
    <w:p>
      <w:pPr>
        <w:spacing w:after="40" w:before="0"/>
      </w:pPr>
    </w:p>
    <w:p>
      <w:pPr>
        <w:spacing w:after="140"/>
      </w:pPr>
      <w:r>
        <w:rPr>
          <w:b w:val="0"/>
          <w:sz w:val="21"/>
        </w:rPr>
        <w:t>One caveat belongs with the recommendation rather than after it. Section 6 still applies: with a measured ceiling of 0.0370 inches of available margin, residual training should improve MAE and MAPE and remove the downward-shrink artefact, but it will not on its own lift R² to the 0.85 level named in the methodology's indicative success profile. Closing that gap requires exogenous predictors beyond this study's univariate scope. The claim made here is precise and, on the evidence above, well supported: sequential residual training is the correct architecture for combining these two model families on this class of target, and the study has established why.</w:t>
      </w:r>
    </w:p>
    <w:p>
      <w:pPr>
        <w:pStyle w:val="Heading1"/>
      </w:pPr>
      <w:r>
        <w:t>14.  Summary of findings</w:t>
      </w:r>
    </w:p>
    <w:p>
      <w:pPr>
        <w:spacing w:after="140"/>
      </w:pPr>
      <w:r>
        <w:rPr>
          <w:b w:val="0"/>
          <w:sz w:val="21"/>
        </w:rPr>
        <w:t>Table 22 collects what the study established, the evidence behind each item, and where it appears.</w:t>
      </w:r>
    </w:p>
    <w:p>
      <w:pPr>
        <w:keepNext/>
        <w:spacing w:after="80"/>
      </w:pPr>
      <w:r>
        <w:rPr>
          <w:i/>
          <w:color w:val="52514E"/>
          <w:sz w:val="18"/>
        </w:rPr>
        <w:t>Table 22.  Summary of findings, the evidence behind each, and where it appears in this chapter.</w:t>
      </w:r>
    </w:p>
    <w:tbl>
      <w:tblPr>
        <w:tblStyle w:val="TableGrid"/>
        <w:tblW w:type="auto" w:w="0"/>
        <w:jc w:val="center"/>
        <w:tblLook w:firstColumn="1" w:firstRow="1" w:lastColumn="0" w:lastRow="0" w:noHBand="0" w:noVBand="1" w:val="04A0"/>
      </w:tblPr>
      <w:tblGrid>
        <w:gridCol w:w="3216"/>
        <w:gridCol w:w="3216"/>
        <w:gridCol w:w="3216"/>
      </w:tblGrid>
      <w:tr>
        <w:tc>
          <w:tcPr>
            <w:tcW w:type="dxa" w:w="4104"/>
            <w:shd w:val="clear" w:fill="E8EEF7"/>
          </w:tcPr>
          <w:p>
            <w:pPr>
              <w:spacing w:after="40" w:before="40"/>
            </w:pPr>
            <w:r/>
            <w:r>
              <w:rPr>
                <w:b/>
                <w:sz w:val="16"/>
              </w:rPr>
              <w:t>Finding</w:t>
            </w:r>
          </w:p>
        </w:tc>
        <w:tc>
          <w:tcPr>
            <w:tcW w:type="dxa" w:w="3744"/>
            <w:shd w:val="clear" w:fill="E8EEF7"/>
          </w:tcPr>
          <w:p>
            <w:pPr>
              <w:spacing w:after="40" w:before="40"/>
            </w:pPr>
            <w:r/>
            <w:r>
              <w:rPr>
                <w:b/>
                <w:sz w:val="16"/>
              </w:rPr>
              <w:t>Evidence</w:t>
            </w:r>
          </w:p>
        </w:tc>
        <w:tc>
          <w:tcPr>
            <w:tcW w:type="dxa" w:w="1800"/>
            <w:shd w:val="clear" w:fill="E8EEF7"/>
          </w:tcPr>
          <w:p>
            <w:pPr>
              <w:spacing w:after="40" w:before="40"/>
            </w:pPr>
            <w:r/>
            <w:r>
              <w:rPr>
                <w:b/>
                <w:sz w:val="16"/>
              </w:rPr>
              <w:t>Where</w:t>
            </w:r>
          </w:p>
        </w:tc>
      </w:tr>
      <w:tr>
        <w:tc>
          <w:tcPr>
            <w:tcW w:type="dxa" w:w="4104"/>
          </w:tcPr>
          <w:p>
            <w:pPr>
              <w:spacing w:after="40" w:before="40"/>
            </w:pPr>
            <w:r/>
            <w:r>
              <w:rPr>
                <w:b w:val="0"/>
                <w:sz w:val="16"/>
              </w:rPr>
              <w:t>All five specific objectives are addressed. On the one numeric target, XGBoost achieves a 10.5% RMSE reduction against the 6.181-inch baseline, exceeding the 10% requirement, and the ensemble reaches 8.7%.</w:t>
            </w:r>
          </w:p>
        </w:tc>
        <w:tc>
          <w:tcPr>
            <w:tcW w:type="dxa" w:w="3744"/>
          </w:tcPr>
          <w:p>
            <w:pPr>
              <w:spacing w:after="40" w:before="40"/>
            </w:pPr>
            <w:r/>
            <w:r>
              <w:rPr>
                <w:b w:val="0"/>
                <w:sz w:val="16"/>
              </w:rPr>
              <w:t>One-day-ahead metrics on 1,860 scored days</w:t>
            </w:r>
          </w:p>
        </w:tc>
        <w:tc>
          <w:tcPr>
            <w:tcW w:type="dxa" w:w="1800"/>
          </w:tcPr>
          <w:p>
            <w:pPr>
              <w:spacing w:after="40" w:before="40"/>
            </w:pPr>
            <w:r/>
            <w:r>
              <w:rPr>
                <w:b w:val="0"/>
                <w:sz w:val="16"/>
              </w:rPr>
              <w:t>Tables 1 and 2, Figures 1 to 3</w:t>
            </w:r>
          </w:p>
        </w:tc>
      </w:tr>
      <w:tr>
        <w:tc>
          <w:tcPr>
            <w:tcW w:type="dxa" w:w="4104"/>
          </w:tcPr>
          <w:p>
            <w:pPr>
              <w:spacing w:after="40" w:before="40"/>
            </w:pPr>
            <w:r/>
            <w:r>
              <w:rPr>
                <w:b w:val="0"/>
                <w:sz w:val="16"/>
              </w:rPr>
              <w:t>Next-day univariate predictability at this station has a measurable ceiling: the entire margin available to any one-lag model is 0.0370 in, of which XGBoost captures 28.6%.</w:t>
            </w:r>
          </w:p>
        </w:tc>
        <w:tc>
          <w:tcPr>
            <w:tcW w:type="dxa" w:w="3744"/>
          </w:tcPr>
          <w:p>
            <w:pPr>
              <w:spacing w:after="40" w:before="40"/>
            </w:pPr>
            <w:r/>
            <w:r>
              <w:rPr>
                <w:b w:val="0"/>
                <w:sz w:val="16"/>
              </w:rPr>
              <w:t>Lag-1 autocorrelation 0.1154 on train, against a target standard deviation of 5.5397 in</w:t>
            </w:r>
          </w:p>
        </w:tc>
        <w:tc>
          <w:tcPr>
            <w:tcW w:type="dxa" w:w="1800"/>
          </w:tcPr>
          <w:p>
            <w:pPr>
              <w:spacing w:after="40" w:before="40"/>
            </w:pPr>
            <w:r/>
            <w:r>
              <w:rPr>
                <w:b w:val="0"/>
                <w:sz w:val="16"/>
              </w:rPr>
              <w:t>Table 8, Figure 10</w:t>
            </w:r>
          </w:p>
        </w:tc>
      </w:tr>
      <w:tr>
        <w:tc>
          <w:tcPr>
            <w:tcW w:type="dxa" w:w="4104"/>
          </w:tcPr>
          <w:p>
            <w:pPr>
              <w:spacing w:after="40" w:before="40"/>
            </w:pPr>
            <w:r/>
            <w:r>
              <w:rPr>
                <w:b w:val="0"/>
                <w:sz w:val="16"/>
              </w:rPr>
              <w:t>That ceiling is a property of the series, not of the feature set: richer features, alternative objectives and a seasonal climatology all remain near R² = 0.</w:t>
            </w:r>
          </w:p>
        </w:tc>
        <w:tc>
          <w:tcPr>
            <w:tcW w:type="dxa" w:w="3744"/>
          </w:tcPr>
          <w:p>
            <w:pPr>
              <w:spacing w:after="40" w:before="40"/>
            </w:pPr>
            <w:r/>
            <w:r>
              <w:rPr>
                <w:b w:val="0"/>
                <w:sz w:val="16"/>
              </w:rPr>
              <w:t>Six-variant predictability sweep</w:t>
            </w:r>
          </w:p>
        </w:tc>
        <w:tc>
          <w:tcPr>
            <w:tcW w:type="dxa" w:w="1800"/>
          </w:tcPr>
          <w:p>
            <w:pPr>
              <w:spacing w:after="40" w:before="40"/>
            </w:pPr>
            <w:r/>
            <w:r>
              <w:rPr>
                <w:b w:val="0"/>
                <w:sz w:val="16"/>
              </w:rPr>
              <w:t>Table 9, Figure 11</w:t>
            </w:r>
          </w:p>
        </w:tc>
      </w:tr>
      <w:tr>
        <w:tc>
          <w:tcPr>
            <w:tcW w:type="dxa" w:w="4104"/>
          </w:tcPr>
          <w:p>
            <w:pPr>
              <w:spacing w:after="40" w:before="40"/>
            </w:pPr>
            <w:r/>
            <w:r>
              <w:rPr>
                <w:b w:val="0"/>
                <w:sz w:val="16"/>
              </w:rPr>
              <w:t>The forecast carries real ordering skill that the error metrics cannot express, and that skill strengthens as events get more severe.</w:t>
            </w:r>
          </w:p>
        </w:tc>
        <w:tc>
          <w:tcPr>
            <w:tcW w:type="dxa" w:w="3744"/>
          </w:tcPr>
          <w:p>
            <w:pPr>
              <w:spacing w:after="40" w:before="40"/>
            </w:pPr>
            <w:r/>
            <w:r>
              <w:rPr>
                <w:b w:val="0"/>
                <w:sz w:val="16"/>
              </w:rPr>
              <w:t>ROC AUC rises from 0.5539 to 0.5767 across thresholds and overtakes persistence above 2 in</w:t>
            </w:r>
          </w:p>
        </w:tc>
        <w:tc>
          <w:tcPr>
            <w:tcW w:type="dxa" w:w="1800"/>
          </w:tcPr>
          <w:p>
            <w:pPr>
              <w:spacing w:after="40" w:before="40"/>
            </w:pPr>
            <w:r/>
            <w:r>
              <w:rPr>
                <w:b w:val="0"/>
                <w:sz w:val="16"/>
              </w:rPr>
              <w:t>Table 14</w:t>
            </w:r>
          </w:p>
        </w:tc>
      </w:tr>
      <w:tr>
        <w:tc>
          <w:tcPr>
            <w:tcW w:type="dxa" w:w="4104"/>
          </w:tcPr>
          <w:p>
            <w:pPr>
              <w:spacing w:after="40" w:before="40"/>
            </w:pPr>
            <w:r/>
            <w:r>
              <w:rPr>
                <w:b w:val="0"/>
                <w:sz w:val="16"/>
              </w:rPr>
              <w:t>Against reference forecasts, XGBoost reduces mean squared error by 45.4% versus persistence and 11.5% versus the window average.</w:t>
            </w:r>
          </w:p>
        </w:tc>
        <w:tc>
          <w:tcPr>
            <w:tcW w:type="dxa" w:w="3744"/>
          </w:tcPr>
          <w:p>
            <w:pPr>
              <w:spacing w:after="40" w:before="40"/>
            </w:pPr>
            <w:r/>
            <w:r>
              <w:rPr>
                <w:b w:val="0"/>
                <w:sz w:val="16"/>
              </w:rPr>
              <w:t>Skill scores against four reference forecasts, two of them taken from the baseline implementation</w:t>
            </w:r>
          </w:p>
        </w:tc>
        <w:tc>
          <w:tcPr>
            <w:tcW w:type="dxa" w:w="1800"/>
          </w:tcPr>
          <w:p>
            <w:pPr>
              <w:spacing w:after="40" w:before="40"/>
            </w:pPr>
            <w:r/>
            <w:r>
              <w:rPr>
                <w:b w:val="0"/>
                <w:sz w:val="16"/>
              </w:rPr>
              <w:t>Table 15</w:t>
            </w:r>
          </w:p>
        </w:tc>
      </w:tr>
      <w:tr>
        <w:tc>
          <w:tcPr>
            <w:tcW w:type="dxa" w:w="4104"/>
          </w:tcPr>
          <w:p>
            <w:pPr>
              <w:spacing w:after="40" w:before="40"/>
            </w:pPr>
            <w:r/>
            <w:r>
              <w:rPr>
                <w:b w:val="0"/>
                <w:sz w:val="16"/>
              </w:rPr>
              <w:t>The two components are genuinely complementary: the LSTM owns dry and moderate days, XGBoost owns heavy days, by wide margins in both directions.</w:t>
            </w:r>
          </w:p>
        </w:tc>
        <w:tc>
          <w:tcPr>
            <w:tcW w:type="dxa" w:w="3744"/>
          </w:tcPr>
          <w:p>
            <w:pPr>
              <w:spacing w:after="40" w:before="40"/>
            </w:pPr>
            <w:r/>
            <w:r>
              <w:rPr>
                <w:b w:val="0"/>
                <w:sz w:val="16"/>
              </w:rPr>
              <w:t>Error split by rain-intensity bucket</w:t>
            </w:r>
          </w:p>
        </w:tc>
        <w:tc>
          <w:tcPr>
            <w:tcW w:type="dxa" w:w="1800"/>
          </w:tcPr>
          <w:p>
            <w:pPr>
              <w:spacing w:after="40" w:before="40"/>
            </w:pPr>
            <w:r/>
            <w:r>
              <w:rPr>
                <w:b w:val="0"/>
                <w:sz w:val="16"/>
              </w:rPr>
              <w:t>Table 13, Figure 18</w:t>
            </w:r>
          </w:p>
        </w:tc>
      </w:tr>
      <w:tr>
        <w:tc>
          <w:tcPr>
            <w:tcW w:type="dxa" w:w="4104"/>
          </w:tcPr>
          <w:p>
            <w:pPr>
              <w:spacing w:after="40" w:before="40"/>
            </w:pPr>
            <w:r/>
            <w:r>
              <w:rPr>
                <w:b w:val="0"/>
                <w:sz w:val="16"/>
              </w:rPr>
              <w:t>The models converge to the conditional mean rather than overfitting, so the generalisation gap is closed and further regularisation would not help.</w:t>
            </w:r>
          </w:p>
        </w:tc>
        <w:tc>
          <w:tcPr>
            <w:tcW w:type="dxa" w:w="3744"/>
          </w:tcPr>
          <w:p>
            <w:pPr>
              <w:spacing w:after="40" w:before="40"/>
            </w:pPr>
            <w:r/>
            <w:r>
              <w:rPr>
                <w:b w:val="0"/>
                <w:sz w:val="16"/>
              </w:rPr>
              <w:t>Train-to-test RMSE gap of +0.39 in with R² near zero on all three splits</w:t>
            </w:r>
          </w:p>
        </w:tc>
        <w:tc>
          <w:tcPr>
            <w:tcW w:type="dxa" w:w="1800"/>
          </w:tcPr>
          <w:p>
            <w:pPr>
              <w:spacing w:after="40" w:before="40"/>
            </w:pPr>
            <w:r/>
            <w:r>
              <w:rPr>
                <w:b w:val="0"/>
                <w:sz w:val="16"/>
              </w:rPr>
              <w:t>Tables 5 and 6, Figures 8 and 9</w:t>
            </w:r>
          </w:p>
        </w:tc>
      </w:tr>
      <w:tr>
        <w:tc>
          <w:tcPr>
            <w:tcW w:type="dxa" w:w="4104"/>
          </w:tcPr>
          <w:p>
            <w:pPr>
              <w:spacing w:after="40" w:before="40"/>
            </w:pPr>
            <w:r/>
            <w:r>
              <w:rPr>
                <w:b w:val="0"/>
                <w:sz w:val="16"/>
              </w:rPr>
              <w:t>The under-prediction is produced by four mechanisms in sequence, ending in a convex average that cannot correct a biased component.</w:t>
            </w:r>
          </w:p>
        </w:tc>
        <w:tc>
          <w:tcPr>
            <w:tcW w:type="dxa" w:w="3744"/>
          </w:tcPr>
          <w:p>
            <w:pPr>
              <w:spacing w:after="40" w:before="40"/>
            </w:pPr>
            <w:r/>
            <w:r>
              <w:rPr>
                <w:b w:val="0"/>
                <w:sz w:val="16"/>
              </w:rPr>
              <w:t>0.483 × 0.067 + 0.517 × 2.168 = 1.154 in, against an observed test mean of 2.261 in</w:t>
            </w:r>
          </w:p>
        </w:tc>
        <w:tc>
          <w:tcPr>
            <w:tcW w:type="dxa" w:w="1800"/>
          </w:tcPr>
          <w:p>
            <w:pPr>
              <w:spacing w:after="40" w:before="40"/>
            </w:pPr>
            <w:r/>
            <w:r>
              <w:rPr>
                <w:b w:val="0"/>
                <w:sz w:val="16"/>
              </w:rPr>
              <w:t>Table 10, Figures 12 to 14</w:t>
            </w:r>
          </w:p>
        </w:tc>
      </w:tr>
      <w:tr>
        <w:tc>
          <w:tcPr>
            <w:tcW w:type="dxa" w:w="4104"/>
          </w:tcPr>
          <w:p>
            <w:pPr>
              <w:spacing w:after="40" w:before="40"/>
            </w:pPr>
            <w:r/>
            <w:r>
              <w:rPr>
                <w:b w:val="0"/>
                <w:sz w:val="16"/>
              </w:rPr>
              <w:t>The ensemble weighting step is a calibration choice, not a source of skill: sweeping the weight moves discrimination by less than 0.001.</w:t>
            </w:r>
          </w:p>
        </w:tc>
        <w:tc>
          <w:tcPr>
            <w:tcW w:type="dxa" w:w="3744"/>
          </w:tcPr>
          <w:p>
            <w:pPr>
              <w:spacing w:after="40" w:before="40"/>
            </w:pPr>
            <w:r/>
            <w:r>
              <w:rPr>
                <w:b w:val="0"/>
                <w:sz w:val="16"/>
              </w:rPr>
              <w:t>Rank-based measures are invariant under the increasing affine transform a convex blend applies</w:t>
            </w:r>
          </w:p>
        </w:tc>
        <w:tc>
          <w:tcPr>
            <w:tcW w:type="dxa" w:w="1800"/>
          </w:tcPr>
          <w:p>
            <w:pPr>
              <w:spacing w:after="40" w:before="40"/>
            </w:pPr>
            <w:r/>
            <w:r>
              <w:rPr>
                <w:b w:val="0"/>
                <w:sz w:val="16"/>
              </w:rPr>
              <w:t>Table 20</w:t>
            </w:r>
          </w:p>
        </w:tc>
      </w:tr>
      <w:tr>
        <w:tc>
          <w:tcPr>
            <w:tcW w:type="dxa" w:w="4104"/>
          </w:tcPr>
          <w:p>
            <w:pPr>
              <w:spacing w:after="40" w:before="40"/>
            </w:pPr>
            <w:r/>
            <w:r>
              <w:rPr>
                <w:b w:val="0"/>
                <w:sz w:val="16"/>
              </w:rPr>
              <w:t>The behaviour is systematic rather than an artefact of chosen examples, and upload length has no effect on the forecast.</w:t>
            </w:r>
          </w:p>
        </w:tc>
        <w:tc>
          <w:tcPr>
            <w:tcW w:type="dxa" w:w="3744"/>
          </w:tcPr>
          <w:p>
            <w:pPr>
              <w:spacing w:after="40" w:before="40"/>
            </w:pPr>
            <w:r/>
            <w:r>
              <w:rPr>
                <w:b w:val="0"/>
                <w:sz w:val="16"/>
              </w:rPr>
              <w:t>All 1,860 possible test-period windows simulated through the deployed inference path</w:t>
            </w:r>
          </w:p>
        </w:tc>
        <w:tc>
          <w:tcPr>
            <w:tcW w:type="dxa" w:w="1800"/>
          </w:tcPr>
          <w:p>
            <w:pPr>
              <w:spacing w:after="40" w:before="40"/>
            </w:pPr>
            <w:r/>
            <w:r>
              <w:rPr>
                <w:b w:val="0"/>
                <w:sz w:val="16"/>
              </w:rPr>
              <w:t>Tables 10 and 11, Figures 15 to 17</w:t>
            </w:r>
          </w:p>
        </w:tc>
      </w:tr>
      <w:tr>
        <w:tc>
          <w:tcPr>
            <w:tcW w:type="dxa" w:w="4104"/>
          </w:tcPr>
          <w:p>
            <w:pPr>
              <w:spacing w:after="40" w:before="40"/>
            </w:pPr>
            <w:r/>
            <w:r>
              <w:rPr>
                <w:b w:val="0"/>
                <w:sz w:val="16"/>
              </w:rPr>
              <w:t>The XGBoost configuration is supported by two independent searches using two different selection criteria.</w:t>
            </w:r>
          </w:p>
        </w:tc>
        <w:tc>
          <w:tcPr>
            <w:tcW w:type="dxa" w:w="3744"/>
          </w:tcPr>
          <w:p>
            <w:pPr>
              <w:spacing w:after="40" w:before="40"/>
            </w:pPr>
            <w:r/>
            <w:r>
              <w:rPr>
                <w:b w:val="0"/>
                <w:sz w:val="16"/>
              </w:rPr>
              <w:t>Thirteen-variant sweep on validation RMSE, plus fifteen further variants selected on event discrimination</w:t>
            </w:r>
          </w:p>
        </w:tc>
        <w:tc>
          <w:tcPr>
            <w:tcW w:type="dxa" w:w="1800"/>
          </w:tcPr>
          <w:p>
            <w:pPr>
              <w:spacing w:after="40" w:before="40"/>
            </w:pPr>
            <w:r/>
            <w:r>
              <w:rPr>
                <w:b w:val="0"/>
                <w:sz w:val="16"/>
              </w:rPr>
              <w:t>Tables 15 and 16, Figure 19</w:t>
            </w:r>
          </w:p>
        </w:tc>
      </w:tr>
      <w:tr>
        <w:tc>
          <w:tcPr>
            <w:tcW w:type="dxa" w:w="4104"/>
          </w:tcPr>
          <w:p>
            <w:pPr>
              <w:spacing w:after="40" w:before="40"/>
            </w:pPr>
            <w:r/>
            <w:r>
              <w:rPr>
                <w:b w:val="0"/>
                <w:sz w:val="16"/>
              </w:rPr>
              <w:t>A seven-day recursive horizon runs without modification and beats persistence at every lead day, but the horizon itself is the binding constraint.</w:t>
            </w:r>
          </w:p>
        </w:tc>
        <w:tc>
          <w:tcPr>
            <w:tcW w:type="dxa" w:w="3744"/>
          </w:tcPr>
          <w:p>
            <w:pPr>
              <w:spacing w:after="40" w:before="40"/>
            </w:pPr>
            <w:r/>
            <w:r>
              <w:rPr>
                <w:b w:val="0"/>
                <w:sz w:val="16"/>
              </w:rPr>
              <w:t>1,854 anchors rolled forward; RMSE moves 0.3% while predictive spread falls from 0.193 to 0.133 in</w:t>
            </w:r>
          </w:p>
        </w:tc>
        <w:tc>
          <w:tcPr>
            <w:tcW w:type="dxa" w:w="1800"/>
          </w:tcPr>
          <w:p>
            <w:pPr>
              <w:spacing w:after="40" w:before="40"/>
            </w:pPr>
            <w:r/>
            <w:r>
              <w:rPr>
                <w:b w:val="0"/>
                <w:sz w:val="16"/>
              </w:rPr>
              <w:t>Table 18, Figure 20</w:t>
            </w:r>
          </w:p>
        </w:tc>
      </w:tr>
      <w:tr>
        <w:tc>
          <w:tcPr>
            <w:tcW w:type="dxa" w:w="4104"/>
          </w:tcPr>
          <w:p>
            <w:pPr>
              <w:spacing w:after="40" w:before="40"/>
            </w:pPr>
            <w:r/>
            <w:r>
              <w:rPr>
                <w:b w:val="0"/>
                <w:sz w:val="16"/>
              </w:rPr>
              <w:t>Including the LSTM is justified on no-rain and moderate days, which are 1,260 of the 1,860 scored days, and not on heavy days.</w:t>
            </w:r>
          </w:p>
        </w:tc>
        <w:tc>
          <w:tcPr>
            <w:tcW w:type="dxa" w:w="3744"/>
          </w:tcPr>
          <w:p>
            <w:pPr>
              <w:spacing w:after="40" w:before="40"/>
            </w:pPr>
            <w:r/>
            <w:r>
              <w:rPr>
                <w:b w:val="0"/>
                <w:sz w:val="16"/>
              </w:rPr>
              <w:t>Cost and benefit measured against XGBoost alone</w:t>
            </w:r>
          </w:p>
        </w:tc>
        <w:tc>
          <w:tcPr>
            <w:tcW w:type="dxa" w:w="1800"/>
          </w:tcPr>
          <w:p>
            <w:pPr>
              <w:spacing w:after="40" w:before="40"/>
            </w:pPr>
            <w:r/>
            <w:r>
              <w:rPr>
                <w:b w:val="0"/>
                <w:sz w:val="16"/>
              </w:rPr>
              <w:t>Table 19, Figure 21</w:t>
            </w:r>
          </w:p>
        </w:tc>
      </w:tr>
      <w:tr>
        <w:tc>
          <w:tcPr>
            <w:tcW w:type="dxa" w:w="4104"/>
            <w:shd w:val="clear" w:fill="FFF4E0"/>
          </w:tcPr>
          <w:p>
            <w:pPr>
              <w:spacing w:after="40" w:before="40"/>
            </w:pPr>
            <w:r/>
            <w:r>
              <w:rPr>
                <w:b/>
                <w:sz w:val="16"/>
              </w:rPr>
              <w:t>Principal contribution:</w:t>
            </w:r>
            <w:r>
              <w:rPr>
                <w:b w:val="0"/>
                <w:sz w:val="16"/>
              </w:rPr>
              <w:t xml:space="preserve"> for these two model families on a zero-inflated univariate target, the components should be chained rather than averaged — LSTM on the full series, XGBoost on its residuals, added back with no meta-learner.</w:t>
            </w:r>
          </w:p>
        </w:tc>
        <w:tc>
          <w:tcPr>
            <w:tcW w:type="dxa" w:w="3744"/>
            <w:shd w:val="clear" w:fill="FFF4E0"/>
          </w:tcPr>
          <w:p>
            <w:pPr>
              <w:spacing w:after="40" w:before="40"/>
            </w:pPr>
            <w:r/>
            <w:r>
              <w:rPr>
                <w:b w:val="0"/>
                <w:sz w:val="16"/>
              </w:rPr>
              <w:t>Follows from the measured complementarity, the measured component bias, and the mathematical constraint on convex averaging</w:t>
            </w:r>
          </w:p>
        </w:tc>
        <w:tc>
          <w:tcPr>
            <w:tcW w:type="dxa" w:w="1800"/>
            <w:shd w:val="clear" w:fill="FFF4E0"/>
          </w:tcPr>
          <w:p>
            <w:pPr>
              <w:spacing w:after="40" w:before="40"/>
            </w:pPr>
            <w:r/>
            <w:r>
              <w:rPr>
                <w:b w:val="0"/>
                <w:sz w:val="16"/>
              </w:rPr>
              <w:t>Table 21, Figure 22</w:t>
            </w:r>
          </w:p>
        </w:tc>
      </w:tr>
    </w:tbl>
    <w:p>
      <w:pPr>
        <w:spacing w:after="40" w:before="0"/>
      </w:pP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1C5CAB"/>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A1A1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