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FE4B" w14:textId="3A8A0F67" w:rsidR="006A0ADA" w:rsidRDefault="00916880" w:rsidP="00916880">
      <w:pPr>
        <w:pStyle w:val="Title"/>
      </w:pPr>
      <w:r>
        <w:t>Sony Africa</w:t>
      </w:r>
    </w:p>
    <w:p w14:paraId="61A5FF17" w14:textId="38BE2664" w:rsidR="00A7574C" w:rsidRPr="00A7574C" w:rsidRDefault="00974275" w:rsidP="00A7574C">
      <w:pPr>
        <w:pStyle w:val="Heading2"/>
      </w:pPr>
      <w:r>
        <w:t>Headline Numbers</w:t>
      </w:r>
      <w:r w:rsidR="00A7574C">
        <w:t xml:space="preserve"> (millions of dollars)</w:t>
      </w:r>
      <w:r>
        <w:t>:</w:t>
      </w:r>
    </w:p>
    <w:tbl>
      <w:tblPr>
        <w:tblStyle w:val="PlainTable5"/>
        <w:tblW w:w="0" w:type="auto"/>
        <w:tblLook w:val="04A0" w:firstRow="1" w:lastRow="0" w:firstColumn="1" w:lastColumn="0" w:noHBand="0" w:noVBand="1"/>
      </w:tblPr>
      <w:tblGrid>
        <w:gridCol w:w="1895"/>
        <w:gridCol w:w="1813"/>
        <w:gridCol w:w="1847"/>
        <w:gridCol w:w="1847"/>
        <w:gridCol w:w="1624"/>
      </w:tblGrid>
      <w:tr w:rsidR="00761224" w14:paraId="4B1F596C" w14:textId="2E16195A" w:rsidTr="007612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5" w:type="dxa"/>
          </w:tcPr>
          <w:p w14:paraId="3061958B" w14:textId="059CE56E" w:rsidR="00761224" w:rsidRDefault="00761224" w:rsidP="00974275">
            <w:r>
              <w:t>Revenue Slice</w:t>
            </w:r>
          </w:p>
        </w:tc>
        <w:tc>
          <w:tcPr>
            <w:tcW w:w="1813" w:type="dxa"/>
          </w:tcPr>
          <w:p w14:paraId="2AB2B81C" w14:textId="7841831C" w:rsidR="00761224" w:rsidRDefault="00761224" w:rsidP="00974275">
            <w:pPr>
              <w:cnfStyle w:val="100000000000" w:firstRow="1" w:lastRow="0" w:firstColumn="0" w:lastColumn="0" w:oddVBand="0" w:evenVBand="0" w:oddHBand="0" w:evenHBand="0" w:firstRowFirstColumn="0" w:firstRowLastColumn="0" w:lastRowFirstColumn="0" w:lastRowLastColumn="0"/>
            </w:pPr>
            <w:r>
              <w:t>Low</w:t>
            </w:r>
          </w:p>
        </w:tc>
        <w:tc>
          <w:tcPr>
            <w:tcW w:w="1847" w:type="dxa"/>
          </w:tcPr>
          <w:p w14:paraId="254DD002" w14:textId="1BDCDE53" w:rsidR="00761224" w:rsidRDefault="00761224" w:rsidP="00974275">
            <w:pPr>
              <w:cnfStyle w:val="100000000000" w:firstRow="1" w:lastRow="0" w:firstColumn="0" w:lastColumn="0" w:oddVBand="0" w:evenVBand="0" w:oddHBand="0" w:evenHBand="0" w:firstRowFirstColumn="0" w:firstRowLastColumn="0" w:lastRowFirstColumn="0" w:lastRowLastColumn="0"/>
            </w:pPr>
            <w:r>
              <w:t>Base</w:t>
            </w:r>
          </w:p>
        </w:tc>
        <w:tc>
          <w:tcPr>
            <w:tcW w:w="1847" w:type="dxa"/>
          </w:tcPr>
          <w:p w14:paraId="35319B4B" w14:textId="5D20F5BD" w:rsidR="00761224" w:rsidRDefault="00761224" w:rsidP="00974275">
            <w:pPr>
              <w:cnfStyle w:val="100000000000" w:firstRow="1" w:lastRow="0" w:firstColumn="0" w:lastColumn="0" w:oddVBand="0" w:evenVBand="0" w:oddHBand="0" w:evenHBand="0" w:firstRowFirstColumn="0" w:firstRowLastColumn="0" w:lastRowFirstColumn="0" w:lastRowLastColumn="0"/>
            </w:pPr>
            <w:r>
              <w:t>High</w:t>
            </w:r>
          </w:p>
        </w:tc>
        <w:tc>
          <w:tcPr>
            <w:tcW w:w="1624" w:type="dxa"/>
          </w:tcPr>
          <w:p w14:paraId="20D7598E" w14:textId="43CAF869" w:rsidR="00761224" w:rsidRDefault="00761224" w:rsidP="00974275">
            <w:pPr>
              <w:cnfStyle w:val="100000000000" w:firstRow="1" w:lastRow="0" w:firstColumn="0" w:lastColumn="0" w:oddVBand="0" w:evenVBand="0" w:oddHBand="0" w:evenHBand="0" w:firstRowFirstColumn="0" w:firstRowLastColumn="0" w:lastRowFirstColumn="0" w:lastRowLastColumn="0"/>
            </w:pPr>
            <w:r>
              <w:t>Scope</w:t>
            </w:r>
          </w:p>
        </w:tc>
      </w:tr>
      <w:tr w:rsidR="004354AA" w14:paraId="3F82B556" w14:textId="77777777" w:rsidTr="00761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5D98D034" w14:textId="7198FA95" w:rsidR="004354AA" w:rsidRPr="004354AA" w:rsidRDefault="004354AA" w:rsidP="004354AA">
            <w:pPr>
              <w:rPr>
                <w:color w:val="767171" w:themeColor="background2" w:themeShade="80"/>
              </w:rPr>
            </w:pPr>
            <w:r w:rsidRPr="004354AA">
              <w:rPr>
                <w:color w:val="767171" w:themeColor="background2" w:themeShade="80"/>
              </w:rPr>
              <w:t>Music – Direct</w:t>
            </w:r>
          </w:p>
        </w:tc>
        <w:tc>
          <w:tcPr>
            <w:tcW w:w="1813" w:type="dxa"/>
          </w:tcPr>
          <w:p w14:paraId="4A78304F" w14:textId="52F4963F" w:rsidR="004354AA" w:rsidRPr="004354AA" w:rsidRDefault="004354AA" w:rsidP="004354AA">
            <w:pPr>
              <w:cnfStyle w:val="000000100000" w:firstRow="0" w:lastRow="0" w:firstColumn="0" w:lastColumn="0" w:oddVBand="0" w:evenVBand="0" w:oddHBand="1" w:evenHBand="0" w:firstRowFirstColumn="0" w:firstRowLastColumn="0" w:lastRowFirstColumn="0" w:lastRowLastColumn="0"/>
              <w:rPr>
                <w:color w:val="767171" w:themeColor="background2" w:themeShade="80"/>
              </w:rPr>
            </w:pPr>
            <w:r w:rsidRPr="004354AA">
              <w:rPr>
                <w:color w:val="767171" w:themeColor="background2" w:themeShade="80"/>
              </w:rPr>
              <w:t>$1.47</w:t>
            </w:r>
          </w:p>
        </w:tc>
        <w:tc>
          <w:tcPr>
            <w:tcW w:w="1847" w:type="dxa"/>
          </w:tcPr>
          <w:p w14:paraId="7FE2233B" w14:textId="0C34C1D6" w:rsidR="004354AA" w:rsidRPr="004354AA" w:rsidRDefault="004354AA" w:rsidP="004354AA">
            <w:pPr>
              <w:cnfStyle w:val="000000100000" w:firstRow="0" w:lastRow="0" w:firstColumn="0" w:lastColumn="0" w:oddVBand="0" w:evenVBand="0" w:oddHBand="1" w:evenHBand="0" w:firstRowFirstColumn="0" w:firstRowLastColumn="0" w:lastRowFirstColumn="0" w:lastRowLastColumn="0"/>
              <w:rPr>
                <w:color w:val="767171" w:themeColor="background2" w:themeShade="80"/>
              </w:rPr>
            </w:pPr>
            <w:r w:rsidRPr="004354AA">
              <w:rPr>
                <w:color w:val="767171" w:themeColor="background2" w:themeShade="80"/>
              </w:rPr>
              <w:t>$2.51</w:t>
            </w:r>
          </w:p>
        </w:tc>
        <w:tc>
          <w:tcPr>
            <w:tcW w:w="1847" w:type="dxa"/>
          </w:tcPr>
          <w:p w14:paraId="216E9B27" w14:textId="5EFCE523" w:rsidR="004354AA" w:rsidRPr="004354AA" w:rsidRDefault="004354AA" w:rsidP="004354AA">
            <w:pPr>
              <w:cnfStyle w:val="000000100000" w:firstRow="0" w:lastRow="0" w:firstColumn="0" w:lastColumn="0" w:oddVBand="0" w:evenVBand="0" w:oddHBand="1" w:evenHBand="0" w:firstRowFirstColumn="0" w:firstRowLastColumn="0" w:lastRowFirstColumn="0" w:lastRowLastColumn="0"/>
              <w:rPr>
                <w:color w:val="767171" w:themeColor="background2" w:themeShade="80"/>
              </w:rPr>
            </w:pPr>
            <w:r w:rsidRPr="004354AA">
              <w:rPr>
                <w:color w:val="767171" w:themeColor="background2" w:themeShade="80"/>
              </w:rPr>
              <w:t>$4.08</w:t>
            </w:r>
          </w:p>
        </w:tc>
        <w:tc>
          <w:tcPr>
            <w:tcW w:w="1624" w:type="dxa"/>
          </w:tcPr>
          <w:p w14:paraId="2B42DF71" w14:textId="053EB434" w:rsidR="004354AA" w:rsidRPr="004354AA" w:rsidRDefault="004354AA" w:rsidP="004354AA">
            <w:pPr>
              <w:cnfStyle w:val="000000100000" w:firstRow="0" w:lastRow="0" w:firstColumn="0" w:lastColumn="0" w:oddVBand="0" w:evenVBand="0" w:oddHBand="1" w:evenHBand="0" w:firstRowFirstColumn="0" w:firstRowLastColumn="0" w:lastRowFirstColumn="0" w:lastRowLastColumn="0"/>
              <w:rPr>
                <w:color w:val="767171" w:themeColor="background2" w:themeShade="80"/>
              </w:rPr>
            </w:pPr>
            <w:r w:rsidRPr="004354AA">
              <w:rPr>
                <w:color w:val="767171" w:themeColor="background2" w:themeShade="80"/>
              </w:rPr>
              <w:t>Egypt</w:t>
            </w:r>
          </w:p>
        </w:tc>
      </w:tr>
      <w:tr w:rsidR="00761224" w14:paraId="71F4A9B0" w14:textId="009365DF" w:rsidTr="00761224">
        <w:tc>
          <w:tcPr>
            <w:cnfStyle w:val="001000000000" w:firstRow="0" w:lastRow="0" w:firstColumn="1" w:lastColumn="0" w:oddVBand="0" w:evenVBand="0" w:oddHBand="0" w:evenHBand="0" w:firstRowFirstColumn="0" w:firstRowLastColumn="0" w:lastRowFirstColumn="0" w:lastRowLastColumn="0"/>
            <w:tcW w:w="1895" w:type="dxa"/>
          </w:tcPr>
          <w:p w14:paraId="4FAD5B70" w14:textId="509E45C4" w:rsidR="00761224" w:rsidRDefault="00761224" w:rsidP="00974275">
            <w:r>
              <w:t>Music – Direct</w:t>
            </w:r>
          </w:p>
        </w:tc>
        <w:tc>
          <w:tcPr>
            <w:tcW w:w="1813" w:type="dxa"/>
          </w:tcPr>
          <w:p w14:paraId="4899C89B" w14:textId="635EE98A" w:rsidR="00761224" w:rsidRDefault="00761224" w:rsidP="00974275">
            <w:pPr>
              <w:cnfStyle w:val="000000000000" w:firstRow="0" w:lastRow="0" w:firstColumn="0" w:lastColumn="0" w:oddVBand="0" w:evenVBand="0" w:oddHBand="0" w:evenHBand="0" w:firstRowFirstColumn="0" w:firstRowLastColumn="0" w:lastRowFirstColumn="0" w:lastRowLastColumn="0"/>
            </w:pPr>
            <w:r>
              <w:t>$3.10</w:t>
            </w:r>
          </w:p>
        </w:tc>
        <w:tc>
          <w:tcPr>
            <w:tcW w:w="1847" w:type="dxa"/>
          </w:tcPr>
          <w:p w14:paraId="4EB1B1E2" w14:textId="30E83A02" w:rsidR="00761224" w:rsidRDefault="00761224" w:rsidP="00974275">
            <w:pPr>
              <w:cnfStyle w:val="000000000000" w:firstRow="0" w:lastRow="0" w:firstColumn="0" w:lastColumn="0" w:oddVBand="0" w:evenVBand="0" w:oddHBand="0" w:evenHBand="0" w:firstRowFirstColumn="0" w:firstRowLastColumn="0" w:lastRowFirstColumn="0" w:lastRowLastColumn="0"/>
            </w:pPr>
            <w:r>
              <w:t>$3.54</w:t>
            </w:r>
          </w:p>
        </w:tc>
        <w:tc>
          <w:tcPr>
            <w:tcW w:w="1847" w:type="dxa"/>
          </w:tcPr>
          <w:p w14:paraId="12020133" w14:textId="5DE3F31C" w:rsidR="00761224" w:rsidRDefault="00761224" w:rsidP="00974275">
            <w:pPr>
              <w:cnfStyle w:val="000000000000" w:firstRow="0" w:lastRow="0" w:firstColumn="0" w:lastColumn="0" w:oddVBand="0" w:evenVBand="0" w:oddHBand="0" w:evenHBand="0" w:firstRowFirstColumn="0" w:firstRowLastColumn="0" w:lastRowFirstColumn="0" w:lastRowLastColumn="0"/>
            </w:pPr>
            <w:r>
              <w:t>$3.83</w:t>
            </w:r>
          </w:p>
        </w:tc>
        <w:tc>
          <w:tcPr>
            <w:tcW w:w="1624" w:type="dxa"/>
          </w:tcPr>
          <w:p w14:paraId="31B7C1DA" w14:textId="78B1440A" w:rsidR="00761224" w:rsidRDefault="00761224" w:rsidP="00974275">
            <w:pPr>
              <w:cnfStyle w:val="000000000000" w:firstRow="0" w:lastRow="0" w:firstColumn="0" w:lastColumn="0" w:oddVBand="0" w:evenVBand="0" w:oddHBand="0" w:evenHBand="0" w:firstRowFirstColumn="0" w:firstRowLastColumn="0" w:lastRowFirstColumn="0" w:lastRowLastColumn="0"/>
            </w:pPr>
            <w:r>
              <w:t>Sub-Sahara</w:t>
            </w:r>
          </w:p>
        </w:tc>
      </w:tr>
      <w:tr w:rsidR="00761224" w14:paraId="2882DC01" w14:textId="7194979E" w:rsidTr="00761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521EAC90" w14:textId="1D76CFBB" w:rsidR="00761224" w:rsidRDefault="00761224" w:rsidP="00974275">
            <w:r>
              <w:t>Music – Indirect</w:t>
            </w:r>
          </w:p>
        </w:tc>
        <w:tc>
          <w:tcPr>
            <w:tcW w:w="1813" w:type="dxa"/>
          </w:tcPr>
          <w:p w14:paraId="7DCEF23E" w14:textId="1F1D6372" w:rsidR="00761224" w:rsidRDefault="00761224" w:rsidP="00974275">
            <w:pPr>
              <w:cnfStyle w:val="000000100000" w:firstRow="0" w:lastRow="0" w:firstColumn="0" w:lastColumn="0" w:oddVBand="0" w:evenVBand="0" w:oddHBand="1" w:evenHBand="0" w:firstRowFirstColumn="0" w:firstRowLastColumn="0" w:lastRowFirstColumn="0" w:lastRowLastColumn="0"/>
            </w:pPr>
            <w:r>
              <w:t>$14.18</w:t>
            </w:r>
          </w:p>
        </w:tc>
        <w:tc>
          <w:tcPr>
            <w:tcW w:w="1847" w:type="dxa"/>
          </w:tcPr>
          <w:p w14:paraId="07301DE0" w14:textId="3282ECA7" w:rsidR="00761224" w:rsidRDefault="00761224" w:rsidP="00974275">
            <w:pPr>
              <w:cnfStyle w:val="000000100000" w:firstRow="0" w:lastRow="0" w:firstColumn="0" w:lastColumn="0" w:oddVBand="0" w:evenVBand="0" w:oddHBand="1" w:evenHBand="0" w:firstRowFirstColumn="0" w:firstRowLastColumn="0" w:lastRowFirstColumn="0" w:lastRowLastColumn="0"/>
            </w:pPr>
            <w:r>
              <w:t>$26.60</w:t>
            </w:r>
          </w:p>
        </w:tc>
        <w:tc>
          <w:tcPr>
            <w:tcW w:w="1847" w:type="dxa"/>
          </w:tcPr>
          <w:p w14:paraId="5BF6DCD6" w14:textId="01775052" w:rsidR="00761224" w:rsidRDefault="00761224" w:rsidP="00974275">
            <w:pPr>
              <w:cnfStyle w:val="000000100000" w:firstRow="0" w:lastRow="0" w:firstColumn="0" w:lastColumn="0" w:oddVBand="0" w:evenVBand="0" w:oddHBand="1" w:evenHBand="0" w:firstRowFirstColumn="0" w:firstRowLastColumn="0" w:lastRowFirstColumn="0" w:lastRowLastColumn="0"/>
            </w:pPr>
            <w:r>
              <w:t>$44.12</w:t>
            </w:r>
          </w:p>
        </w:tc>
        <w:tc>
          <w:tcPr>
            <w:tcW w:w="1624" w:type="dxa"/>
          </w:tcPr>
          <w:p w14:paraId="6C89826B" w14:textId="30CF0306" w:rsidR="00761224" w:rsidRDefault="00761224" w:rsidP="00974275">
            <w:pPr>
              <w:cnfStyle w:val="000000100000" w:firstRow="0" w:lastRow="0" w:firstColumn="0" w:lastColumn="0" w:oddVBand="0" w:evenVBand="0" w:oddHBand="1" w:evenHBand="0" w:firstRowFirstColumn="0" w:firstRowLastColumn="0" w:lastRowFirstColumn="0" w:lastRowLastColumn="0"/>
            </w:pPr>
            <w:r>
              <w:t>Sub-Sahara</w:t>
            </w:r>
          </w:p>
        </w:tc>
      </w:tr>
      <w:tr w:rsidR="00761224" w14:paraId="00A6616E" w14:textId="725D2865" w:rsidTr="00761224">
        <w:tc>
          <w:tcPr>
            <w:cnfStyle w:val="001000000000" w:firstRow="0" w:lastRow="0" w:firstColumn="1" w:lastColumn="0" w:oddVBand="0" w:evenVBand="0" w:oddHBand="0" w:evenHBand="0" w:firstRowFirstColumn="0" w:firstRowLastColumn="0" w:lastRowFirstColumn="0" w:lastRowLastColumn="0"/>
            <w:tcW w:w="1895" w:type="dxa"/>
          </w:tcPr>
          <w:p w14:paraId="3F3ED92C" w14:textId="0744EDF3" w:rsidR="00761224" w:rsidRDefault="00761224" w:rsidP="00974275">
            <w:r>
              <w:t>Gaming</w:t>
            </w:r>
          </w:p>
        </w:tc>
        <w:tc>
          <w:tcPr>
            <w:tcW w:w="1813" w:type="dxa"/>
          </w:tcPr>
          <w:p w14:paraId="691E3969" w14:textId="2A2BC92B" w:rsidR="00761224" w:rsidRDefault="00761224" w:rsidP="00974275">
            <w:pPr>
              <w:cnfStyle w:val="000000000000" w:firstRow="0" w:lastRow="0" w:firstColumn="0" w:lastColumn="0" w:oddVBand="0" w:evenVBand="0" w:oddHBand="0" w:evenHBand="0" w:firstRowFirstColumn="0" w:firstRowLastColumn="0" w:lastRowFirstColumn="0" w:lastRowLastColumn="0"/>
            </w:pPr>
            <w:r>
              <w:t>$</w:t>
            </w:r>
            <w:r w:rsidR="00A23C23" w:rsidRPr="00A23C23">
              <w:t>75.31</w:t>
            </w:r>
          </w:p>
        </w:tc>
        <w:tc>
          <w:tcPr>
            <w:tcW w:w="1847" w:type="dxa"/>
          </w:tcPr>
          <w:p w14:paraId="478D5579" w14:textId="292D5B74" w:rsidR="00761224" w:rsidRDefault="00761224" w:rsidP="00974275">
            <w:pPr>
              <w:cnfStyle w:val="000000000000" w:firstRow="0" w:lastRow="0" w:firstColumn="0" w:lastColumn="0" w:oddVBand="0" w:evenVBand="0" w:oddHBand="0" w:evenHBand="0" w:firstRowFirstColumn="0" w:firstRowLastColumn="0" w:lastRowFirstColumn="0" w:lastRowLastColumn="0"/>
            </w:pPr>
            <w:r>
              <w:t>$</w:t>
            </w:r>
            <w:r w:rsidR="00A23C23" w:rsidRPr="00A23C23">
              <w:t>137.95</w:t>
            </w:r>
          </w:p>
        </w:tc>
        <w:tc>
          <w:tcPr>
            <w:tcW w:w="1847" w:type="dxa"/>
          </w:tcPr>
          <w:p w14:paraId="1414E51E" w14:textId="73C28C86" w:rsidR="00761224" w:rsidRDefault="00761224" w:rsidP="00974275">
            <w:pPr>
              <w:cnfStyle w:val="000000000000" w:firstRow="0" w:lastRow="0" w:firstColumn="0" w:lastColumn="0" w:oddVBand="0" w:evenVBand="0" w:oddHBand="0" w:evenHBand="0" w:firstRowFirstColumn="0" w:firstRowLastColumn="0" w:lastRowFirstColumn="0" w:lastRowLastColumn="0"/>
            </w:pPr>
            <w:r>
              <w:t>$</w:t>
            </w:r>
            <w:r w:rsidR="00A23C23" w:rsidRPr="00A23C23">
              <w:t>236.61</w:t>
            </w:r>
          </w:p>
        </w:tc>
        <w:tc>
          <w:tcPr>
            <w:tcW w:w="1624" w:type="dxa"/>
          </w:tcPr>
          <w:p w14:paraId="7AE3AFB0" w14:textId="3482F735" w:rsidR="00761224" w:rsidRDefault="00761224" w:rsidP="00974275">
            <w:pPr>
              <w:cnfStyle w:val="000000000000" w:firstRow="0" w:lastRow="0" w:firstColumn="0" w:lastColumn="0" w:oddVBand="0" w:evenVBand="0" w:oddHBand="0" w:evenHBand="0" w:firstRowFirstColumn="0" w:firstRowLastColumn="0" w:lastRowFirstColumn="0" w:lastRowLastColumn="0"/>
            </w:pPr>
            <w:r>
              <w:t>Africa-wide</w:t>
            </w:r>
          </w:p>
        </w:tc>
      </w:tr>
    </w:tbl>
    <w:p w14:paraId="02F6F2D8" w14:textId="47CC91A0" w:rsidR="00974275" w:rsidRPr="00974275" w:rsidRDefault="00974275" w:rsidP="00974275"/>
    <w:p w14:paraId="38873153" w14:textId="4699BB7C" w:rsidR="00916880" w:rsidRDefault="00916880" w:rsidP="00916880">
      <w:pPr>
        <w:pStyle w:val="Heading2"/>
      </w:pPr>
      <w:r>
        <w:t>Music</w:t>
      </w:r>
    </w:p>
    <w:p w14:paraId="57479883" w14:textId="132E83B3" w:rsidR="00916880" w:rsidRDefault="00916880" w:rsidP="00916880">
      <w:pPr>
        <w:pStyle w:val="Subtitle"/>
      </w:pPr>
      <w:r>
        <w:t>Direct</w:t>
      </w:r>
    </w:p>
    <w:p w14:paraId="048CBB2F" w14:textId="1C32E451" w:rsidR="00C3500B" w:rsidRDefault="00916880" w:rsidP="00FA2BD3">
      <w:pPr>
        <w:ind w:firstLine="720"/>
      </w:pPr>
      <w:r>
        <w:t xml:space="preserve">According to a </w:t>
      </w:r>
      <w:r w:rsidR="00A5651E">
        <w:t>recent</w:t>
      </w:r>
      <w:r>
        <w:t xml:space="preserve"> report</w:t>
      </w:r>
      <w:sdt>
        <w:sdtPr>
          <w:id w:val="142870205"/>
          <w:citation/>
        </w:sdtPr>
        <w:sdtContent>
          <w:r w:rsidR="00A5651E">
            <w:fldChar w:fldCharType="begin"/>
          </w:r>
          <w:r w:rsidR="009B4DE9">
            <w:instrText xml:space="preserve">CITATION IFP26 \l 2057 </w:instrText>
          </w:r>
          <w:r w:rsidR="00A5651E">
            <w:fldChar w:fldCharType="separate"/>
          </w:r>
          <w:r w:rsidR="009B4DE9">
            <w:rPr>
              <w:noProof/>
            </w:rPr>
            <w:t xml:space="preserve"> (IFPI, 2026)</w:t>
          </w:r>
          <w:r w:rsidR="00A5651E">
            <w:fldChar w:fldCharType="end"/>
          </w:r>
        </w:sdtContent>
      </w:sdt>
      <w:r w:rsidR="00A5651E">
        <w:t>,</w:t>
      </w:r>
      <w:r>
        <w:t xml:space="preserve"> Sub-Saharan Africa generate</w:t>
      </w:r>
      <w:r w:rsidR="00A5651E">
        <w:t>s</w:t>
      </w:r>
      <w:r>
        <w:t xml:space="preserve"> $120 million in recorded music revenue. </w:t>
      </w:r>
      <w:r w:rsidR="00A5651E">
        <w:t>The</w:t>
      </w:r>
      <w:r>
        <w:t xml:space="preserve"> figure </w:t>
      </w:r>
      <w:r w:rsidR="00643009">
        <w:t>contains</w:t>
      </w:r>
      <w:r>
        <w:t xml:space="preserve"> both radio (airplay)</w:t>
      </w:r>
      <w:r w:rsidR="007260A7">
        <w:t>, streaming, and physical, which was disregarded due to its tiny share of revenue.</w:t>
      </w:r>
      <w:r>
        <w:t xml:space="preserve"> </w:t>
      </w:r>
      <w:r w:rsidR="007260A7">
        <w:t>D</w:t>
      </w:r>
      <w:r>
        <w:t>ifferent countries hav</w:t>
      </w:r>
      <w:r w:rsidR="007260A7">
        <w:t>e</w:t>
      </w:r>
      <w:r>
        <w:t xml:space="preserve"> different relative shares of each. The principal revenue driver </w:t>
      </w:r>
      <w:r w:rsidR="00A5651E">
        <w:t>is</w:t>
      </w:r>
      <w:r>
        <w:t xml:space="preserve"> South Africa, which dominates the market at around 78%. Of the remainder, Nigeria is the largest player, and </w:t>
      </w:r>
      <w:r w:rsidR="00565F91">
        <w:t>according to one source accounts for around 1</w:t>
      </w:r>
      <w:r w:rsidR="007260A7">
        <w:t>5</w:t>
      </w:r>
      <w:r w:rsidR="00565F91">
        <w:t xml:space="preserve">% of the total. Between them, the vast majority of the market is accounted for. </w:t>
      </w:r>
    </w:p>
    <w:p w14:paraId="7939F3EE" w14:textId="0C83D2F5" w:rsidR="00916880" w:rsidRDefault="00C3500B" w:rsidP="00C3500B">
      <w:pPr>
        <w:ind w:firstLine="720"/>
      </w:pPr>
      <w:r>
        <w:t>Within streaming and airplay, m</w:t>
      </w:r>
      <w:r w:rsidR="00A45AF8">
        <w:t xml:space="preserve">uch of the work </w:t>
      </w:r>
      <w:r w:rsidR="001C444F">
        <w:t>lay</w:t>
      </w:r>
      <w:r w:rsidR="00A45AF8">
        <w:t xml:space="preserve"> in establishing </w:t>
      </w:r>
      <w:r w:rsidR="002E2DA2">
        <w:t xml:space="preserve">the proportion of the market that Sony controls. The two greatest challenges </w:t>
      </w:r>
      <w:r w:rsidR="001C444F">
        <w:t>were</w:t>
      </w:r>
      <w:r w:rsidR="002E2DA2">
        <w:t xml:space="preserve"> a) Sourcing </w:t>
      </w:r>
      <w:r w:rsidR="00FA2BD3">
        <w:t>high-quality</w:t>
      </w:r>
      <w:r w:rsidR="002E2DA2">
        <w:t xml:space="preserve"> </w:t>
      </w:r>
      <w:r w:rsidR="002E2DA2" w:rsidRPr="002E2DA2">
        <w:rPr>
          <w:i/>
          <w:iCs/>
        </w:rPr>
        <w:t>deep</w:t>
      </w:r>
      <w:r w:rsidR="002E2DA2">
        <w:t xml:space="preserve"> data sources and b) identifying the affiliation of artists. For the first, Spotify chart data, provided as a weekly top 200 tracks, was used. The second challenge required more ad hoc methods, which began with identifying Sony’s Flagship Labels, and their various sub-labels and joint ventures. This process is further muddied by the significant </w:t>
      </w:r>
      <w:r w:rsidR="005851F1">
        <w:t xml:space="preserve">number of independent labels who are distributed under Sony – agreements that bring in a smaller proportion of the revenue in comparison to owning the master. Given the opacity of such deals, the estimated revenue spans a wide range between the high and low cases. </w:t>
      </w:r>
    </w:p>
    <w:p w14:paraId="73A299D3" w14:textId="6B549D5D" w:rsidR="00AD153D" w:rsidRDefault="00AD153D" w:rsidP="00C3500B">
      <w:pPr>
        <w:ind w:firstLine="720"/>
      </w:pPr>
      <w:r w:rsidRPr="00AD153D">
        <w:t>Sony's share was measured on streaming chart weight and applied to the whole IFPI total, which also contains airplay and physical. This assume</w:t>
      </w:r>
      <w:r>
        <w:t xml:space="preserve">d </w:t>
      </w:r>
      <w:r w:rsidRPr="00AD153D">
        <w:t>Sony's airplay share matches its streaming share</w:t>
      </w:r>
      <w:r>
        <w:t xml:space="preserve"> -</w:t>
      </w:r>
      <w:r w:rsidRPr="00AD153D">
        <w:t xml:space="preserve"> separate airplay sampling suggested Sony's share there may be higher, so the Direct figure is more likely understated than overstated on this point.</w:t>
      </w:r>
      <w:r>
        <w:t xml:space="preserve"> </w:t>
      </w:r>
    </w:p>
    <w:p w14:paraId="2441D0E7" w14:textId="7757F736" w:rsidR="00FA2BD3" w:rsidRDefault="00FA2BD3" w:rsidP="00C3500B">
      <w:pPr>
        <w:ind w:firstLine="720"/>
      </w:pPr>
      <w:r>
        <w:t xml:space="preserve">In both cases, once the market share had been estimated, it was combined with </w:t>
      </w:r>
      <w:r w:rsidR="00FD00F9">
        <w:t xml:space="preserve">the </w:t>
      </w:r>
      <w:r>
        <w:t>reported industry-wide revenues to determine African-based Sony artists’ revenues. Note, per the brief’s wording of “</w:t>
      </w:r>
      <w:r w:rsidRPr="00FA2BD3">
        <w:t>Africa-based artists on Sony's catalogues</w:t>
      </w:r>
      <w:r>
        <w:t xml:space="preserve">”, I included revenue from artists signed to Sony’s non-African flagship labels, such as Columbia in Tyla’s case, instead of just Sony’s African-based subsidiaries. </w:t>
      </w:r>
    </w:p>
    <w:p w14:paraId="7CA7BE79" w14:textId="32C1DAE0" w:rsidR="00FA2BD3" w:rsidRDefault="00FA2BD3" w:rsidP="00FA2BD3">
      <w:pPr>
        <w:pStyle w:val="Subtitle"/>
      </w:pPr>
      <w:r>
        <w:t>Indirect</w:t>
      </w:r>
    </w:p>
    <w:p w14:paraId="7B78E9FB" w14:textId="402860E6" w:rsidR="00FA2BD3" w:rsidRDefault="00FA2BD3" w:rsidP="00FA2BD3">
      <w:r>
        <w:tab/>
      </w:r>
      <w:r w:rsidR="00FD00F9">
        <w:t xml:space="preserve">Indirect revenue was significantly harder to determine. </w:t>
      </w:r>
      <w:r w:rsidR="00DB4872">
        <w:t xml:space="preserve">Throughout the process of estimating </w:t>
      </w:r>
      <w:r w:rsidR="00DB4872" w:rsidRPr="00DB4872">
        <w:rPr>
          <w:i/>
          <w:iCs/>
        </w:rPr>
        <w:t>direct</w:t>
      </w:r>
      <w:r w:rsidR="00DB4872">
        <w:t xml:space="preserve"> revenue, Spotify charts, which give the top 200 tracks by genre or country, were used. When applying this method to the indirect revenue estimate, it immediately fell short, simply because African music makes up a very small proportion of any one countr</w:t>
      </w:r>
      <w:r w:rsidR="00A5651E">
        <w:t>y’s</w:t>
      </w:r>
      <w:r w:rsidR="00DB4872">
        <w:t xml:space="preserve"> top 200 tracks. The </w:t>
      </w:r>
      <w:r w:rsidR="00DB4872">
        <w:lastRenderedPageBreak/>
        <w:t xml:space="preserve">volatility of this signal over any </w:t>
      </w:r>
      <w:r w:rsidR="00A5651E">
        <w:t>interval</w:t>
      </w:r>
      <w:r w:rsidR="00DB4872">
        <w:t xml:space="preserve"> </w:t>
      </w:r>
      <w:r w:rsidR="00A5651E">
        <w:t xml:space="preserve">rendered it unusable to estimate market share. In the absence of any larger chart, I fell back on a bounded, top-down estimate. Very useful was the Spotify “Loud and Clear” report which disclosed royalties paid out to artists in Nigeria and South Africa. </w:t>
      </w:r>
      <w:r w:rsidR="00431C7E">
        <w:t xml:space="preserve">It also disclosed the proportion of these royalties that came from </w:t>
      </w:r>
      <w:r w:rsidR="00022CDB">
        <w:t>outside the countries and, importantly, that</w:t>
      </w:r>
      <w:r w:rsidR="00431C7E">
        <w:t xml:space="preserve"> in both countries ~55% of royalties paid out to independent labels, giving a</w:t>
      </w:r>
      <w:r w:rsidR="007260A7">
        <w:t xml:space="preserve">n ownership </w:t>
      </w:r>
      <w:r w:rsidR="00431C7E">
        <w:t>ceiling of 45% for the majors.</w:t>
      </w:r>
      <w:r w:rsidR="007260A7">
        <w:t xml:space="preserve"> </w:t>
      </w:r>
      <w:r w:rsidR="00022CDB">
        <w:t>It’s tricky to narrow this figure further, so the base case simply assumes that Sony controls a third of these revenues.</w:t>
      </w:r>
    </w:p>
    <w:p w14:paraId="6C10FA62" w14:textId="21E48BDD" w:rsidR="00022CDB" w:rsidRDefault="00022CDB" w:rsidP="00FA2BD3">
      <w:r>
        <w:tab/>
        <w:t xml:space="preserve">There are significant limitations to this figure. First, </w:t>
      </w:r>
      <w:r w:rsidR="00425AAF">
        <w:t>reported figures are only available for South Africa and Nigeria, so extrapolating to all of Africa involves an assumption of their collective share of the indirect market</w:t>
      </w:r>
      <w:r>
        <w:t xml:space="preserve">. Secondly, the large ecosystem of independents, </w:t>
      </w:r>
      <w:proofErr w:type="gramStart"/>
      <w:r>
        <w:t>a number of</w:t>
      </w:r>
      <w:proofErr w:type="gramEnd"/>
      <w:r>
        <w:t xml:space="preserve"> whom are distributed under Sony labels makes revenue estimation harder.</w:t>
      </w:r>
      <w:r w:rsidR="007260A7">
        <w:t xml:space="preserve"> The estimation model accounts for this with a small distribution capture rate added to the frontline “master-owned” rate.</w:t>
      </w:r>
    </w:p>
    <w:p w14:paraId="78D7AB53" w14:textId="0BF991E1" w:rsidR="00761224" w:rsidRDefault="00761224" w:rsidP="00761224">
      <w:pPr>
        <w:pStyle w:val="Subtitle"/>
      </w:pPr>
      <w:r>
        <w:t>Sub-Saharan vs North Africa</w:t>
      </w:r>
    </w:p>
    <w:p w14:paraId="35216429" w14:textId="24FDB358" w:rsidR="00761224" w:rsidRPr="00761224" w:rsidRDefault="00761224" w:rsidP="002F5CE8">
      <w:pPr>
        <w:ind w:firstLine="720"/>
      </w:pPr>
      <w:r>
        <w:t>During research it quickly became clear that for most metrics Sub-Saharan</w:t>
      </w:r>
      <w:r w:rsidR="00E45864">
        <w:t xml:space="preserve"> (SSA)</w:t>
      </w:r>
      <w:r>
        <w:t xml:space="preserve"> and North Africa </w:t>
      </w:r>
      <w:r w:rsidR="00E45864">
        <w:t xml:space="preserve">(NA) </w:t>
      </w:r>
      <w:r>
        <w:t xml:space="preserve">were treated as separate entities. Furthermore, North African figures were invariably folded into a wider Middle East / North Africa (MENA) total. The difficulty of determining North Africa’s share of this total </w:t>
      </w:r>
      <w:r w:rsidR="00E45864">
        <w:t>introduced a large uncertainty into the figure</w:t>
      </w:r>
      <w:r w:rsidR="00A76E74">
        <w:t>, and I struggled to establish an estimate for any country but Egypt</w:t>
      </w:r>
      <w:r w:rsidR="004354AA">
        <w:t xml:space="preserve">. I will include this figure for completeness’s sake, but </w:t>
      </w:r>
      <w:r w:rsidR="008C46A4">
        <w:t>the lack of a reliable topline makes confidence low</w:t>
      </w:r>
      <w:r w:rsidR="004354AA">
        <w:t xml:space="preserve">. On the indirect revenue side, I couldn’t make any estimate. Spotify Loud &amp; Clear </w:t>
      </w:r>
      <w:r w:rsidR="00941347">
        <w:t xml:space="preserve">doesn’t provide an absolute figure but </w:t>
      </w:r>
      <w:r w:rsidR="004354AA">
        <w:t xml:space="preserve">reports that </w:t>
      </w:r>
      <w:r w:rsidR="00941347">
        <w:t xml:space="preserve">90% of royalties to Egyptian artists went to independent and small labels. It is therefore likely that Sony’s indirect revenues attributable to Egyptian artists is relatively small. </w:t>
      </w:r>
    </w:p>
    <w:p w14:paraId="4E6D0EC4" w14:textId="4AAEDDC2" w:rsidR="00643009" w:rsidRDefault="00643009" w:rsidP="00643009">
      <w:pPr>
        <w:pStyle w:val="Heading2"/>
      </w:pPr>
      <w:r>
        <w:t>Gaming</w:t>
      </w:r>
    </w:p>
    <w:p w14:paraId="51577B87" w14:textId="706AFA36" w:rsidR="00643009" w:rsidRDefault="007F554B" w:rsidP="00643009">
      <w:r>
        <w:tab/>
        <w:t xml:space="preserve">As stated in the brief, Sony’s gaming presence in Africa is mediated through grey-market third parties, demand in Africa converts to revenue elsewhere. </w:t>
      </w:r>
      <w:r w:rsidR="00A23C23">
        <w:t>Based on</w:t>
      </w:r>
      <w:r>
        <w:t xml:space="preserve"> wider region reports</w:t>
      </w:r>
      <w:r w:rsidR="00A23C23">
        <w:t xml:space="preserve">, while not as dominant as in music, South Africa, Nigeria and Egypt together account for a significant proportion of the total gaming market and were therefore the focus of the analysis. </w:t>
      </w:r>
    </w:p>
    <w:p w14:paraId="7CD470B5" w14:textId="0C36EEE2" w:rsidR="001017F7" w:rsidRDefault="00B54B58" w:rsidP="001017F7">
      <w:r>
        <w:tab/>
        <w:t>Initial attempts used a similar approach to that for the music analysis: Find a top-line market value and work out Sony’s share. This ran into difficulties due to the structure of the market noted in the brief as the entities involved in distribution were often small and didn’t publish any data. More success was found in examining trade data (UN Comtrade). Here, each countries console imports were directly listed, and after harmonising discrepancies between declared-import and declared-export numbers</w:t>
      </w:r>
      <w:r w:rsidR="001017F7">
        <w:t>, it allowed verification of the source ultimately used in the model’s estimate (Statista, 2026).</w:t>
      </w:r>
      <w:r w:rsidR="001017F7" w:rsidRPr="001017F7">
        <w:t xml:space="preserve"> Statista's reported console volume for South Africa s</w:t>
      </w:r>
      <w:r w:rsidR="001017F7">
        <w:t>a</w:t>
      </w:r>
      <w:r w:rsidR="001017F7" w:rsidRPr="001017F7">
        <w:t xml:space="preserve">t 0.3% from the midpoint of </w:t>
      </w:r>
      <w:r w:rsidR="001017F7">
        <w:t>the</w:t>
      </w:r>
      <w:r w:rsidR="001017F7" w:rsidRPr="001017F7">
        <w:t xml:space="preserve"> estimate derived from customs tonnage, and its Egyptian hardware figure matches the Comtrade mirror to 0.5%.</w:t>
      </w:r>
    </w:p>
    <w:p w14:paraId="7B7C9DE5" w14:textId="61BF23FC" w:rsidR="00361A11" w:rsidRDefault="00361A11" w:rsidP="001017F7">
      <w:pPr>
        <w:ind w:firstLine="720"/>
      </w:pPr>
      <w:r>
        <w:t>Based on the trade data it seems the UAE operates as a distribution hub for at least North Africa as it exports heavily to Egypt.</w:t>
      </w:r>
      <w:r w:rsidR="007260A7">
        <w:t xml:space="preserve"> South Africa largely consumes its imports</w:t>
      </w:r>
      <w:r>
        <w:t>. Nigeria imports directly from China and Japan.</w:t>
      </w:r>
    </w:p>
    <w:p w14:paraId="4084C092" w14:textId="7E4C580E" w:rsidR="00B54B58" w:rsidRDefault="00B54B58" w:rsidP="00643009">
      <w:r>
        <w:tab/>
        <w:t xml:space="preserve">Content revenue estimation relied upon </w:t>
      </w:r>
      <w:r w:rsidR="00361A11">
        <w:t xml:space="preserve">a country-level console content consumer spend figure (Statista, 2026) followed by a PlayStation share estimate and finally Sony capture rate. </w:t>
      </w:r>
      <w:r w:rsidR="00A62FFF">
        <w:t>A</w:t>
      </w:r>
      <w:r w:rsidR="00361A11">
        <w:t>s mentioned</w:t>
      </w:r>
      <w:r w:rsidR="00A62FFF">
        <w:t xml:space="preserve"> in the brief,</w:t>
      </w:r>
      <w:r w:rsidR="00361A11">
        <w:t xml:space="preserve"> apart from South Africa, Sony operates no digital storefront (PSN). Users are </w:t>
      </w:r>
      <w:r w:rsidR="00361A11">
        <w:lastRenderedPageBreak/>
        <w:t>forced to register in other countries and revenue they generate is booked largely outside of Africa (Turkey, India, UAE</w:t>
      </w:r>
      <w:r w:rsidR="00A62FFF">
        <w:t xml:space="preserve">, US, UK). </w:t>
      </w:r>
    </w:p>
    <w:p w14:paraId="3D6A4EF9" w14:textId="73502B24" w:rsidR="00143892" w:rsidRDefault="00143892" w:rsidP="00143892">
      <w:pPr>
        <w:pStyle w:val="Heading2"/>
      </w:pPr>
      <w:r>
        <w:t>Conclusions</w:t>
      </w:r>
    </w:p>
    <w:p w14:paraId="662C82B1" w14:textId="15E5C0D9" w:rsidR="007F6F27" w:rsidRDefault="007F6F27" w:rsidP="00361A11">
      <w:r>
        <w:tab/>
      </w:r>
      <w:r w:rsidR="003A5208" w:rsidRPr="003A5208">
        <w:t>Across the four slices I estimate Sony's African exposure in the low hundreds of millions, but the interesting result is in the proportions, not the sum</w:t>
      </w:r>
      <w:r>
        <w:t xml:space="preserve">. Despite </w:t>
      </w:r>
      <w:r w:rsidR="003A5208">
        <w:t>the</w:t>
      </w:r>
      <w:r>
        <w:t xml:space="preserve"> wide range, key observations can be made. The first is that, at the base case, African artists on Sony’s roster earn roughly seven times more outside of Africa than within it. Afrobeats and </w:t>
      </w:r>
      <w:proofErr w:type="spellStart"/>
      <w:r>
        <w:t>Amapiano</w:t>
      </w:r>
      <w:proofErr w:type="spellEnd"/>
      <w:r>
        <w:t xml:space="preserve"> are thoroughly export genres and most of their upside flows through Columbia and RCA rather than African subsidiaries. The second is more surprising: gaming </w:t>
      </w:r>
      <w:proofErr w:type="gramStart"/>
      <w:r>
        <w:t>dwarfs</w:t>
      </w:r>
      <w:proofErr w:type="gramEnd"/>
      <w:r>
        <w:t xml:space="preserve"> music in revenue. In terms of domestic consumption, Sony’s revenue from gaming is more than twenty times larger than its music business. For context, worldwide, Sony’s Games &amp; Network services </w:t>
      </w:r>
      <w:r w:rsidR="00391BCE">
        <w:t>are</w:t>
      </w:r>
      <w:r>
        <w:t xml:space="preserve"> </w:t>
      </w:r>
      <w:r w:rsidR="001017F7">
        <w:t xml:space="preserve">under three </w:t>
      </w:r>
      <w:r>
        <w:t xml:space="preserve">times larger than its music </w:t>
      </w:r>
      <w:r w:rsidR="00A213CF">
        <w:t xml:space="preserve">division. This is </w:t>
      </w:r>
      <w:proofErr w:type="gramStart"/>
      <w:r w:rsidR="00A213CF">
        <w:t>despite the fact that</w:t>
      </w:r>
      <w:proofErr w:type="gramEnd"/>
      <w:r w:rsidR="00A213CF">
        <w:t xml:space="preserve"> its corporate presence in Africa is largely based around its music business. Both findings touch on the fact that very little of the revenue generated in or by Africa is recorded there. </w:t>
      </w:r>
    </w:p>
    <w:p w14:paraId="101B539E" w14:textId="609E34BC" w:rsidR="00A213CF" w:rsidRDefault="00A213CF" w:rsidP="00361A11">
      <w:r>
        <w:tab/>
        <w:t xml:space="preserve">Narrowing estimates proved difficult, </w:t>
      </w:r>
      <w:r w:rsidR="00FC7D42">
        <w:t>for two distinct reasons. Some obstacles were specific to Africa: no retail data, so customs declarations had to stand in; no country-level revenue figures from major industry reports; few platform disclosures (Spotify Loud &amp; Clear). Others were built into the way industries track data</w:t>
      </w:r>
      <w:r w:rsidR="001017F7">
        <w:t xml:space="preserve">: </w:t>
      </w:r>
      <w:r w:rsidR="00FC7D42">
        <w:t>Nationality attribution in the music industry was difficult (or rather, time consuming), because it isn’t tracked in any data source</w:t>
      </w:r>
      <w:r w:rsidR="001017F7">
        <w:t xml:space="preserve">; </w:t>
      </w:r>
      <w:r w:rsidR="00FC7D42">
        <w:t xml:space="preserve">“Independent” in industry disclosures covers a variety of financial arrangements </w:t>
      </w:r>
      <w:r w:rsidR="001017F7">
        <w:t xml:space="preserve">with the major labels </w:t>
      </w:r>
      <w:r w:rsidR="00FC7D42">
        <w:t>and their prevalence is unique to Africa.</w:t>
      </w:r>
    </w:p>
    <w:sdt>
      <w:sdtPr>
        <w:id w:val="-433288439"/>
        <w:docPartObj>
          <w:docPartGallery w:val="Bibliographies"/>
          <w:docPartUnique/>
        </w:docPartObj>
      </w:sdtPr>
      <w:sdtEndPr>
        <w:rPr>
          <w:rFonts w:asciiTheme="minorHAnsi" w:eastAsiaTheme="minorHAnsi" w:hAnsiTheme="minorHAnsi" w:cstheme="minorBidi"/>
          <w:color w:val="auto"/>
          <w:sz w:val="22"/>
          <w:szCs w:val="22"/>
        </w:rPr>
      </w:sdtEndPr>
      <w:sdtContent>
        <w:p w14:paraId="5EBCA431" w14:textId="10143A8B" w:rsidR="009B4DE9" w:rsidRDefault="009B4DE9">
          <w:pPr>
            <w:pStyle w:val="Heading1"/>
          </w:pPr>
          <w:r>
            <w:t>References</w:t>
          </w:r>
        </w:p>
        <w:sdt>
          <w:sdtPr>
            <w:id w:val="-573587230"/>
            <w:bibliography/>
          </w:sdtPr>
          <w:sdtContent>
            <w:p w14:paraId="0EC9EBD0" w14:textId="77777777" w:rsidR="009B4DE9" w:rsidRDefault="009B4DE9" w:rsidP="009B4DE9">
              <w:pPr>
                <w:pStyle w:val="Bibliography"/>
                <w:ind w:left="720" w:hanging="720"/>
                <w:rPr>
                  <w:noProof/>
                  <w:sz w:val="24"/>
                  <w:szCs w:val="24"/>
                </w:rPr>
              </w:pPr>
              <w:r>
                <w:fldChar w:fldCharType="begin"/>
              </w:r>
              <w:r>
                <w:instrText xml:space="preserve"> BIBLIOGRAPHY </w:instrText>
              </w:r>
              <w:r>
                <w:fldChar w:fldCharType="separate"/>
              </w:r>
              <w:r>
                <w:rPr>
                  <w:noProof/>
                </w:rPr>
                <w:t xml:space="preserve">IFPI. (2026). </w:t>
              </w:r>
              <w:r>
                <w:rPr>
                  <w:i/>
                  <w:iCs/>
                  <w:noProof/>
                </w:rPr>
                <w:t>Global Music Report.</w:t>
              </w:r>
              <w:r>
                <w:rPr>
                  <w:noProof/>
                </w:rPr>
                <w:t xml:space="preserve"> Retrieved from https://www.ifpi.org/wp-content/uploads/2026/03/GMR2026_SOTI.pdf</w:t>
              </w:r>
            </w:p>
            <w:p w14:paraId="73685590" w14:textId="77777777" w:rsidR="009B4DE9" w:rsidRDefault="009B4DE9" w:rsidP="009B4DE9">
              <w:pPr>
                <w:pStyle w:val="Bibliography"/>
                <w:ind w:left="720" w:hanging="720"/>
                <w:rPr>
                  <w:noProof/>
                </w:rPr>
              </w:pPr>
              <w:r>
                <w:rPr>
                  <w:noProof/>
                </w:rPr>
                <w:t xml:space="preserve">Spotify. (2025). </w:t>
              </w:r>
              <w:r>
                <w:rPr>
                  <w:i/>
                  <w:iCs/>
                  <w:noProof/>
                </w:rPr>
                <w:t>How streaming revenues are distributed.</w:t>
              </w:r>
              <w:r>
                <w:rPr>
                  <w:noProof/>
                </w:rPr>
                <w:t xml:space="preserve"> Retrieved from Loud &amp; Clear: https://loudandclear.byspotify.com/</w:t>
              </w:r>
            </w:p>
            <w:p w14:paraId="04A76EB3" w14:textId="77777777" w:rsidR="009B4DE9" w:rsidRDefault="009B4DE9" w:rsidP="009B4DE9">
              <w:pPr>
                <w:pStyle w:val="Bibliography"/>
                <w:ind w:left="720" w:hanging="720"/>
                <w:rPr>
                  <w:noProof/>
                </w:rPr>
              </w:pPr>
              <w:r>
                <w:rPr>
                  <w:noProof/>
                </w:rPr>
                <w:t xml:space="preserve">Statista. (2026). </w:t>
              </w:r>
              <w:r>
                <w:rPr>
                  <w:i/>
                  <w:iCs/>
                  <w:noProof/>
                </w:rPr>
                <w:t>Game Consoles - Africa.</w:t>
              </w:r>
              <w:r>
                <w:rPr>
                  <w:noProof/>
                </w:rPr>
                <w:t xml:space="preserve"> Retrieved from https://www.statista.com/outlook/cmo/consumer-electronics/gaming-equipment/game-consoles/africa</w:t>
              </w:r>
            </w:p>
            <w:p w14:paraId="264E8665" w14:textId="77777777" w:rsidR="009B4DE9" w:rsidRDefault="009B4DE9" w:rsidP="009B4DE9">
              <w:pPr>
                <w:pStyle w:val="Bibliography"/>
                <w:ind w:left="720" w:hanging="720"/>
                <w:rPr>
                  <w:noProof/>
                </w:rPr>
              </w:pPr>
              <w:r>
                <w:rPr>
                  <w:noProof/>
                </w:rPr>
                <w:t>United Nations Statistics Division. (2025). Retrieved from UN Comtrade: International Merchandise Trade Statistics: https://comtradeplus.un.org/</w:t>
              </w:r>
            </w:p>
            <w:p w14:paraId="05F3D920" w14:textId="4F9E89AB" w:rsidR="009B4DE9" w:rsidRDefault="009B4DE9" w:rsidP="009B4DE9">
              <w:r>
                <w:rPr>
                  <w:b/>
                  <w:bCs/>
                  <w:noProof/>
                </w:rPr>
                <w:fldChar w:fldCharType="end"/>
              </w:r>
            </w:p>
          </w:sdtContent>
        </w:sdt>
      </w:sdtContent>
    </w:sdt>
    <w:p w14:paraId="7D12266F" w14:textId="77777777" w:rsidR="00A213CF" w:rsidRPr="002E2DA2" w:rsidRDefault="00A213CF" w:rsidP="00361A11"/>
    <w:sectPr w:rsidR="00A213CF" w:rsidRPr="002E2DA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82DD7" w14:textId="77777777" w:rsidR="002A306E" w:rsidRDefault="002A306E" w:rsidP="005C44B7">
      <w:pPr>
        <w:spacing w:after="0" w:line="240" w:lineRule="auto"/>
      </w:pPr>
      <w:r>
        <w:separator/>
      </w:r>
    </w:p>
  </w:endnote>
  <w:endnote w:type="continuationSeparator" w:id="0">
    <w:p w14:paraId="4510B299" w14:textId="77777777" w:rsidR="002A306E" w:rsidRDefault="002A306E" w:rsidP="005C4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F199F" w14:textId="77777777" w:rsidR="002A306E" w:rsidRDefault="002A306E" w:rsidP="005C44B7">
      <w:pPr>
        <w:spacing w:after="0" w:line="240" w:lineRule="auto"/>
      </w:pPr>
      <w:r>
        <w:separator/>
      </w:r>
    </w:p>
  </w:footnote>
  <w:footnote w:type="continuationSeparator" w:id="0">
    <w:p w14:paraId="427F796D" w14:textId="77777777" w:rsidR="002A306E" w:rsidRDefault="002A306E" w:rsidP="005C4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35CD" w14:textId="7CF377AD" w:rsidR="005C44B7" w:rsidRDefault="005C44B7">
    <w:pPr>
      <w:pStyle w:val="Header"/>
    </w:pPr>
    <w:r>
      <w:t>Jay Hansjee 2026</w:t>
    </w:r>
  </w:p>
  <w:p w14:paraId="5FC0CAC9" w14:textId="77777777" w:rsidR="005C44B7" w:rsidRDefault="005C44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880"/>
    <w:rsid w:val="00003B32"/>
    <w:rsid w:val="00022CDB"/>
    <w:rsid w:val="000667B2"/>
    <w:rsid w:val="000A5BC2"/>
    <w:rsid w:val="000C7571"/>
    <w:rsid w:val="001017F7"/>
    <w:rsid w:val="00143892"/>
    <w:rsid w:val="001457E7"/>
    <w:rsid w:val="001A5370"/>
    <w:rsid w:val="001C444F"/>
    <w:rsid w:val="002640FC"/>
    <w:rsid w:val="0028590F"/>
    <w:rsid w:val="002A306E"/>
    <w:rsid w:val="002C1BE6"/>
    <w:rsid w:val="002E2DA2"/>
    <w:rsid w:val="002F5CE8"/>
    <w:rsid w:val="00361A11"/>
    <w:rsid w:val="00391BCE"/>
    <w:rsid w:val="003A5208"/>
    <w:rsid w:val="00425AAF"/>
    <w:rsid w:val="00431C7E"/>
    <w:rsid w:val="004354AA"/>
    <w:rsid w:val="00565F91"/>
    <w:rsid w:val="005851F1"/>
    <w:rsid w:val="005C44B7"/>
    <w:rsid w:val="00643009"/>
    <w:rsid w:val="00670CE8"/>
    <w:rsid w:val="006A0ADA"/>
    <w:rsid w:val="007260A7"/>
    <w:rsid w:val="00761224"/>
    <w:rsid w:val="00765AF7"/>
    <w:rsid w:val="007F554B"/>
    <w:rsid w:val="007F6F27"/>
    <w:rsid w:val="00805C23"/>
    <w:rsid w:val="00813D29"/>
    <w:rsid w:val="008C46A4"/>
    <w:rsid w:val="008E3AE1"/>
    <w:rsid w:val="00916880"/>
    <w:rsid w:val="00930C2C"/>
    <w:rsid w:val="00941347"/>
    <w:rsid w:val="00974275"/>
    <w:rsid w:val="009B4DE9"/>
    <w:rsid w:val="00A213CF"/>
    <w:rsid w:val="00A23C23"/>
    <w:rsid w:val="00A45AF8"/>
    <w:rsid w:val="00A5651E"/>
    <w:rsid w:val="00A62FFF"/>
    <w:rsid w:val="00A7574C"/>
    <w:rsid w:val="00A76E74"/>
    <w:rsid w:val="00AD153D"/>
    <w:rsid w:val="00B54B58"/>
    <w:rsid w:val="00BB036C"/>
    <w:rsid w:val="00C21F12"/>
    <w:rsid w:val="00C3500B"/>
    <w:rsid w:val="00DB4872"/>
    <w:rsid w:val="00E318EA"/>
    <w:rsid w:val="00E45864"/>
    <w:rsid w:val="00EF737A"/>
    <w:rsid w:val="00FA2BD3"/>
    <w:rsid w:val="00FC7D42"/>
    <w:rsid w:val="00FD00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6F84"/>
  <w15:chartTrackingRefBased/>
  <w15:docId w15:val="{57F4A822-EFA3-4F69-85D9-365925FF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8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68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68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8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8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8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68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68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8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8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880"/>
    <w:rPr>
      <w:rFonts w:eastAsiaTheme="majorEastAsia" w:cstheme="majorBidi"/>
      <w:color w:val="272727" w:themeColor="text1" w:themeTint="D8"/>
    </w:rPr>
  </w:style>
  <w:style w:type="paragraph" w:styleId="Title">
    <w:name w:val="Title"/>
    <w:basedOn w:val="Normal"/>
    <w:next w:val="Normal"/>
    <w:link w:val="TitleChar"/>
    <w:uiPriority w:val="10"/>
    <w:qFormat/>
    <w:rsid w:val="00916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880"/>
    <w:pPr>
      <w:spacing w:before="160"/>
      <w:jc w:val="center"/>
    </w:pPr>
    <w:rPr>
      <w:i/>
      <w:iCs/>
      <w:color w:val="404040" w:themeColor="text1" w:themeTint="BF"/>
    </w:rPr>
  </w:style>
  <w:style w:type="character" w:customStyle="1" w:styleId="QuoteChar">
    <w:name w:val="Quote Char"/>
    <w:basedOn w:val="DefaultParagraphFont"/>
    <w:link w:val="Quote"/>
    <w:uiPriority w:val="29"/>
    <w:rsid w:val="00916880"/>
    <w:rPr>
      <w:i/>
      <w:iCs/>
      <w:color w:val="404040" w:themeColor="text1" w:themeTint="BF"/>
    </w:rPr>
  </w:style>
  <w:style w:type="paragraph" w:styleId="ListParagraph">
    <w:name w:val="List Paragraph"/>
    <w:basedOn w:val="Normal"/>
    <w:uiPriority w:val="34"/>
    <w:qFormat/>
    <w:rsid w:val="00916880"/>
    <w:pPr>
      <w:ind w:left="720"/>
      <w:contextualSpacing/>
    </w:pPr>
  </w:style>
  <w:style w:type="character" w:styleId="IntenseEmphasis">
    <w:name w:val="Intense Emphasis"/>
    <w:basedOn w:val="DefaultParagraphFont"/>
    <w:uiPriority w:val="21"/>
    <w:qFormat/>
    <w:rsid w:val="00916880"/>
    <w:rPr>
      <w:i/>
      <w:iCs/>
      <w:color w:val="2F5496" w:themeColor="accent1" w:themeShade="BF"/>
    </w:rPr>
  </w:style>
  <w:style w:type="paragraph" w:styleId="IntenseQuote">
    <w:name w:val="Intense Quote"/>
    <w:basedOn w:val="Normal"/>
    <w:next w:val="Normal"/>
    <w:link w:val="IntenseQuoteChar"/>
    <w:uiPriority w:val="30"/>
    <w:qFormat/>
    <w:rsid w:val="009168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880"/>
    <w:rPr>
      <w:i/>
      <w:iCs/>
      <w:color w:val="2F5496" w:themeColor="accent1" w:themeShade="BF"/>
    </w:rPr>
  </w:style>
  <w:style w:type="character" w:styleId="IntenseReference">
    <w:name w:val="Intense Reference"/>
    <w:basedOn w:val="DefaultParagraphFont"/>
    <w:uiPriority w:val="32"/>
    <w:qFormat/>
    <w:rsid w:val="00916880"/>
    <w:rPr>
      <w:b/>
      <w:bCs/>
      <w:smallCaps/>
      <w:color w:val="2F5496" w:themeColor="accent1" w:themeShade="BF"/>
      <w:spacing w:val="5"/>
    </w:rPr>
  </w:style>
  <w:style w:type="table" w:styleId="TableGrid">
    <w:name w:val="Table Grid"/>
    <w:basedOn w:val="TableNormal"/>
    <w:uiPriority w:val="39"/>
    <w:rsid w:val="008E3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757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unhideWhenUsed/>
    <w:rsid w:val="00A5651E"/>
  </w:style>
  <w:style w:type="character" w:styleId="Strong">
    <w:name w:val="Strong"/>
    <w:basedOn w:val="DefaultParagraphFont"/>
    <w:uiPriority w:val="22"/>
    <w:qFormat/>
    <w:rsid w:val="00A23C23"/>
    <w:rPr>
      <w:b/>
      <w:bCs/>
    </w:rPr>
  </w:style>
  <w:style w:type="paragraph" w:styleId="Header">
    <w:name w:val="header"/>
    <w:basedOn w:val="Normal"/>
    <w:link w:val="HeaderChar"/>
    <w:uiPriority w:val="99"/>
    <w:unhideWhenUsed/>
    <w:rsid w:val="005C44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44B7"/>
  </w:style>
  <w:style w:type="paragraph" w:styleId="Footer">
    <w:name w:val="footer"/>
    <w:basedOn w:val="Normal"/>
    <w:link w:val="FooterChar"/>
    <w:uiPriority w:val="99"/>
    <w:unhideWhenUsed/>
    <w:rsid w:val="005C44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4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5573">
      <w:bodyDiv w:val="1"/>
      <w:marLeft w:val="0"/>
      <w:marRight w:val="0"/>
      <w:marTop w:val="0"/>
      <w:marBottom w:val="0"/>
      <w:divBdr>
        <w:top w:val="none" w:sz="0" w:space="0" w:color="auto"/>
        <w:left w:val="none" w:sz="0" w:space="0" w:color="auto"/>
        <w:bottom w:val="none" w:sz="0" w:space="0" w:color="auto"/>
        <w:right w:val="none" w:sz="0" w:space="0" w:color="auto"/>
      </w:divBdr>
    </w:div>
    <w:div w:id="98645575">
      <w:bodyDiv w:val="1"/>
      <w:marLeft w:val="0"/>
      <w:marRight w:val="0"/>
      <w:marTop w:val="0"/>
      <w:marBottom w:val="0"/>
      <w:divBdr>
        <w:top w:val="none" w:sz="0" w:space="0" w:color="auto"/>
        <w:left w:val="none" w:sz="0" w:space="0" w:color="auto"/>
        <w:bottom w:val="none" w:sz="0" w:space="0" w:color="auto"/>
        <w:right w:val="none" w:sz="0" w:space="0" w:color="auto"/>
      </w:divBdr>
    </w:div>
    <w:div w:id="111705590">
      <w:bodyDiv w:val="1"/>
      <w:marLeft w:val="0"/>
      <w:marRight w:val="0"/>
      <w:marTop w:val="0"/>
      <w:marBottom w:val="0"/>
      <w:divBdr>
        <w:top w:val="none" w:sz="0" w:space="0" w:color="auto"/>
        <w:left w:val="none" w:sz="0" w:space="0" w:color="auto"/>
        <w:bottom w:val="none" w:sz="0" w:space="0" w:color="auto"/>
        <w:right w:val="none" w:sz="0" w:space="0" w:color="auto"/>
      </w:divBdr>
    </w:div>
    <w:div w:id="992299450">
      <w:bodyDiv w:val="1"/>
      <w:marLeft w:val="0"/>
      <w:marRight w:val="0"/>
      <w:marTop w:val="0"/>
      <w:marBottom w:val="0"/>
      <w:divBdr>
        <w:top w:val="none" w:sz="0" w:space="0" w:color="auto"/>
        <w:left w:val="none" w:sz="0" w:space="0" w:color="auto"/>
        <w:bottom w:val="none" w:sz="0" w:space="0" w:color="auto"/>
        <w:right w:val="none" w:sz="0" w:space="0" w:color="auto"/>
      </w:divBdr>
    </w:div>
    <w:div w:id="1357928870">
      <w:bodyDiv w:val="1"/>
      <w:marLeft w:val="0"/>
      <w:marRight w:val="0"/>
      <w:marTop w:val="0"/>
      <w:marBottom w:val="0"/>
      <w:divBdr>
        <w:top w:val="none" w:sz="0" w:space="0" w:color="auto"/>
        <w:left w:val="none" w:sz="0" w:space="0" w:color="auto"/>
        <w:bottom w:val="none" w:sz="0" w:space="0" w:color="auto"/>
        <w:right w:val="none" w:sz="0" w:space="0" w:color="auto"/>
      </w:divBdr>
    </w:div>
    <w:div w:id="1362321142">
      <w:bodyDiv w:val="1"/>
      <w:marLeft w:val="0"/>
      <w:marRight w:val="0"/>
      <w:marTop w:val="0"/>
      <w:marBottom w:val="0"/>
      <w:divBdr>
        <w:top w:val="none" w:sz="0" w:space="0" w:color="auto"/>
        <w:left w:val="none" w:sz="0" w:space="0" w:color="auto"/>
        <w:bottom w:val="none" w:sz="0" w:space="0" w:color="auto"/>
        <w:right w:val="none" w:sz="0" w:space="0" w:color="auto"/>
      </w:divBdr>
    </w:div>
    <w:div w:id="1422406602">
      <w:bodyDiv w:val="1"/>
      <w:marLeft w:val="0"/>
      <w:marRight w:val="0"/>
      <w:marTop w:val="0"/>
      <w:marBottom w:val="0"/>
      <w:divBdr>
        <w:top w:val="none" w:sz="0" w:space="0" w:color="auto"/>
        <w:left w:val="none" w:sz="0" w:space="0" w:color="auto"/>
        <w:bottom w:val="none" w:sz="0" w:space="0" w:color="auto"/>
        <w:right w:val="none" w:sz="0" w:space="0" w:color="auto"/>
      </w:divBdr>
    </w:div>
    <w:div w:id="1488016777">
      <w:bodyDiv w:val="1"/>
      <w:marLeft w:val="0"/>
      <w:marRight w:val="0"/>
      <w:marTop w:val="0"/>
      <w:marBottom w:val="0"/>
      <w:divBdr>
        <w:top w:val="none" w:sz="0" w:space="0" w:color="auto"/>
        <w:left w:val="none" w:sz="0" w:space="0" w:color="auto"/>
        <w:bottom w:val="none" w:sz="0" w:space="0" w:color="auto"/>
        <w:right w:val="none" w:sz="0" w:space="0" w:color="auto"/>
      </w:divBdr>
    </w:div>
    <w:div w:id="1489319706">
      <w:bodyDiv w:val="1"/>
      <w:marLeft w:val="0"/>
      <w:marRight w:val="0"/>
      <w:marTop w:val="0"/>
      <w:marBottom w:val="0"/>
      <w:divBdr>
        <w:top w:val="none" w:sz="0" w:space="0" w:color="auto"/>
        <w:left w:val="none" w:sz="0" w:space="0" w:color="auto"/>
        <w:bottom w:val="none" w:sz="0" w:space="0" w:color="auto"/>
        <w:right w:val="none" w:sz="0" w:space="0" w:color="auto"/>
      </w:divBdr>
    </w:div>
    <w:div w:id="1653411760">
      <w:bodyDiv w:val="1"/>
      <w:marLeft w:val="0"/>
      <w:marRight w:val="0"/>
      <w:marTop w:val="0"/>
      <w:marBottom w:val="0"/>
      <w:divBdr>
        <w:top w:val="none" w:sz="0" w:space="0" w:color="auto"/>
        <w:left w:val="none" w:sz="0" w:space="0" w:color="auto"/>
        <w:bottom w:val="none" w:sz="0" w:space="0" w:color="auto"/>
        <w:right w:val="none" w:sz="0" w:space="0" w:color="auto"/>
      </w:divBdr>
    </w:div>
    <w:div w:id="192684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Spo25</b:Tag>
    <b:SourceType>DocumentFromInternetSite</b:SourceType>
    <b:Guid>{AFFCBFF1-2ABF-44C1-9734-7EC73691E0F3}</b:Guid>
    <b:Title>How streaming revenues are distributed</b:Title>
    <b:InternetSiteTitle>Loud &amp; Clear</b:InternetSiteTitle>
    <b:Year>2025</b:Year>
    <b:URL>https://loudandclear.byspotify.com/</b:URL>
    <b:Author>
      <b:Author>
        <b:Corporate>Spotify</b:Corporate>
      </b:Author>
    </b:Author>
    <b:RefOrder>2</b:RefOrder>
  </b:Source>
  <b:Source>
    <b:Tag>Uni26</b:Tag>
    <b:SourceType>DocumentFromInternetSite</b:SourceType>
    <b:Guid>{9A65A3AF-84A1-408A-9D30-B3EE79ADB445}</b:Guid>
    <b:Author>
      <b:Author>
        <b:Corporate>United Nations Statistics Division</b:Corporate>
      </b:Author>
    </b:Author>
    <b:InternetSiteTitle>UN Comtrade: International Merchandise Trade Statistics</b:InternetSiteTitle>
    <b:Year>2025</b:Year>
    <b:URL>https://comtradeplus.un.org/</b:URL>
    <b:RefOrder>3</b:RefOrder>
  </b:Source>
  <b:Source>
    <b:Tag>Sta26</b:Tag>
    <b:SourceType>DocumentFromInternetSite</b:SourceType>
    <b:Guid>{089D2698-EA58-4436-BAE8-033B08062120}</b:Guid>
    <b:Author>
      <b:Author>
        <b:Corporate>Statista</b:Corporate>
      </b:Author>
    </b:Author>
    <b:Title>Game Consoles - Africa</b:Title>
    <b:Year>2026</b:Year>
    <b:Publisher>`</b:Publisher>
    <b:URL>https://www.statista.com/outlook/cmo/consumer-electronics/gaming-equipment/game-consoles/africa</b:URL>
    <b:RefOrder>4</b:RefOrder>
  </b:Source>
  <b:Source>
    <b:Tag>IFP26</b:Tag>
    <b:SourceType>DocumentFromInternetSite</b:SourceType>
    <b:Guid>{5DD3A446-F807-4F9C-A8D3-4AE462E58F7E}</b:Guid>
    <b:Title>Global Music Report</b:Title>
    <b:Year>2026</b:Year>
    <b:Author>
      <b:Author>
        <b:Corporate>IFPI</b:Corporate>
      </b:Author>
    </b:Author>
    <b:URL>https://www.ifpi.org/wp-content/uploads/2026/03/GMR2026_SOTI.pdf</b:URL>
    <b:RefOrder>1</b:RefOrder>
  </b:Source>
</b:Sources>
</file>

<file path=customXml/itemProps1.xml><?xml version="1.0" encoding="utf-8"?>
<ds:datastoreItem xmlns:ds="http://schemas.openxmlformats.org/officeDocument/2006/customXml" ds:itemID="{FF1C3709-6446-467F-8268-222B97369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6384</TotalTime>
  <Pages>3</Pages>
  <Words>1315</Words>
  <Characters>7499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Hansjee (Student)</dc:creator>
  <cp:keywords/>
  <dc:description/>
  <cp:lastModifiedBy>Jay Hansjee (Student)</cp:lastModifiedBy>
  <cp:revision>8</cp:revision>
  <dcterms:created xsi:type="dcterms:W3CDTF">2026-09-17T11:57:00Z</dcterms:created>
  <dcterms:modified xsi:type="dcterms:W3CDTF">2026-09-28T13:30:00Z</dcterms:modified>
</cp:coreProperties>
</file>