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Jay Jajoo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+1-857-351-1933 | jayjajoo02@gmail.com | </w:t>
      </w:r>
      <w:hyperlink w:history="1" r:id="rIdi7t4ovklyqcgy3mfs_s45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| </w:t>
      </w:r>
      <w:hyperlink w:history="1" r:id="rIdow0nxn4wnt8l8u8804wph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sz w:val="17"/>
          <w:szCs w:val="17"/>
        </w:rPr>
        <w:t xml:space="preserve"> | </w:t>
      </w:r>
      <w:hyperlink w:history="1" r:id="rId6dggp8oewat-5h4tjydnw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Portfolio</w:t>
        </w:r>
      </w:hyperlink>
    </w:p>
    <w:p>
      <w:pPr>
        <w:pBdr>
          <w:bottom w:val="single" w:color="000000" w:sz="6" w:space="1"/>
        </w:pBd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Northeastern University (Khoury College)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Boston, MA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 2024 – Dec 2026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Master of Science in Data Science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CGPA: 3.96 / 4.0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Coursework: Large Language Models, NLP, Supervised &amp; Unsupervised ML, ML Operations, Data Mining, Data Preprocessing, Algorithms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Vellore Institute of Technology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Tamil Nadu, India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 2020 – May 2024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B.Tech. in Computer Science and Engineering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CGPA: 9.05 / 10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Coursework: Machine Learning, Statistics, DBMS, DSA, Parallel Programming, Time Series, Ensemble Methods, MLOps, PEFT, LoRA</w:t>
      </w:r>
    </w:p>
    <w:p>
      <w:pPr>
        <w:pBdr>
          <w:bottom w:val="single" w:color="000000" w:sz="6" w:space="1"/>
        </w:pBd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 w:before="30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 (MySQL, PostgreSQL, Redshift), JavaScript, C++, Java, HTML/CSS</w:t>
      </w:r>
    </w:p>
    <w:p>
      <w:pPr>
        <w:spacing w:after="0" w:before="8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/ AI: </w:t>
      </w:r>
      <w:r>
        <w:rPr>
          <w:rFonts w:ascii="Calibri" w:cs="Calibri" w:eastAsia="Calibri" w:hAnsi="Calibri"/>
          <w:sz w:val="19"/>
          <w:szCs w:val="19"/>
        </w:rPr>
        <w:t xml:space="preserve">PyTorch, TensorFlow, Scikit-learn, XGBoost, Hugging Face Transformers, BERT, PEFT/LoRA, Fine-Tuning, LLMs, GenAI, Agentic Workflows, Computer Vision, NLP/NLU, Deep Learning</w:t>
      </w:r>
    </w:p>
    <w:p>
      <w:pPr>
        <w:spacing w:after="0" w:before="8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MLOps: </w:t>
      </w:r>
      <w:r>
        <w:rPr>
          <w:rFonts w:ascii="Calibri" w:cs="Calibri" w:eastAsia="Calibri" w:hAnsi="Calibri"/>
          <w:sz w:val="19"/>
          <w:szCs w:val="19"/>
        </w:rPr>
        <w:t xml:space="preserve">Pandas, NumPy, PySpark, Polars, LangChain, LangGraph, LangSmith, MLflow, DVC, Airflow, Pydantic, Feature Engineering, Predictive Modeling, Statistical Analysis</w:t>
      </w:r>
    </w:p>
    <w:p>
      <w:pPr>
        <w:spacing w:after="0" w:before="8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Cloud: </w:t>
      </w:r>
      <w:r>
        <w:rPr>
          <w:rFonts w:ascii="Calibri" w:cs="Calibri" w:eastAsia="Calibri" w:hAnsi="Calibri"/>
          <w:sz w:val="19"/>
          <w:szCs w:val="19"/>
        </w:rPr>
        <w:t xml:space="preserve">AWS (S3, EC2, SageMaker, Glue, Athena, Bedrock), Snowflake, Docker, Git, Tableau, Power BI, Flask, React, Node.js, MongoDB</w:t>
      </w:r>
    </w:p>
    <w:p>
      <w:pPr>
        <w:pBdr>
          <w:bottom w:val="single" w:color="000000" w:sz="6" w:space="1"/>
        </w:pBd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Science Co-op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Institute for Experiential AI, Portland, 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 2026 – Aug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Engineered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synthetic control pipeline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Difference-in-Differences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framework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Two-Way Fixed Effects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clustered standard errors) for a Maine-based retailer, quantifying causal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price elasticity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across product lines with estimates aligned to internal PEC benchmarks within 80% accuracy.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Architected an end-to-end insurance policy-issue prediction system spanning 5+ data sources (raw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XML prefill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CLUE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history), engineering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1,700+ features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alongside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transformer encoder embeddings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temporal quote-change patterns, boosting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gradient-boosting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model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Gini coefficient by 43%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LangGraph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-based autonomous agent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LangSmith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tracing, multi-LLM orchestration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Anthropic, Bedrock, Gemini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), crash-recovery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S3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checkpointing, and auto-generated schema documentation to extract structured data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9.5M+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raw XML records, cutting extraction time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50%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Accelerated SQL development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5x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Claude Code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auto-generate complex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multi-CTE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feature queries, enabling rapid iteration across feature engineering pipelines.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Science Intern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Imagine Web Technologies, Maharashtra, India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7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 2023 – Jul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Constructed an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ETL pipeline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consolidating multi-source customer data, standardizing formats and resolving inconsistencies, reducing manual integration time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35%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accelerating downstream model development cycles.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Fine-tuned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BERT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model on long-form customer queries, leveraging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contextual embeddings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improve query classification accuracy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17%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; benchmarked against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logistic regression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neural network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baselines for conversion prediction.</w:t>
      </w:r>
    </w:p>
    <w:p>
      <w:pPr>
        <w:pBdr>
          <w:bottom w:val="single" w:color="000000" w:sz="6" w:space="1"/>
        </w:pBd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QueryHub – RAG-Based Text-to-SQL Platform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Airflow, Docker, LangGraph, LoRA, MLflow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 2025 – Sep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Airflow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-orchestrated ETL pipeline for synthetic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SQL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generation and validation across 11 domains, integrating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LangGraph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schema embeddings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ChromaDB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) and real-time semantic querying with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bias detection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reducing manual data preparation time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30%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Deployed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platform for natural-language-to-SQL querying; applied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LoRA fine-tuning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T5-large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achieving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85% accuracy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containerized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monitored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Prometheus/Grafana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(40+ metrics), hosted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GCP Cloud Run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Spelling Correction &amp; Next-Word Prediction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PyTorch, Bi-LSTM, React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 2025 – Apr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 dual-function NLP system pairing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Siamese Network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spelling correction with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Bi-LSTM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next-word predictor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99.5% accuracy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perplexity of 2); shipped a full-stack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React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app via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RESTful API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 ms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latency.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 Detection &amp; 3D Coordinate Prediction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Python, YOLOv8, MiDaS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 2024 – Dec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Integrated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YOLOv8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object detection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MiDaS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depth estimation to deliver real-time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3D perception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autonomous driving; evaluated YOLOv5/v8 configurations, achieving optimal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precision 0.94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recall 0.89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mAP50 0.94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Home Anomaly Detection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PyTorch, LSTM Autoencoder, DBSCAN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 2024 – Dec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Consolidated 30 sensor data files, evaluating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Isolation Forest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DBSCAN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LSTM Autoencoders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anomaly detection; achieved a reconstruction error threshold of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0.016%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at the 95th percentile.</w:t>
      </w:r>
    </w:p>
    <w:p>
      <w:pPr>
        <w:pBdr>
          <w:bottom w:val="single" w:color="000000" w:sz="6" w:space="1"/>
        </w:pBd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sz w:val="19"/>
          <w:szCs w:val="19"/>
        </w:rPr>
        <w:t xml:space="preserve">Certified AWS Solutions Architect – Amazon Web Services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sz w:val="19"/>
          <w:szCs w:val="19"/>
        </w:rPr>
        <w:t xml:space="preserve">Published: Fungi Classification using Deep Learning – Springer IDBA 2024</w:t>
      </w:r>
    </w:p>
    <w:p>
      <w:pPr>
        <w:pStyle w:val="ListParagraph"/>
        <w:numPr>
          <w:ilvl w:val="0"/>
          <w:numId w:val="2"/>
        </w:numPr>
        <w:spacing w:after="0" w:before="15"/>
      </w:pPr>
      <w:r>
        <w:rPr>
          <w:rFonts w:ascii="Calibri" w:cs="Calibri" w:eastAsia="Calibri" w:hAnsi="Calibri"/>
          <w:sz w:val="19"/>
          <w:szCs w:val="19"/>
        </w:rPr>
        <w:t xml:space="preserve">Published: Performance Comparison of RNNs for Metamorphic Malwares – IEEE ICDSNS 2023</w:t>
      </w:r>
    </w:p>
    <w:sectPr>
      <w:pgSz w:w="12240" w:h="15840" w:orient="portrait"/>
      <w:pgMar w:top="48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7t4ovklyqcgy3mfs_s45" Type="http://schemas.openxmlformats.org/officeDocument/2006/relationships/hyperlink" Target="https://www.linkedin.com/in/jayjajoo" TargetMode="External"/><Relationship Id="rIdow0nxn4wnt8l8u8804wph" Type="http://schemas.openxmlformats.org/officeDocument/2006/relationships/hyperlink" Target="https://github.com/JayJajoo" TargetMode="External"/><Relationship Id="rId6dggp8oewat-5h4tjydnw" Type="http://schemas.openxmlformats.org/officeDocument/2006/relationships/hyperlink" Target="https://jayjajoo.github.io/portfolio-v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2026-04-16T18:23:24.616Z</dcterms:created>
  <dcterms:modified xsi:type="dcterms:W3CDTF">2026-04-16T18:23:24.618Z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