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Court Clerk Monetization</w:t>
        <w:br/>
        <w:t>and Current Pilot Roles</w:t>
      </w:r>
    </w:p>
    <w:p>
      <w:pPr>
        <w:jc w:val="center"/>
      </w:pPr>
      <w:r>
        <w:rPr>
          <w:i/>
          <w:color w:val="546576"/>
          <w:sz w:val="22"/>
        </w:rPr>
        <w:t>Current feature status and recommended monetization approach</w:t>
      </w:r>
    </w:p>
    <w:p>
      <w:pPr>
        <w:jc w:val="center"/>
      </w:pPr>
      <w:r>
        <w:rPr>
          <w:color w:val="69737D"/>
          <w:sz w:val="18"/>
        </w:rPr>
        <w:t>12 October 2026</w:t>
      </w:r>
    </w:p>
    <w:p>
      <w:r>
        <w:rPr>
          <w:b/>
          <w:color w:val="14395B"/>
        </w:rPr>
        <w:t xml:space="preserve">Important distinction: Court Clerk is gated, not monetized. </w:t>
      </w:r>
      <w:r>
        <w:t xml:space="preserve">The server reads </w:t>
      </w:r>
      <w:r>
        <w:rPr>
          <w:rFonts w:ascii="Consolas" w:hAnsi="Consolas"/>
          <w:sz w:val="18"/>
        </w:rPr>
        <w:t>COURTLOG_PAID_FEATURES=court_clerk</w:t>
      </w:r>
      <w:r>
        <w:t xml:space="preserve"> and uses it to allow Court Clerk accounts and access. It checks the entitlement during account creation, sign-in, token refresh, and authenticated requests. The setting does not take payment, create subscriptions, or verify that anyone has paid. In the current implementation it is deployment-wide, not a separate entitlement for each court or organization.</w:t>
      </w:r>
    </w:p>
    <w:p>
      <w:pPr>
        <w:pStyle w:val="Heading1"/>
      </w:pPr>
      <w:r>
        <w:t>Monetizing the Court Clerk feature</w:t>
      </w:r>
    </w:p>
    <w:p>
      <w:r>
        <w:t>A practical model to explore:</w:t>
      </w:r>
    </w:p>
    <w:p>
      <w:pPr>
        <w:pStyle w:val="ListNumber"/>
      </w:pPr>
      <w:r>
        <w:rPr>
          <w:b/>
        </w:rPr>
        <w:t xml:space="preserve">Sell to an organization, not individual staff. </w:t>
      </w:r>
      <w:r>
        <w:t>The payer should be the court or another authorized organizational buyer—not Court Clerks, litigants, or counsel.</w:t>
      </w:r>
    </w:p>
    <w:p>
      <w:pPr>
        <w:pStyle w:val="ListNumber"/>
      </w:pPr>
      <w:r>
        <w:rPr>
          <w:b/>
        </w:rPr>
        <w:t xml:space="preserve">Offer Court Clerk as an institutional add-on. </w:t>
      </w:r>
      <w:r>
        <w:t>Start by pricing it per court/site, or in bands of authorized Court Clerk accounts. Per-court pricing is usually easier to budget; per-seat pricing is easier to count but can discourage appropriate staff access. Avoid charging per hearing, case, or outcome.</w:t>
      </w:r>
    </w:p>
    <w:p>
      <w:pPr>
        <w:pStyle w:val="ListNumber"/>
      </w:pPr>
      <w:r>
        <w:rPr>
          <w:b/>
        </w:rPr>
        <w:t xml:space="preserve">Keep service costs distinct. </w:t>
      </w:r>
      <w:r>
        <w:t>Hosting, onboarding, staff training, support, backups, and service levels could be separate contract items.</w:t>
      </w:r>
    </w:p>
    <w:p>
      <w:pPr>
        <w:pStyle w:val="ListNumber"/>
      </w:pPr>
      <w:r>
        <w:rPr>
          <w:b/>
        </w:rPr>
        <w:t xml:space="preserve">Validate before setting prices. </w:t>
      </w:r>
      <w:r>
        <w:t>In a permitted pilot, measure adoption and administrative value, estimate hosting/support costs, and ask the actual buyer what procurement and budget model works. There is not yet evidence to recommend a price.</w:t>
      </w:r>
    </w:p>
    <w:p>
      <w:pPr>
        <w:pStyle w:val="Heading2"/>
      </w:pPr>
      <w:r>
        <w:t>What billing would require</w:t>
      </w:r>
    </w:p>
    <w:p>
      <w:r>
        <w:t>To make billing real, add an organization-aware entitlement record—for example, feature, organization, status, effective dates, and any seat limit—checked by the server. A payment provider or invoice/contract process could then update that record through verified, auditable server-side processes. The current environment variable could remain a deployment-level override, but it is not enough to bill different courts separately within one shared deployment. No payment provider or billing lifecycle has been selected or implemented.</w:t>
      </w:r>
    </w:p>
    <w:p>
      <w:pPr>
        <w:pStyle w:val="Heading1"/>
      </w:pPr>
      <w:r>
        <w:t>How the roles work now</w:t>
      </w:r>
    </w:p>
    <w:p>
      <w:r>
        <w:t>The API is the security boundary; hiding a button in the UI does not grant or remove permission. A paid entitlement also does not give a Court Clerk wider case access: the account’s assigned court and division still apply.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 w:val="true"/>
        </w:trPr>
        <w:tc>
          <w:tcPr>
            <w:tcW w:type="dxa" w:w="2232"/>
            <w:vAlign w:val="center"/>
            <w:shd w:fill="14395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992"/>
            <w:vAlign w:val="center"/>
            <w:shd w:fill="14395B"/>
          </w:tcPr>
          <w:p>
            <w:r>
              <w:rPr>
                <w:b/>
                <w:color w:val="FFFFFF"/>
                <w:sz w:val="18"/>
              </w:rPr>
              <w:t>Current access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Chief Judge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Read-only, court-wide docket and operational prompts; cannot edit cases or administer accounts.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Chief Registrar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All-court, read-only case oversight; administers accounts, remaps legacy Clerk accounts, and reads audit and summary information. Does not register cases or change hearings, assignments, or custody.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Deputy Chief Registrar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Court-wide review and reports; can acknowledge or resolve configured review items and make an audited division correction within the same court. These prompts are not legal findings.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Registrar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Court-wide registry operations, including Judge/Sheriff assignments, judgment-delivery date, writ issue and assignment, and separately requested adjournment notices. Does not enter hearing outcomes or record Sheriff execution.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Filing Clerk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Registers cases in assigned scope, issues QR labels, records custody check-ins, and enters document metadata. QR-label issuance is Filing Clerk-only.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Registry Clerk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Scoped case reads, custody check-ins, document metadata, missing-file reports and recovery; can view eligible Sheriff choices, but cannot assign a Sheriff.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Court Clerk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When the server entitlement is enabled, can enter supported hearing events, check files in, and report or resolve missing files. Hearing entry does not itself send WhatsApp or record a judgment.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Bailiff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Scoped case reads and custody check-ins. Separate process-service, affidavit, and writ-execution workflows are not implemented.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Sheriff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Access to assigned cases; custody check-ins and handovers, missing/found actions, and execution/return for an eligible delivered judgment. Cannot issue a writ.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60"/>
            </w:pPr>
            <w:r>
              <w:rPr>
                <w:b/>
                <w:color w:val="14395B"/>
                <w:sz w:val="18"/>
              </w:rPr>
              <w:t>Presiding Judge (optional)</w:t>
            </w:r>
          </w:p>
        </w:tc>
        <w:tc>
          <w:tcPr>
            <w:tcW w:type="dxa" w:w="7992"/>
            <w:vAlign w:val="center"/>
          </w:tcPr>
          <w:p>
            <w:pPr>
              <w:spacing w:after="60"/>
            </w:pPr>
            <w:r>
              <w:rPr>
                <w:sz w:val="18"/>
              </w:rPr>
              <w:t>Read-only dashboard fields and operational prompts for cases assigned to that Judge.</w:t>
            </w:r>
          </w:p>
        </w:tc>
      </w:tr>
    </w:tbl>
    <w:p>
      <w:pPr>
        <w:pStyle w:val="Heading2"/>
      </w:pPr>
      <w:r>
        <w:t>Scope, legacy accounts, and deferred roles</w:t>
      </w:r>
    </w:p>
    <w:p>
      <w:r>
        <w:t>Chief Registrar has all-court scope. Chief Judge, Deputy Chief Registrar, and Registrar are scoped to one court across its divisions; other staff are generally division-scoped unless deliberately assigned broader scope. Presiding Judge access additionally requires the case to be assigned to that user. Sheriff custody actions require current assignment, with a limited read fallback for older unassigned cases.</w:t>
      </w:r>
    </w:p>
    <w:p>
      <w:pPr>
        <w:pStyle w:val="ListBullet"/>
      </w:pPr>
      <w:r>
        <w:t>Only approved first-pilot roles are assignable. Cashier/Fees Clerk has no first-pilot task; Counsel and Counsel’s Clerk are deferred.</w:t>
      </w:r>
    </w:p>
    <w:p>
      <w:pPr>
        <w:pStyle w:val="ListBullet"/>
      </w:pPr>
      <w:r>
        <w:t>Legacy DCR and Judge roles migrate to Deputy Chief Registrar and Presiding Judge. An old generic Clerk is not automatically mapped: sign-in is blocked until a Chief Registrar explicitly assigns a new role and records a reason.</w:t>
      </w:r>
    </w:p>
    <w:p>
      <w:pPr>
        <w:pStyle w:val="ListBullet"/>
      </w:pPr>
      <w:r>
        <w:t>A Court Clerk entitlement enables the feature but does not override the account’s case scope or prove payment.</w:t>
      </w:r>
    </w:p>
    <w:p>
      <w:r>
        <w:rPr>
          <w:b/>
        </w:rPr>
        <w:t xml:space="preserve">Implementation reference: </w:t>
      </w:r>
      <w:r>
        <w:t>docs/COURTLOG_ROLE_ACCESS_MATRIX.md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D6C7B"/>
        <w:sz w:val="16"/>
      </w:rPr>
      <w:t xml:space="preserve">CourtLOG competition-team prototype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D6C7B"/>
        <w:sz w:val="16"/>
      </w:rPr>
      <w:t>COURTLOG  |  INTERNAL PRODUCT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0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9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9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 Clerk Monetization and Current Pilot Roles</dc:title>
  <dc:subject>CourtLOG feature entitlement, monetization options, and implemented pilot role permissions</dc:subject>
  <dc:creator>CourtLOG project team</dc:creator>
  <cp:keywords>CourtLOG, Court Clerk, monetization, RBAC, role permissions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