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CourtLOG Security Framework</w:t>
      </w:r>
    </w:p>
    <w:p>
      <w:r>
        <w:rPr>
          <w:color w:val="6B7280"/>
          <w:sz w:val="26"/>
        </w:rPr>
        <w:t>Security Measures &amp; Data Protection Safeguards</w:t>
      </w:r>
    </w:p>
    <w:p>
      <w:r>
        <w:t>This document outlines the security measures that will be implemented in CourtLOG to safeguard court data, user data, and ensure the overall security and safety of the system. Measures are organized by implementation phase.</w:t>
      </w:r>
    </w:p>
    <w:p>
      <w:pPr>
        <w:pStyle w:val="Heading2"/>
      </w:pPr>
      <w:r>
        <w:t>1. System Overview</w:t>
      </w:r>
    </w:p>
    <w:p>
      <w:r>
        <w:t>CourtLOG is a court file tracking and adjournment compliance system designed for Nigerian court registries. It handles sensitive judicial data including:</w:t>
      </w:r>
    </w:p>
    <w:p>
      <w:pPr>
        <w:pStyle w:val="ListBullet"/>
      </w:pPr>
      <w:r>
        <w:t>Case records: suit numbers, case types, hearing schedules, adjournment history</w:t>
      </w:r>
    </w:p>
    <w:p>
      <w:pPr>
        <w:pStyle w:val="ListBullet"/>
      </w:pPr>
      <w:r>
        <w:t>Party information: names, phone numbers, addresses of litigants and counsel</w:t>
      </w:r>
    </w:p>
    <w:p>
      <w:pPr>
        <w:pStyle w:val="ListBullet"/>
      </w:pPr>
      <w:r>
        <w:t>Judicial assignments: judge allocations, docket management</w:t>
      </w:r>
    </w:p>
    <w:p>
      <w:pPr>
        <w:pStyle w:val="ListBullet"/>
      </w:pPr>
      <w:r>
        <w:t>Enforcement records: writ execution, sheriff assignments</w:t>
      </w:r>
    </w:p>
    <w:p>
      <w:pPr>
        <w:pStyle w:val="ListBullet"/>
      </w:pPr>
      <w:r>
        <w:t>User accounts: court personnel credentials and role assignments</w:t>
      </w:r>
    </w:p>
    <w:p>
      <w:pPr>
        <w:pStyle w:val="Heading3"/>
      </w:pPr>
      <w:r>
        <w:t>Technology Stack:</w:t>
      </w:r>
    </w:p>
    <w:tbl>
      <w:tblPr>
        <w:tblStyle w:val="TableGrid"/>
        <w:tblW w:type="auto" w:w="0"/>
        <w:jc w:val="center"/>
        <w:tblLook w:firstColumn="1" w:firstRow="1" w:lastColumn="0" w:lastRow="0" w:noHBand="0" w:noVBand="1" w:val="04A0"/>
      </w:tblPr>
      <w:tblGrid>
        <w:gridCol w:w="4320"/>
        <w:gridCol w:w="4320"/>
      </w:tblGrid>
      <w:tr>
        <w:tc>
          <w:tcPr>
            <w:tcW w:type="dxa" w:w="4320"/>
            <w:shd w:fill="064E3B" w:val="clear"/>
          </w:tcPr>
          <w:p>
            <w:pPr>
              <w:jc w:val="center"/>
            </w:pPr>
            <w:r>
              <w:rPr>
                <w:b/>
                <w:color w:val="FFFFFF"/>
                <w:sz w:val="18"/>
              </w:rPr>
              <w:t>Component</w:t>
            </w:r>
          </w:p>
        </w:tc>
        <w:tc>
          <w:tcPr>
            <w:tcW w:type="dxa" w:w="4320"/>
            <w:shd w:fill="064E3B" w:val="clear"/>
          </w:tcPr>
          <w:p>
            <w:pPr>
              <w:jc w:val="center"/>
            </w:pPr>
            <w:r>
              <w:rPr>
                <w:b/>
                <w:color w:val="FFFFFF"/>
                <w:sz w:val="18"/>
              </w:rPr>
              <w:t>Technology</w:t>
            </w:r>
          </w:p>
        </w:tc>
      </w:tr>
      <w:tr>
        <w:tc>
          <w:tcPr>
            <w:tcW w:type="dxa" w:w="4320"/>
          </w:tcPr>
          <w:p>
            <w:r>
              <w:rPr>
                <w:sz w:val="18"/>
              </w:rPr>
              <w:t>Backend API</w:t>
            </w:r>
          </w:p>
        </w:tc>
        <w:tc>
          <w:tcPr>
            <w:tcW w:type="dxa" w:w="4320"/>
          </w:tcPr>
          <w:p>
            <w:r>
              <w:rPr>
                <w:sz w:val="18"/>
              </w:rPr>
              <w:t>Python FastAPI</w:t>
            </w:r>
          </w:p>
        </w:tc>
      </w:tr>
      <w:tr>
        <w:tc>
          <w:tcPr>
            <w:tcW w:type="dxa" w:w="4320"/>
          </w:tcPr>
          <w:p>
            <w:r>
              <w:rPr>
                <w:sz w:val="18"/>
              </w:rPr>
              <w:t>Frontend</w:t>
            </w:r>
          </w:p>
        </w:tc>
        <w:tc>
          <w:tcPr>
            <w:tcW w:type="dxa" w:w="4320"/>
          </w:tcPr>
          <w:p>
            <w:r>
              <w:rPr>
                <w:sz w:val="18"/>
              </w:rPr>
              <w:t>HTML/JS Single Page Application</w:t>
            </w:r>
          </w:p>
        </w:tc>
      </w:tr>
      <w:tr>
        <w:tc>
          <w:tcPr>
            <w:tcW w:type="dxa" w:w="4320"/>
          </w:tcPr>
          <w:p>
            <w:r>
              <w:rPr>
                <w:sz w:val="18"/>
              </w:rPr>
              <w:t>Database</w:t>
            </w:r>
          </w:p>
        </w:tc>
        <w:tc>
          <w:tcPr>
            <w:tcW w:type="dxa" w:w="4320"/>
          </w:tcPr>
          <w:p>
            <w:r>
              <w:rPr>
                <w:sz w:val="18"/>
              </w:rPr>
              <w:t>Google Firestore (production) / JSON files (development)</w:t>
            </w:r>
          </w:p>
        </w:tc>
      </w:tr>
      <w:tr>
        <w:tc>
          <w:tcPr>
            <w:tcW w:type="dxa" w:w="4320"/>
          </w:tcPr>
          <w:p>
            <w:r>
              <w:rPr>
                <w:sz w:val="18"/>
              </w:rPr>
              <w:t>ML Engine</w:t>
            </w:r>
          </w:p>
        </w:tc>
        <w:tc>
          <w:tcPr>
            <w:tcW w:type="dxa" w:w="4320"/>
          </w:tcPr>
          <w:p>
            <w:r>
              <w:rPr>
                <w:sz w:val="18"/>
              </w:rPr>
              <w:t>scikit-learn (delay-risk prediction)</w:t>
            </w:r>
          </w:p>
        </w:tc>
      </w:tr>
      <w:tr>
        <w:tc>
          <w:tcPr>
            <w:tcW w:type="dxa" w:w="4320"/>
          </w:tcPr>
          <w:p>
            <w:r>
              <w:rPr>
                <w:sz w:val="18"/>
              </w:rPr>
              <w:t>Notifications</w:t>
            </w:r>
          </w:p>
        </w:tc>
        <w:tc>
          <w:tcPr>
            <w:tcW w:type="dxa" w:w="4320"/>
          </w:tcPr>
          <w:p>
            <w:r>
              <w:rPr>
                <w:sz w:val="18"/>
              </w:rPr>
              <w:t>WhatsApp API integration</w:t>
            </w:r>
          </w:p>
        </w:tc>
      </w:tr>
      <w:tr>
        <w:tc>
          <w:tcPr>
            <w:tcW w:type="dxa" w:w="4320"/>
          </w:tcPr>
          <w:p>
            <w:r>
              <w:rPr>
                <w:sz w:val="18"/>
              </w:rPr>
              <w:t>Authentication</w:t>
            </w:r>
          </w:p>
        </w:tc>
        <w:tc>
          <w:tcPr>
            <w:tcW w:type="dxa" w:w="4320"/>
          </w:tcPr>
          <w:p>
            <w:r>
              <w:rPr>
                <w:sz w:val="18"/>
              </w:rPr>
              <w:t>Role-Based Access Control (5 levels)</w:t>
            </w:r>
          </w:p>
        </w:tc>
      </w:tr>
    </w:tbl>
    <w:p>
      <w:pPr>
        <w:pStyle w:val="Heading2"/>
      </w:pPr>
      <w:r>
        <w:t>2. Phase 1 — Critical Security (Pre-Demo)</w:t>
      </w:r>
    </w:p>
    <w:p>
      <w:r>
        <w:t xml:space="preserve">Estimated effort: 14-21 hours | </w:t>
      </w:r>
      <w:r>
        <w:rPr>
          <w:b/>
        </w:rPr>
        <w:t>Must be completed before any external demonstration.</w:t>
      </w:r>
    </w:p>
    <w:p>
      <w:pPr>
        <w:pStyle w:val="Heading3"/>
      </w:pPr>
      <w:r>
        <w:t>2.1 Password Security</w:t>
      </w:r>
    </w:p>
    <w:p>
      <w:r>
        <w:t>Current state: User passwords are stored in plaintext in JSON files — the single most critical vulnerability in the system.</w:t>
      </w:r>
    </w:p>
    <w:p>
      <w:pPr>
        <w:pStyle w:val="ListBullet"/>
      </w:pPr>
      <w:r>
        <w:t>Solution:</w:t>
      </w:r>
    </w:p>
    <w:p>
      <w:r>
        <w:t>All passwords will be hashed using Argon2id (modern gold standard) with bcrypt as fallback. On first login after migration, stored plaintext passwords will be automatically re-hashed. No plaintext password will ever be stored or logged.</w:t>
      </w:r>
    </w:p>
    <w:p>
      <w:pPr>
        <w:pStyle w:val="ListBullet"/>
      </w:pPr>
      <w:r>
        <w:t>Libraries: passlib[bcrypt], argon2-cffi</w:t>
      </w:r>
    </w:p>
    <w:p>
      <w:pPr>
        <w:pStyle w:val="Heading3"/>
      </w:pPr>
      <w:r>
        <w:t>2.2 Input Validation &amp; Sanitization</w:t>
      </w:r>
    </w:p>
    <w:p>
      <w:r>
        <w:t>Every API endpoint will enforce strict input validation using Pydantic models with:</w:t>
      </w:r>
    </w:p>
    <w:p>
      <w:pPr>
        <w:pStyle w:val="ListBullet"/>
      </w:pPr>
      <w:r>
        <w:t>Field-level constraints: min/max length, regex patterns for suit numbers</w:t>
      </w:r>
    </w:p>
    <w:p>
      <w:pPr>
        <w:pStyle w:val="ListBullet"/>
      </w:pPr>
      <w:r>
        <w:t>Literal types for enum fields (roles, statuses, court types) — preventing injection of arbitrary values</w:t>
      </w:r>
    </w:p>
    <w:p>
      <w:pPr>
        <w:pStyle w:val="ListBullet"/>
      </w:pPr>
      <w:r>
        <w:t>Strict type enforcement: StrictStr, StrictInt to prevent type coercion attacks</w:t>
      </w:r>
    </w:p>
    <w:p>
      <w:pPr>
        <w:pStyle w:val="ListBullet"/>
      </w:pPr>
      <w:r>
        <w:t>No raw request data will ever pass directly to database queries</w:t>
      </w:r>
    </w:p>
    <w:p>
      <w:pPr>
        <w:pStyle w:val="Heading3"/>
      </w:pPr>
      <w:r>
        <w:t>2.3 CORS Policy Tightening</w:t>
      </w:r>
    </w:p>
    <w:p>
      <w:r>
        <w:t>The current allow_origins=["*"] wildcard will be replaced with explicit domain allowlisting. Only the specific CourtLOG frontend domain will be permitted to make API requests. Allowed methods and headers will be restricted to only what is required.</w:t>
      </w:r>
    </w:p>
    <w:p>
      <w:pPr>
        <w:pStyle w:val="Heading3"/>
      </w:pPr>
      <w:r>
        <w:t>2.4 Secrets Management</w:t>
      </w:r>
    </w:p>
    <w:p>
      <w:r>
        <w:t>All sensitive configuration (Firebase credentials, API keys, JWT secrets) will be moved from source code to environment variables loaded via pydantic-settings. A .env file will be used for development (excluded from git via .gitignore). For production, Google Cloud Secret Manager will be used.</w:t>
      </w:r>
    </w:p>
    <w:p>
      <w:pPr>
        <w:pStyle w:val="Heading3"/>
      </w:pPr>
      <w:r>
        <w:t>2.5 Security Headers</w:t>
      </w:r>
    </w:p>
    <w:p>
      <w:r>
        <w:t>FastAPI middleware will inject the following headers on every response: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Header</w:t>
            </w:r>
          </w:p>
        </w:tc>
        <w:tc>
          <w:tcPr>
            <w:tcW w:type="dxa" w:w="2880"/>
            <w:shd w:fill="064E3B" w:val="clear"/>
          </w:tcPr>
          <w:p>
            <w:pPr>
              <w:jc w:val="center"/>
            </w:pPr>
            <w:r>
              <w:rPr>
                <w:b/>
                <w:color w:val="FFFFFF"/>
                <w:sz w:val="18"/>
              </w:rPr>
              <w:t>Value</w:t>
            </w:r>
          </w:p>
        </w:tc>
        <w:tc>
          <w:tcPr>
            <w:tcW w:type="dxa" w:w="2880"/>
            <w:shd w:fill="064E3B" w:val="clear"/>
          </w:tcPr>
          <w:p>
            <w:pPr>
              <w:jc w:val="center"/>
            </w:pPr>
            <w:r>
              <w:rPr>
                <w:b/>
                <w:color w:val="FFFFFF"/>
                <w:sz w:val="18"/>
              </w:rPr>
              <w:t>Purpose</w:t>
            </w:r>
          </w:p>
        </w:tc>
      </w:tr>
      <w:tr>
        <w:tc>
          <w:tcPr>
            <w:tcW w:type="dxa" w:w="2880"/>
          </w:tcPr>
          <w:p>
            <w:r>
              <w:rPr>
                <w:sz w:val="18"/>
              </w:rPr>
              <w:t>Content-Security-Policy</w:t>
            </w:r>
          </w:p>
        </w:tc>
        <w:tc>
          <w:tcPr>
            <w:tcW w:type="dxa" w:w="2880"/>
          </w:tcPr>
          <w:p>
            <w:r>
              <w:rPr>
                <w:sz w:val="18"/>
              </w:rPr>
              <w:t>default-src 'self'; script-src 'self'; frame-ancestors 'none'</w:t>
            </w:r>
          </w:p>
        </w:tc>
        <w:tc>
          <w:tcPr>
            <w:tcW w:type="dxa" w:w="2880"/>
          </w:tcPr>
          <w:p>
            <w:r>
              <w:rPr>
                <w:sz w:val="18"/>
              </w:rPr>
              <w:t>Prevents XSS and clickjacking</w:t>
            </w:r>
          </w:p>
        </w:tc>
      </w:tr>
      <w:tr>
        <w:tc>
          <w:tcPr>
            <w:tcW w:type="dxa" w:w="2880"/>
          </w:tcPr>
          <w:p>
            <w:r>
              <w:rPr>
                <w:sz w:val="18"/>
              </w:rPr>
              <w:t>Strict-Transport-Security</w:t>
            </w:r>
          </w:p>
        </w:tc>
        <w:tc>
          <w:tcPr>
            <w:tcW w:type="dxa" w:w="2880"/>
          </w:tcPr>
          <w:p>
            <w:r>
              <w:rPr>
                <w:sz w:val="18"/>
              </w:rPr>
              <w:t>max-age=31536000; includeSubDomains</w:t>
            </w:r>
          </w:p>
        </w:tc>
        <w:tc>
          <w:tcPr>
            <w:tcW w:type="dxa" w:w="2880"/>
          </w:tcPr>
          <w:p>
            <w:r>
              <w:rPr>
                <w:sz w:val="18"/>
              </w:rPr>
              <w:t>Forces HTTPS connections</w:t>
            </w:r>
          </w:p>
        </w:tc>
      </w:tr>
      <w:tr>
        <w:tc>
          <w:tcPr>
            <w:tcW w:type="dxa" w:w="2880"/>
          </w:tcPr>
          <w:p>
            <w:r>
              <w:rPr>
                <w:sz w:val="18"/>
              </w:rPr>
              <w:t>X-Content-Type-Options</w:t>
            </w:r>
          </w:p>
        </w:tc>
        <w:tc>
          <w:tcPr>
            <w:tcW w:type="dxa" w:w="2880"/>
          </w:tcPr>
          <w:p>
            <w:r>
              <w:rPr>
                <w:sz w:val="18"/>
              </w:rPr>
              <w:t>nosniff</w:t>
            </w:r>
          </w:p>
        </w:tc>
        <w:tc>
          <w:tcPr>
            <w:tcW w:type="dxa" w:w="2880"/>
          </w:tcPr>
          <w:p>
            <w:r>
              <w:rPr>
                <w:sz w:val="18"/>
              </w:rPr>
              <w:t>Prevents MIME type sniffing</w:t>
            </w:r>
          </w:p>
        </w:tc>
      </w:tr>
      <w:tr>
        <w:tc>
          <w:tcPr>
            <w:tcW w:type="dxa" w:w="2880"/>
          </w:tcPr>
          <w:p>
            <w:r>
              <w:rPr>
                <w:sz w:val="18"/>
              </w:rPr>
              <w:t>X-Frame-Options</w:t>
            </w:r>
          </w:p>
        </w:tc>
        <w:tc>
          <w:tcPr>
            <w:tcW w:type="dxa" w:w="2880"/>
          </w:tcPr>
          <w:p>
            <w:r>
              <w:rPr>
                <w:sz w:val="18"/>
              </w:rPr>
              <w:t>DENY</w:t>
            </w:r>
          </w:p>
        </w:tc>
        <w:tc>
          <w:tcPr>
            <w:tcW w:type="dxa" w:w="2880"/>
          </w:tcPr>
          <w:p>
            <w:r>
              <w:rPr>
                <w:sz w:val="18"/>
              </w:rPr>
              <w:t>Prevents embedding in iframes</w:t>
            </w:r>
          </w:p>
        </w:tc>
      </w:tr>
      <w:tr>
        <w:tc>
          <w:tcPr>
            <w:tcW w:type="dxa" w:w="2880"/>
          </w:tcPr>
          <w:p>
            <w:r>
              <w:rPr>
                <w:sz w:val="18"/>
              </w:rPr>
              <w:t>Referrer-Policy</w:t>
            </w:r>
          </w:p>
        </w:tc>
        <w:tc>
          <w:tcPr>
            <w:tcW w:type="dxa" w:w="2880"/>
          </w:tcPr>
          <w:p>
            <w:r>
              <w:rPr>
                <w:sz w:val="18"/>
              </w:rPr>
              <w:t>strict-origin-when-cross-origin</w:t>
            </w:r>
          </w:p>
        </w:tc>
        <w:tc>
          <w:tcPr>
            <w:tcW w:type="dxa" w:w="2880"/>
          </w:tcPr>
          <w:p>
            <w:r>
              <w:rPr>
                <w:sz w:val="18"/>
              </w:rPr>
              <w:t>Controls referrer information leakage</w:t>
            </w:r>
          </w:p>
        </w:tc>
      </w:tr>
      <w:tr>
        <w:tc>
          <w:tcPr>
            <w:tcW w:type="dxa" w:w="2880"/>
          </w:tcPr>
          <w:p>
            <w:r>
              <w:rPr>
                <w:sz w:val="18"/>
              </w:rPr>
              <w:t>Permissions-Policy</w:t>
            </w:r>
          </w:p>
        </w:tc>
        <w:tc>
          <w:tcPr>
            <w:tcW w:type="dxa" w:w="2880"/>
          </w:tcPr>
          <w:p>
            <w:r>
              <w:rPr>
                <w:sz w:val="18"/>
              </w:rPr>
              <w:t>camera=(), microphone=(), geolocation=()</w:t>
            </w:r>
          </w:p>
        </w:tc>
        <w:tc>
          <w:tcPr>
            <w:tcW w:type="dxa" w:w="2880"/>
          </w:tcPr>
          <w:p>
            <w:r>
              <w:rPr>
                <w:sz w:val="18"/>
              </w:rPr>
              <w:t>Disables unnecessary browser APIs</w:t>
            </w:r>
          </w:p>
        </w:tc>
      </w:tr>
    </w:tbl>
    <w:p>
      <w:pPr>
        <w:pStyle w:val="Heading3"/>
      </w:pPr>
      <w:r>
        <w:t>2.6 Audit Logging</w:t>
      </w:r>
    </w:p>
    <w:p>
      <w:r>
        <w:t>A structured audit logging system will record all security-relevant events:</w:t>
      </w:r>
    </w:p>
    <w:p>
      <w:pPr>
        <w:pStyle w:val="ListBullet"/>
      </w:pPr>
      <w:r>
        <w:t>All login attempts (success and failure) with IP address and timestamp</w:t>
      </w:r>
    </w:p>
    <w:p>
      <w:pPr>
        <w:pStyle w:val="ListBullet"/>
      </w:pPr>
      <w:r>
        <w:t>Role changes and permission modifications</w:t>
      </w:r>
    </w:p>
    <w:p>
      <w:pPr>
        <w:pStyle w:val="ListBullet"/>
      </w:pPr>
      <w:r>
        <w:t>Case data access — who viewed or modified what, and when</w:t>
      </w:r>
    </w:p>
    <w:p>
      <w:pPr>
        <w:pStyle w:val="ListBullet"/>
      </w:pPr>
      <w:r>
        <w:t>Failed authorization attempts</w:t>
      </w:r>
    </w:p>
    <w:p>
      <w:pPr>
        <w:pStyle w:val="ListBullet"/>
      </w:pPr>
      <w:r>
        <w:t>Data exports and bulk operations</w:t>
      </w:r>
    </w:p>
    <w:p>
      <w:r>
        <w:t>Audit logs will be stored separately from application data and will be append-only (immutable). Passwords, tokens, and PII will NEVER be logged.</w:t>
      </w:r>
    </w:p>
    <w:p>
      <w:pPr>
        <w:pStyle w:val="Heading2"/>
      </w:pPr>
      <w:r>
        <w:t>3. Phase 2 — Production Hardening</w:t>
      </w:r>
    </w:p>
    <w:p>
      <w:r>
        <w:t xml:space="preserve">Estimated effort: 41-74 hours | </w:t>
      </w:r>
      <w:r>
        <w:rPr>
          <w:b/>
        </w:rPr>
        <w:t>Must be completed before production deployment.</w:t>
      </w:r>
    </w:p>
    <w:p>
      <w:pPr>
        <w:pStyle w:val="Heading3"/>
      </w:pPr>
      <w:r>
        <w:t>3.1 JWT Authentication</w:t>
      </w:r>
    </w:p>
    <w:p>
      <w:r>
        <w:t>The current header-based authentication will be replaced with industry-standard JWT (JSON Web Token) bearer authentication:</w:t>
      </w:r>
    </w:p>
    <w:p>
      <w:pPr>
        <w:pStyle w:val="ListBullet"/>
      </w:pPr>
      <w:r>
        <w:t>Access tokens: 15-minute expiry, sent in Authorization: Bearer header</w:t>
      </w:r>
    </w:p>
    <w:p>
      <w:pPr>
        <w:pStyle w:val="ListBullet"/>
      </w:pPr>
      <w:r>
        <w:t>Refresh tokens: 7-day expiry, stored in HttpOnly, Secure, SameSite=Strict cookies</w:t>
      </w:r>
    </w:p>
    <w:p>
      <w:pPr>
        <w:pStyle w:val="ListBullet"/>
      </w:pPr>
      <w:r>
        <w:t>Algorithm: RS256 or ES256 (asymmetric) — never HS256 in production</w:t>
      </w:r>
    </w:p>
    <w:p>
      <w:pPr>
        <w:pStyle w:val="ListBullet"/>
      </w:pPr>
      <w:r>
        <w:t>Token blacklist via Firestore collection for immediate revocation</w:t>
      </w:r>
    </w:p>
    <w:p>
      <w:pPr>
        <w:pStyle w:val="ListBullet"/>
      </w:pPr>
      <w:r>
        <w:t>Unique JWT ID (jti) claim for individual token revocation</w:t>
      </w:r>
    </w:p>
    <w:p>
      <w:pPr>
        <w:pStyle w:val="Heading3"/>
      </w:pPr>
      <w:r>
        <w:t>3.2 Rate Limiting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Endpoint Category</w:t>
            </w:r>
          </w:p>
        </w:tc>
        <w:tc>
          <w:tcPr>
            <w:tcW w:type="dxa" w:w="2880"/>
            <w:shd w:fill="064E3B" w:val="clear"/>
          </w:tcPr>
          <w:p>
            <w:pPr>
              <w:jc w:val="center"/>
            </w:pPr>
            <w:r>
              <w:rPr>
                <w:b/>
                <w:color w:val="FFFFFF"/>
                <w:sz w:val="18"/>
              </w:rPr>
              <w:t>Limit</w:t>
            </w:r>
          </w:p>
        </w:tc>
        <w:tc>
          <w:tcPr>
            <w:tcW w:type="dxa" w:w="2880"/>
            <w:shd w:fill="064E3B" w:val="clear"/>
          </w:tcPr>
          <w:p>
            <w:pPr>
              <w:jc w:val="center"/>
            </w:pPr>
            <w:r>
              <w:rPr>
                <w:b/>
                <w:color w:val="FFFFFF"/>
                <w:sz w:val="18"/>
              </w:rPr>
              <w:t>Window</w:t>
            </w:r>
          </w:p>
        </w:tc>
      </w:tr>
      <w:tr>
        <w:tc>
          <w:tcPr>
            <w:tcW w:type="dxa" w:w="2880"/>
          </w:tcPr>
          <w:p>
            <w:r>
              <w:rPr>
                <w:sz w:val="18"/>
              </w:rPr>
              <w:t>Login / Authentication</w:t>
            </w:r>
          </w:p>
        </w:tc>
        <w:tc>
          <w:tcPr>
            <w:tcW w:type="dxa" w:w="2880"/>
          </w:tcPr>
          <w:p>
            <w:r>
              <w:rPr>
                <w:sz w:val="18"/>
              </w:rPr>
              <w:t>5 requests</w:t>
            </w:r>
          </w:p>
        </w:tc>
        <w:tc>
          <w:tcPr>
            <w:tcW w:type="dxa" w:w="2880"/>
          </w:tcPr>
          <w:p>
            <w:r>
              <w:rPr>
                <w:sz w:val="18"/>
              </w:rPr>
              <w:t>Per minute per IP</w:t>
            </w:r>
          </w:p>
        </w:tc>
      </w:tr>
      <w:tr>
        <w:tc>
          <w:tcPr>
            <w:tcW w:type="dxa" w:w="2880"/>
          </w:tcPr>
          <w:p>
            <w:r>
              <w:rPr>
                <w:sz w:val="18"/>
              </w:rPr>
              <w:t>General API</w:t>
            </w:r>
          </w:p>
        </w:tc>
        <w:tc>
          <w:tcPr>
            <w:tcW w:type="dxa" w:w="2880"/>
          </w:tcPr>
          <w:p>
            <w:r>
              <w:rPr>
                <w:sz w:val="18"/>
              </w:rPr>
              <w:t>60 requests</w:t>
            </w:r>
          </w:p>
        </w:tc>
        <w:tc>
          <w:tcPr>
            <w:tcW w:type="dxa" w:w="2880"/>
          </w:tcPr>
          <w:p>
            <w:r>
              <w:rPr>
                <w:sz w:val="18"/>
              </w:rPr>
              <w:t>Per minute per user</w:t>
            </w:r>
          </w:p>
        </w:tc>
      </w:tr>
      <w:tr>
        <w:tc>
          <w:tcPr>
            <w:tcW w:type="dxa" w:w="2880"/>
          </w:tcPr>
          <w:p>
            <w:r>
              <w:rPr>
                <w:sz w:val="18"/>
              </w:rPr>
              <w:t>Search / Query endpoints</w:t>
            </w:r>
          </w:p>
        </w:tc>
        <w:tc>
          <w:tcPr>
            <w:tcW w:type="dxa" w:w="2880"/>
          </w:tcPr>
          <w:p>
            <w:r>
              <w:rPr>
                <w:sz w:val="18"/>
              </w:rPr>
              <w:t>30 requests</w:t>
            </w:r>
          </w:p>
        </w:tc>
        <w:tc>
          <w:tcPr>
            <w:tcW w:type="dxa" w:w="2880"/>
          </w:tcPr>
          <w:p>
            <w:r>
              <w:rPr>
                <w:sz w:val="18"/>
              </w:rPr>
              <w:t>Per minute per user</w:t>
            </w:r>
          </w:p>
        </w:tc>
      </w:tr>
      <w:tr>
        <w:tc>
          <w:tcPr>
            <w:tcW w:type="dxa" w:w="2880"/>
          </w:tcPr>
          <w:p>
            <w:r>
              <w:rPr>
                <w:sz w:val="18"/>
              </w:rPr>
              <w:t>Data export</w:t>
            </w:r>
          </w:p>
        </w:tc>
        <w:tc>
          <w:tcPr>
            <w:tcW w:type="dxa" w:w="2880"/>
          </w:tcPr>
          <w:p>
            <w:r>
              <w:rPr>
                <w:sz w:val="18"/>
              </w:rPr>
              <w:t>5 requests</w:t>
            </w:r>
          </w:p>
        </w:tc>
        <w:tc>
          <w:tcPr>
            <w:tcW w:type="dxa" w:w="2880"/>
          </w:tcPr>
          <w:p>
            <w:r>
              <w:rPr>
                <w:sz w:val="18"/>
              </w:rPr>
              <w:t>Per hour per user</w:t>
            </w:r>
          </w:p>
        </w:tc>
      </w:tr>
    </w:tbl>
    <w:p>
      <w:r>
        <w:t>Implementation: SlowAPI library with Redis backend for distributed rate limiting.</w:t>
      </w:r>
    </w:p>
    <w:p>
      <w:pPr>
        <w:pStyle w:val="Heading3"/>
      </w:pPr>
      <w:r>
        <w:t>3.3 HTTPS &amp; Transport Security</w:t>
      </w:r>
    </w:p>
    <w:p>
      <w:r>
        <w:t>All production traffic will be encrypted via TLS 1.2+. The API will be deployed behind an Nginx reverse proxy handling SSL termination with Let's Encrypt certificates (auto-renewed via certbot). All HTTP requests will be redirected to HTTPS at the proxy level.</w:t>
      </w:r>
    </w:p>
    <w:p>
      <w:pPr>
        <w:pStyle w:val="Heading3"/>
      </w:pPr>
      <w:r>
        <w:t>3.4 Multi-Factor Authentication (MFA)</w:t>
      </w:r>
    </w:p>
    <w:p>
      <w:r>
        <w:rPr>
          <w:b/>
        </w:rPr>
        <w:t xml:space="preserve">Nigeria-specific consideration: </w:t>
      </w:r>
      <w:r>
        <w:t>SIM swap fraud is rampant in Nigeria. SMS OTP will NOT be used as the sole MFA factor. Instead:</w:t>
      </w:r>
    </w:p>
    <w:p>
      <w:pPr>
        <w:pStyle w:val="ListBullet"/>
      </w:pPr>
      <w:r>
        <w:t>Primary: TOTP (Time-based One-Time Password) via authenticator apps (Google Authenticator, FreeOTP)</w:t>
      </w:r>
    </w:p>
    <w:p>
      <w:pPr>
        <w:pStyle w:val="ListBullet"/>
      </w:pPr>
      <w:r>
        <w:t>Fallback only: SMS OTP for emergency access recovery</w:t>
      </w:r>
    </w:p>
    <w:p>
      <w:pPr>
        <w:pStyle w:val="ListBullet"/>
      </w:pPr>
      <w:r>
        <w:t>Provisioned via QR code during initial account setup</w:t>
      </w:r>
    </w:p>
    <w:p>
      <w:pPr>
        <w:pStyle w:val="Heading3"/>
      </w:pPr>
      <w:r>
        <w:t>3.5 Data Masking by Role</w:t>
      </w:r>
    </w:p>
    <w:p>
      <w:r>
        <w:t>Sensitive fields will be masked based on the user's role level: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64E3B" w:val="clear"/>
          </w:tcPr>
          <w:p>
            <w:pPr>
              <w:jc w:val="center"/>
            </w:pPr>
            <w:r>
              <w:rPr>
                <w:b/>
                <w:color w:val="FFFFFF"/>
                <w:sz w:val="18"/>
              </w:rPr>
              <w:t>Data Field</w:t>
            </w:r>
          </w:p>
        </w:tc>
        <w:tc>
          <w:tcPr>
            <w:tcW w:type="dxa" w:w="2160"/>
            <w:shd w:fill="064E3B" w:val="clear"/>
          </w:tcPr>
          <w:p>
            <w:pPr>
              <w:jc w:val="center"/>
            </w:pPr>
            <w:r>
              <w:rPr>
                <w:b/>
                <w:color w:val="FFFFFF"/>
                <w:sz w:val="18"/>
              </w:rPr>
              <w:t>Sheriff/Clerk View</w:t>
            </w:r>
          </w:p>
        </w:tc>
        <w:tc>
          <w:tcPr>
            <w:tcW w:type="dxa" w:w="2160"/>
            <w:shd w:fill="064E3B" w:val="clear"/>
          </w:tcPr>
          <w:p>
            <w:pPr>
              <w:jc w:val="center"/>
            </w:pPr>
            <w:r>
              <w:rPr>
                <w:b/>
                <w:color w:val="FFFFFF"/>
                <w:sz w:val="18"/>
              </w:rPr>
              <w:t>DCR/Judge View</w:t>
            </w:r>
          </w:p>
        </w:tc>
        <w:tc>
          <w:tcPr>
            <w:tcW w:type="dxa" w:w="2160"/>
            <w:shd w:fill="064E3B" w:val="clear"/>
          </w:tcPr>
          <w:p>
            <w:pPr>
              <w:jc w:val="center"/>
            </w:pPr>
            <w:r>
              <w:rPr>
                <w:b/>
                <w:color w:val="FFFFFF"/>
                <w:sz w:val="18"/>
              </w:rPr>
              <w:t>Chief Registrar View</w:t>
            </w:r>
          </w:p>
        </w:tc>
      </w:tr>
      <w:tr>
        <w:tc>
          <w:tcPr>
            <w:tcW w:type="dxa" w:w="2160"/>
          </w:tcPr>
          <w:p>
            <w:r>
              <w:rPr>
                <w:sz w:val="18"/>
              </w:rPr>
              <w:t>Party phone numbers</w:t>
            </w:r>
          </w:p>
        </w:tc>
        <w:tc>
          <w:tcPr>
            <w:tcW w:type="dxa" w:w="2160"/>
          </w:tcPr>
          <w:p>
            <w:r>
              <w:rPr>
                <w:sz w:val="18"/>
              </w:rPr>
              <w:t>080****5678</w:t>
            </w:r>
          </w:p>
        </w:tc>
        <w:tc>
          <w:tcPr>
            <w:tcW w:type="dxa" w:w="2160"/>
          </w:tcPr>
          <w:p>
            <w:r>
              <w:rPr>
                <w:sz w:val="18"/>
              </w:rPr>
              <w:t>080****5678</w:t>
            </w:r>
          </w:p>
        </w:tc>
        <w:tc>
          <w:tcPr>
            <w:tcW w:type="dxa" w:w="2160"/>
          </w:tcPr>
          <w:p>
            <w:r>
              <w:rPr>
                <w:sz w:val="18"/>
              </w:rPr>
              <w:t>08012345678 (full)</w:t>
            </w:r>
          </w:p>
        </w:tc>
      </w:tr>
      <w:tr>
        <w:tc>
          <w:tcPr>
            <w:tcW w:type="dxa" w:w="2160"/>
          </w:tcPr>
          <w:p>
            <w:r>
              <w:rPr>
                <w:sz w:val="18"/>
              </w:rPr>
              <w:t>Party names</w:t>
            </w:r>
          </w:p>
        </w:tc>
        <w:tc>
          <w:tcPr>
            <w:tcW w:type="dxa" w:w="2160"/>
          </w:tcPr>
          <w:p>
            <w:r>
              <w:rPr>
                <w:sz w:val="18"/>
              </w:rPr>
              <w:t>John D***</w:t>
            </w:r>
          </w:p>
        </w:tc>
        <w:tc>
          <w:tcPr>
            <w:tcW w:type="dxa" w:w="2160"/>
          </w:tcPr>
          <w:p>
            <w:r>
              <w:rPr>
                <w:sz w:val="18"/>
              </w:rPr>
              <w:t>John Doe</w:t>
            </w:r>
          </w:p>
        </w:tc>
        <w:tc>
          <w:tcPr>
            <w:tcW w:type="dxa" w:w="2160"/>
          </w:tcPr>
          <w:p>
            <w:r>
              <w:rPr>
                <w:sz w:val="18"/>
              </w:rPr>
              <w:t>John Doe</w:t>
            </w:r>
          </w:p>
        </w:tc>
      </w:tr>
      <w:tr>
        <w:tc>
          <w:tcPr>
            <w:tcW w:type="dxa" w:w="2160"/>
          </w:tcPr>
          <w:p>
            <w:r>
              <w:rPr>
                <w:sz w:val="18"/>
              </w:rPr>
              <w:t>Case financial details</w:t>
            </w:r>
          </w:p>
        </w:tc>
        <w:tc>
          <w:tcPr>
            <w:tcW w:type="dxa" w:w="2160"/>
          </w:tcPr>
          <w:p>
            <w:r>
              <w:rPr>
                <w:sz w:val="18"/>
              </w:rPr>
              <w:t>Hidden</w:t>
            </w:r>
          </w:p>
        </w:tc>
        <w:tc>
          <w:tcPr>
            <w:tcW w:type="dxa" w:w="2160"/>
          </w:tcPr>
          <w:p>
            <w:r>
              <w:rPr>
                <w:sz w:val="18"/>
              </w:rPr>
              <w:t>Visible</w:t>
            </w:r>
          </w:p>
        </w:tc>
        <w:tc>
          <w:tcPr>
            <w:tcW w:type="dxa" w:w="2160"/>
          </w:tcPr>
          <w:p>
            <w:r>
              <w:rPr>
                <w:sz w:val="18"/>
              </w:rPr>
              <w:t>Visible</w:t>
            </w:r>
          </w:p>
        </w:tc>
      </w:tr>
      <w:tr>
        <w:tc>
          <w:tcPr>
            <w:tcW w:type="dxa" w:w="2160"/>
          </w:tcPr>
          <w:p>
            <w:r>
              <w:rPr>
                <w:sz w:val="18"/>
              </w:rPr>
              <w:t>Audit logs</w:t>
            </w:r>
          </w:p>
        </w:tc>
        <w:tc>
          <w:tcPr>
            <w:tcW w:type="dxa" w:w="2160"/>
          </w:tcPr>
          <w:p>
            <w:r>
              <w:rPr>
                <w:sz w:val="18"/>
              </w:rPr>
              <w:t>Hidden</w:t>
            </w:r>
          </w:p>
        </w:tc>
        <w:tc>
          <w:tcPr>
            <w:tcW w:type="dxa" w:w="2160"/>
          </w:tcPr>
          <w:p>
            <w:r>
              <w:rPr>
                <w:sz w:val="18"/>
              </w:rPr>
              <w:t>Own actions only</w:t>
            </w:r>
          </w:p>
        </w:tc>
        <w:tc>
          <w:tcPr>
            <w:tcW w:type="dxa" w:w="2160"/>
          </w:tcPr>
          <w:p>
            <w:r>
              <w:rPr>
                <w:sz w:val="18"/>
              </w:rPr>
              <w:t>Full access</w:t>
            </w:r>
          </w:p>
        </w:tc>
      </w:tr>
    </w:tbl>
    <w:p>
      <w:pPr>
        <w:pStyle w:val="Heading3"/>
      </w:pPr>
      <w:r>
        <w:t>3.6 XSS Prevention</w:t>
      </w:r>
    </w:p>
    <w:p>
      <w:r>
        <w:t>The frontend will be hardened against Cross-Site Scripting (XSS) attacks:</w:t>
      </w:r>
    </w:p>
    <w:p>
      <w:pPr>
        <w:pStyle w:val="ListBullet"/>
      </w:pPr>
      <w:r>
        <w:t>All dynamic content rendered using textContent (never innerHTML)</w:t>
      </w:r>
    </w:p>
    <w:p>
      <w:pPr>
        <w:pStyle w:val="ListBullet"/>
      </w:pPr>
      <w:r>
        <w:t>DOMPurify library for sanitizing any user-generated content before rendering</w:t>
      </w:r>
    </w:p>
    <w:p>
      <w:pPr>
        <w:pStyle w:val="ListBullet"/>
      </w:pPr>
      <w:r>
        <w:t>Content Security Policy headers (see Section 2.5) as defense-in-depth</w:t>
      </w:r>
    </w:p>
    <w:p>
      <w:pPr>
        <w:pStyle w:val="ListBullet"/>
      </w:pPr>
      <w:r>
        <w:t>API returns data as JSON only — never HTML fragments</w:t>
      </w:r>
    </w:p>
    <w:p>
      <w:pPr>
        <w:pStyle w:val="Heading3"/>
      </w:pPr>
      <w:r>
        <w:t>3.7 Docker Hardening</w:t>
      </w:r>
    </w:p>
    <w:p>
      <w:pPr>
        <w:pStyle w:val="ListBullet"/>
      </w:pPr>
      <w:r>
        <w:t>Non-root USER in all containers</w:t>
      </w:r>
    </w:p>
    <w:p>
      <w:pPr>
        <w:pStyle w:val="ListBullet"/>
      </w:pPr>
      <w:r>
        <w:t>Multi-stage builds to minimize image size and attack surface</w:t>
      </w:r>
    </w:p>
    <w:p>
      <w:pPr>
        <w:pStyle w:val="ListBullet"/>
      </w:pPr>
      <w:r>
        <w:t>Health checks defined for all long-running containers</w:t>
      </w:r>
    </w:p>
    <w:p>
      <w:pPr>
        <w:pStyle w:val="ListBullet"/>
      </w:pPr>
      <w:r>
        <w:t>.dockerignore excluding .env, __pycache__, .git</w:t>
      </w:r>
    </w:p>
    <w:p>
      <w:pPr>
        <w:pStyle w:val="ListBullet"/>
      </w:pPr>
      <w:r>
        <w:t>Pinned base image versions (python:3.12-slim, not python:latest)</w:t>
      </w:r>
    </w:p>
    <w:p>
      <w:pPr>
        <w:pStyle w:val="ListBullet"/>
      </w:pPr>
      <w:r>
        <w:t>Only ports 80/443 exposed — no debug or unnecessary ports</w:t>
      </w:r>
    </w:p>
    <w:p>
      <w:pPr>
        <w:pStyle w:val="Heading3"/>
      </w:pPr>
      <w:r>
        <w:t>3.8 Dependency Vulnerability Scanning</w:t>
      </w:r>
    </w:p>
    <w:p>
      <w:r>
        <w:t>Automated security scanning will be integrated into the development workflow:</w:t>
      </w:r>
    </w:p>
    <w:p>
      <w:pPr>
        <w:pStyle w:val="ListBullet"/>
      </w:pPr>
      <w:r>
        <w:t>Python: pip-audit (scans against Python Packaging Advisory Database)</w:t>
      </w:r>
    </w:p>
    <w:p>
      <w:pPr>
        <w:pStyle w:val="ListBullet"/>
      </w:pPr>
      <w:r>
        <w:t>Python: bandit (Static Application Security Testing for Python code)</w:t>
      </w:r>
    </w:p>
    <w:p>
      <w:pPr>
        <w:pStyle w:val="ListBullet"/>
      </w:pPr>
      <w:r>
        <w:t>JavaScript: npm audit for frontend dependencies</w:t>
      </w:r>
    </w:p>
    <w:p>
      <w:pPr>
        <w:pStyle w:val="ListBullet"/>
      </w:pPr>
      <w:r>
        <w:t>All scans run before every commit and in CI/CD pipeline</w:t>
      </w:r>
    </w:p>
    <w:p>
      <w:pPr>
        <w:pStyle w:val="ListBullet"/>
      </w:pPr>
      <w:r>
        <w:t>Deployments blocked if known critical vulnerabilities are detected</w:t>
      </w:r>
    </w:p>
    <w:p>
      <w:pPr>
        <w:pStyle w:val="Heading3"/>
      </w:pPr>
      <w:r>
        <w:t>3.9 Backup &amp; Disaster Recovery</w:t>
      </w:r>
    </w:p>
    <w:p>
      <w:pPr>
        <w:pStyle w:val="ListBullet"/>
      </w:pPr>
      <w:r>
        <w:t>Firestore: Automated daily backups to Google Cloud Storage</w:t>
      </w:r>
    </w:p>
    <w:p>
      <w:pPr>
        <w:pStyle w:val="ListBullet"/>
      </w:pPr>
      <w:r>
        <w:t>Recovery Point Objective (RPO): 24 hours maximum</w:t>
      </w:r>
    </w:p>
    <w:p>
      <w:pPr>
        <w:pStyle w:val="ListBullet"/>
      </w:pPr>
      <w:r>
        <w:t>Recovery Time Objective (RTO): 4 hours maximum</w:t>
      </w:r>
    </w:p>
    <w:p>
      <w:pPr>
        <w:pStyle w:val="ListBullet"/>
      </w:pPr>
      <w:r>
        <w:t>Documented and tested recovery procedure</w:t>
      </w:r>
    </w:p>
    <w:p>
      <w:pPr>
        <w:pStyle w:val="ListBullet"/>
      </w:pPr>
      <w:r>
        <w:t>Quarterly disaster recovery drills</w:t>
      </w:r>
    </w:p>
    <w:p>
      <w:pPr>
        <w:pStyle w:val="Heading3"/>
      </w:pPr>
      <w:r>
        <w:t>3.10 Intrusion Detection</w:t>
      </w:r>
    </w:p>
    <w:p>
      <w:pPr>
        <w:pStyle w:val="ListBullet"/>
      </w:pPr>
      <w:r>
        <w:t>Application-level: Monitor for brute-force patterns, unusual access, bulk exports</w:t>
      </w:r>
    </w:p>
    <w:p>
      <w:pPr>
        <w:pStyle w:val="ListBullet"/>
      </w:pPr>
      <w:r>
        <w:t>Server-level: fail2ban for auto-banning IPs with repeated failures</w:t>
      </w:r>
    </w:p>
    <w:p>
      <w:pPr>
        <w:pStyle w:val="ListBullet"/>
      </w:pPr>
      <w:r>
        <w:t>Cloud-level: Cloudflare WAF (Web Application Firewall) for edge protection</w:t>
      </w:r>
    </w:p>
    <w:p>
      <w:pPr>
        <w:pStyle w:val="ListBullet"/>
      </w:pPr>
      <w:r>
        <w:t>Alert notifications via email for suspicious activity</w:t>
      </w:r>
    </w:p>
    <w:p>
      <w:pPr>
        <w:pStyle w:val="Heading2"/>
      </w:pPr>
      <w:r>
        <w:t>4. Phase 3 — Regulatory Compliance</w:t>
      </w:r>
    </w:p>
    <w:p>
      <w:r>
        <w:t xml:space="preserve">Estimated effort: 54-92 hours | </w:t>
      </w:r>
      <w:r>
        <w:rPr>
          <w:b/>
        </w:rPr>
        <w:t>Required before government deployment.</w:t>
      </w:r>
    </w:p>
    <w:p>
      <w:pPr>
        <w:pStyle w:val="Heading3"/>
      </w:pPr>
      <w:r>
        <w:t>4.1 Nigeria Data Protection Act (NDPA) 2023</w:t>
      </w:r>
    </w:p>
    <w:p>
      <w:r>
        <w:rPr>
          <w:b/>
          <w:color w:val="DC2626"/>
        </w:rPr>
        <w:t xml:space="preserve">IMPORTANT REGULATORY UPDATE: </w:t>
      </w:r>
      <w:r>
        <w:t>The NDPR (2019) has been superseded by the Nigeria Data Protection Act (NDPA) 2023 and the General Application and Implementation Directive (GAID) 2025 (effective September 19, 2025). The governing authority is now the Nigeria Data Protection Commission (NDPC), not NITDA.</w:t>
      </w:r>
    </w:p>
    <w:p>
      <w:r>
        <w:t>Compliance requirements:</w:t>
      </w:r>
    </w:p>
    <w:p>
      <w:pPr>
        <w:pStyle w:val="ListBullet"/>
      </w:pPr>
      <w:r>
        <w:t>Register with NDPC as a data controller/processor</w:t>
      </w:r>
    </w:p>
    <w:p>
      <w:pPr>
        <w:pStyle w:val="ListBullet"/>
      </w:pPr>
      <w:r>
        <w:t>Appoint a Data Protection Officer (DPO) within the court administration</w:t>
      </w:r>
    </w:p>
    <w:p>
      <w:pPr>
        <w:pStyle w:val="ListBullet"/>
      </w:pPr>
      <w:r>
        <w:t>Conduct a Data Protection Impact Assessment (DPIA) before production deployment</w:t>
      </w:r>
    </w:p>
    <w:p>
      <w:pPr>
        <w:pStyle w:val="ListBullet"/>
      </w:pPr>
      <w:r>
        <w:t>Implement 72-hour breach notification to NDPC</w:t>
      </w:r>
    </w:p>
    <w:p>
      <w:pPr>
        <w:pStyle w:val="ListBullet"/>
      </w:pPr>
      <w:r>
        <w:t>Annual Compliance Audit via a licensed Data Protection Compliance Organization (DPCO)</w:t>
      </w:r>
    </w:p>
    <w:p>
      <w:pPr>
        <w:pStyle w:val="ListBullet"/>
      </w:pPr>
      <w:r>
        <w:t>Document lawful basis for processing each category of personal data</w:t>
      </w:r>
    </w:p>
    <w:p>
      <w:pPr>
        <w:pStyle w:val="ListBullet"/>
      </w:pPr>
      <w:r>
        <w:t>Provide accessible privacy notice to data subjects (litigants, parties)</w:t>
      </w:r>
    </w:p>
    <w:p>
      <w:pPr>
        <w:pStyle w:val="ListBullet"/>
      </w:pPr>
      <w:r>
        <w:t>Apply data minimization — only collect what is necessary</w:t>
      </w:r>
    </w:p>
    <w:p>
      <w:pPr>
        <w:pStyle w:val="Heading3"/>
      </w:pPr>
      <w:r>
        <w:t>4.2 NITDA IT Project Clearance</w:t>
      </w:r>
    </w:p>
    <w:p>
      <w:r>
        <w:t>Federal IT projects require NITDA clearance before deployment. CourtLOG must comply with ISO/IEC 27001 (Information Security), ISO 22301 (Business Continuity), and align with the Nigeria Government Enterprise Architecture (NGEA). Security incidents must be reported to CERRT.</w:t>
      </w:r>
    </w:p>
    <w:p>
      <w:pPr>
        <w:pStyle w:val="Heading3"/>
      </w:pPr>
      <w:r>
        <w:t>4.3 Court Data Classification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Classification</w:t>
            </w:r>
          </w:p>
        </w:tc>
        <w:tc>
          <w:tcPr>
            <w:tcW w:type="dxa" w:w="2880"/>
            <w:shd w:fill="064E3B" w:val="clear"/>
          </w:tcPr>
          <w:p>
            <w:pPr>
              <w:jc w:val="center"/>
            </w:pPr>
            <w:r>
              <w:rPr>
                <w:b/>
                <w:color w:val="FFFFFF"/>
                <w:sz w:val="18"/>
              </w:rPr>
              <w:t>Data Types</w:t>
            </w:r>
          </w:p>
        </w:tc>
        <w:tc>
          <w:tcPr>
            <w:tcW w:type="dxa" w:w="2880"/>
            <w:shd w:fill="064E3B" w:val="clear"/>
          </w:tcPr>
          <w:p>
            <w:pPr>
              <w:jc w:val="center"/>
            </w:pPr>
            <w:r>
              <w:rPr>
                <w:b/>
                <w:color w:val="FFFFFF"/>
                <w:sz w:val="18"/>
              </w:rPr>
              <w:t>Access Level</w:t>
            </w:r>
          </w:p>
        </w:tc>
      </w:tr>
      <w:tr>
        <w:tc>
          <w:tcPr>
            <w:tcW w:type="dxa" w:w="2880"/>
          </w:tcPr>
          <w:p>
            <w:r>
              <w:rPr>
                <w:sz w:val="18"/>
              </w:rPr>
              <w:t>CONFIDENTIAL</w:t>
            </w:r>
          </w:p>
        </w:tc>
        <w:tc>
          <w:tcPr>
            <w:tcW w:type="dxa" w:w="2880"/>
          </w:tcPr>
          <w:p>
            <w:r>
              <w:rPr>
                <w:sz w:val="18"/>
              </w:rPr>
              <w:t>Party contact details (phone, address), case assignments, enforcement details</w:t>
            </w:r>
          </w:p>
        </w:tc>
        <w:tc>
          <w:tcPr>
            <w:tcW w:type="dxa" w:w="2880"/>
          </w:tcPr>
          <w:p>
            <w:r>
              <w:rPr>
                <w:sz w:val="18"/>
              </w:rPr>
              <w:t>Judge + Chief Registrar only</w:t>
            </w:r>
          </w:p>
        </w:tc>
      </w:tr>
      <w:tr>
        <w:tc>
          <w:tcPr>
            <w:tcW w:type="dxa" w:w="2880"/>
          </w:tcPr>
          <w:p>
            <w:r>
              <w:rPr>
                <w:sz w:val="18"/>
              </w:rPr>
              <w:t>INTERNAL</w:t>
            </w:r>
          </w:p>
        </w:tc>
        <w:tc>
          <w:tcPr>
            <w:tcW w:type="dxa" w:w="2880"/>
          </w:tcPr>
          <w:p>
            <w:r>
              <w:rPr>
                <w:sz w:val="18"/>
              </w:rPr>
              <w:t>Hearing schedules, adjournment reasons, general case metadata</w:t>
            </w:r>
          </w:p>
        </w:tc>
        <w:tc>
          <w:tcPr>
            <w:tcW w:type="dxa" w:w="2880"/>
          </w:tcPr>
          <w:p>
            <w:r>
              <w:rPr>
                <w:sz w:val="18"/>
              </w:rPr>
              <w:t>All authenticated court staff</w:t>
            </w:r>
          </w:p>
        </w:tc>
      </w:tr>
      <w:tr>
        <w:tc>
          <w:tcPr>
            <w:tcW w:type="dxa" w:w="2880"/>
          </w:tcPr>
          <w:p>
            <w:r>
              <w:rPr>
                <w:sz w:val="18"/>
              </w:rPr>
              <w:t>PUBLIC</w:t>
            </w:r>
          </w:p>
        </w:tc>
        <w:tc>
          <w:tcPr>
            <w:tcW w:type="dxa" w:w="2880"/>
          </w:tcPr>
          <w:p>
            <w:r>
              <w:rPr>
                <w:sz w:val="18"/>
              </w:rPr>
              <w:t>Case numbers, court listings (if published by the court)</w:t>
            </w:r>
          </w:p>
        </w:tc>
        <w:tc>
          <w:tcPr>
            <w:tcW w:type="dxa" w:w="2880"/>
          </w:tcPr>
          <w:p>
            <w:r>
              <w:rPr>
                <w:sz w:val="18"/>
              </w:rPr>
              <w:t>Unrestricted</w:t>
            </w:r>
          </w:p>
        </w:tc>
      </w:tr>
    </w:tbl>
    <w:p>
      <w:pPr>
        <w:pStyle w:val="Heading3"/>
      </w:pPr>
      <w:r>
        <w:t>4.4 Data Retention Policies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64E3B" w:val="clear"/>
          </w:tcPr>
          <w:p>
            <w:pPr>
              <w:jc w:val="center"/>
            </w:pPr>
            <w:r>
              <w:rPr>
                <w:b/>
                <w:color w:val="FFFFFF"/>
                <w:sz w:val="18"/>
              </w:rPr>
              <w:t>Record Type</w:t>
            </w:r>
          </w:p>
        </w:tc>
        <w:tc>
          <w:tcPr>
            <w:tcW w:type="dxa" w:w="2880"/>
            <w:shd w:fill="064E3B" w:val="clear"/>
          </w:tcPr>
          <w:p>
            <w:pPr>
              <w:jc w:val="center"/>
            </w:pPr>
            <w:r>
              <w:rPr>
                <w:b/>
                <w:color w:val="FFFFFF"/>
                <w:sz w:val="18"/>
              </w:rPr>
              <w:t>Retention Period</w:t>
            </w:r>
          </w:p>
        </w:tc>
        <w:tc>
          <w:tcPr>
            <w:tcW w:type="dxa" w:w="2880"/>
            <w:shd w:fill="064E3B" w:val="clear"/>
          </w:tcPr>
          <w:p>
            <w:pPr>
              <w:jc w:val="center"/>
            </w:pPr>
            <w:r>
              <w:rPr>
                <w:b/>
                <w:color w:val="FFFFFF"/>
                <w:sz w:val="18"/>
              </w:rPr>
              <w:t>After Expiry</w:t>
            </w:r>
          </w:p>
        </w:tc>
      </w:tr>
      <w:tr>
        <w:tc>
          <w:tcPr>
            <w:tcW w:type="dxa" w:w="2880"/>
          </w:tcPr>
          <w:p>
            <w:r>
              <w:rPr>
                <w:sz w:val="18"/>
              </w:rPr>
              <w:t>Active case records</w:t>
            </w:r>
          </w:p>
        </w:tc>
        <w:tc>
          <w:tcPr>
            <w:tcW w:type="dxa" w:w="2880"/>
          </w:tcPr>
          <w:p>
            <w:r>
              <w:rPr>
                <w:sz w:val="18"/>
              </w:rPr>
              <w:t>Life of case + 10 years post-conclusion</w:t>
            </w:r>
          </w:p>
        </w:tc>
        <w:tc>
          <w:tcPr>
            <w:tcW w:type="dxa" w:w="2880"/>
          </w:tcPr>
          <w:p>
            <w:r>
              <w:rPr>
                <w:sz w:val="18"/>
              </w:rPr>
              <w:t>Archive to cold storage</w:t>
            </w:r>
          </w:p>
        </w:tc>
      </w:tr>
      <w:tr>
        <w:tc>
          <w:tcPr>
            <w:tcW w:type="dxa" w:w="2880"/>
          </w:tcPr>
          <w:p>
            <w:r>
              <w:rPr>
                <w:sz w:val="18"/>
              </w:rPr>
              <w:t>Audit logs</w:t>
            </w:r>
          </w:p>
        </w:tc>
        <w:tc>
          <w:tcPr>
            <w:tcW w:type="dxa" w:w="2880"/>
          </w:tcPr>
          <w:p>
            <w:r>
              <w:rPr>
                <w:sz w:val="18"/>
              </w:rPr>
              <w:t>Minimum 7 years</w:t>
            </w:r>
          </w:p>
        </w:tc>
        <w:tc>
          <w:tcPr>
            <w:tcW w:type="dxa" w:w="2880"/>
          </w:tcPr>
          <w:p>
            <w:r>
              <w:rPr>
                <w:sz w:val="18"/>
              </w:rPr>
              <w:t>Permanent archive</w:t>
            </w:r>
          </w:p>
        </w:tc>
      </w:tr>
      <w:tr>
        <w:tc>
          <w:tcPr>
            <w:tcW w:type="dxa" w:w="2880"/>
          </w:tcPr>
          <w:p>
            <w:r>
              <w:rPr>
                <w:sz w:val="18"/>
              </w:rPr>
              <w:t>User account data</w:t>
            </w:r>
          </w:p>
        </w:tc>
        <w:tc>
          <w:tcPr>
            <w:tcW w:type="dxa" w:w="2880"/>
          </w:tcPr>
          <w:p>
            <w:r>
              <w:rPr>
                <w:sz w:val="18"/>
              </w:rPr>
              <w:t>Active period + 2 years post-deactivation</w:t>
            </w:r>
          </w:p>
        </w:tc>
        <w:tc>
          <w:tcPr>
            <w:tcW w:type="dxa" w:w="2880"/>
          </w:tcPr>
          <w:p>
            <w:r>
              <w:rPr>
                <w:sz w:val="18"/>
              </w:rPr>
              <w:t>Anonymize and delete</w:t>
            </w:r>
          </w:p>
        </w:tc>
      </w:tr>
      <w:tr>
        <w:tc>
          <w:tcPr>
            <w:tcW w:type="dxa" w:w="2880"/>
          </w:tcPr>
          <w:p>
            <w:r>
              <w:rPr>
                <w:sz w:val="18"/>
              </w:rPr>
              <w:t>Session/access logs</w:t>
            </w:r>
          </w:p>
        </w:tc>
        <w:tc>
          <w:tcPr>
            <w:tcW w:type="dxa" w:w="2880"/>
          </w:tcPr>
          <w:p>
            <w:r>
              <w:rPr>
                <w:sz w:val="18"/>
              </w:rPr>
              <w:t>1 year minimum</w:t>
            </w:r>
          </w:p>
        </w:tc>
        <w:tc>
          <w:tcPr>
            <w:tcW w:type="dxa" w:w="2880"/>
          </w:tcPr>
          <w:p>
            <w:r>
              <w:rPr>
                <w:sz w:val="18"/>
              </w:rPr>
              <w:t>Delete</w:t>
            </w:r>
          </w:p>
        </w:tc>
      </w:tr>
    </w:tbl>
    <w:p>
      <w:pPr>
        <w:pStyle w:val="Heading3"/>
      </w:pPr>
      <w:r>
        <w:t>4.5 Incident Response Plan</w:t>
      </w:r>
    </w:p>
    <w:p>
      <w:r>
        <w:t>A formal incident response plan will cover:</w:t>
      </w:r>
    </w:p>
    <w:p>
      <w:pPr>
        <w:pStyle w:val="ListBullet"/>
      </w:pPr>
      <w:r>
        <w:t>Identification: How breaches are detected (logging, alerts, user reports)</w:t>
      </w:r>
    </w:p>
    <w:p>
      <w:pPr>
        <w:pStyle w:val="ListBullet"/>
      </w:pPr>
      <w:r>
        <w:t>Containment: Immediate steps (revoke tokens, disable accounts, firewall rules)</w:t>
      </w:r>
    </w:p>
    <w:p>
      <w:pPr>
        <w:pStyle w:val="ListBullet"/>
      </w:pPr>
      <w:r>
        <w:t>Eradication: Remove the threat (patch vulnerability, rotate credentials)</w:t>
      </w:r>
    </w:p>
    <w:p>
      <w:pPr>
        <w:pStyle w:val="ListBullet"/>
      </w:pPr>
      <w:r>
        <w:t>Recovery: Restore from backups, verify data integrity</w:t>
      </w:r>
    </w:p>
    <w:p>
      <w:pPr>
        <w:pStyle w:val="ListBullet"/>
      </w:pPr>
      <w:r>
        <w:t>Notification: NDPC within 72 hours, affected users, CERRT if government system</w:t>
      </w:r>
    </w:p>
    <w:p>
      <w:pPr>
        <w:pStyle w:val="ListBullet"/>
      </w:pPr>
      <w:r>
        <w:t>Post-incident review: Document lessons learned, update security controls</w:t>
      </w:r>
    </w:p>
    <w:p>
      <w:pPr>
        <w:pStyle w:val="Heading2"/>
      </w:pPr>
      <w:r>
        <w:t>5. Role-Based Access Control (RBAC) Matrix</w:t>
      </w:r>
    </w:p>
    <w:p>
      <w:r>
        <w:t>CourtLOG implements a 5-level role hierarchy. Each role has specific permissions controlling what data and functions they can access: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64E3B" w:val="clear"/>
          </w:tcPr>
          <w:p>
            <w:pPr>
              <w:jc w:val="center"/>
            </w:pPr>
            <w:r>
              <w:rPr>
                <w:b/>
                <w:color w:val="FFFFFF"/>
                <w:sz w:val="18"/>
              </w:rPr>
              <w:t>Feature</w:t>
            </w:r>
          </w:p>
        </w:tc>
        <w:tc>
          <w:tcPr>
            <w:tcW w:type="dxa" w:w="1440"/>
            <w:shd w:fill="064E3B" w:val="clear"/>
          </w:tcPr>
          <w:p>
            <w:pPr>
              <w:jc w:val="center"/>
            </w:pPr>
            <w:r>
              <w:rPr>
                <w:b/>
                <w:color w:val="FFFFFF"/>
                <w:sz w:val="18"/>
              </w:rPr>
              <w:t>Sheriff</w:t>
            </w:r>
          </w:p>
        </w:tc>
        <w:tc>
          <w:tcPr>
            <w:tcW w:type="dxa" w:w="1440"/>
            <w:shd w:fill="064E3B" w:val="clear"/>
          </w:tcPr>
          <w:p>
            <w:pPr>
              <w:jc w:val="center"/>
            </w:pPr>
            <w:r>
              <w:rPr>
                <w:b/>
                <w:color w:val="FFFFFF"/>
                <w:sz w:val="18"/>
              </w:rPr>
              <w:t>Clerk</w:t>
            </w:r>
          </w:p>
        </w:tc>
        <w:tc>
          <w:tcPr>
            <w:tcW w:type="dxa" w:w="1440"/>
            <w:shd w:fill="064E3B" w:val="clear"/>
          </w:tcPr>
          <w:p>
            <w:pPr>
              <w:jc w:val="center"/>
            </w:pPr>
            <w:r>
              <w:rPr>
                <w:b/>
                <w:color w:val="FFFFFF"/>
                <w:sz w:val="18"/>
              </w:rPr>
              <w:t>DCR</w:t>
            </w:r>
          </w:p>
        </w:tc>
        <w:tc>
          <w:tcPr>
            <w:tcW w:type="dxa" w:w="1440"/>
            <w:shd w:fill="064E3B" w:val="clear"/>
          </w:tcPr>
          <w:p>
            <w:pPr>
              <w:jc w:val="center"/>
            </w:pPr>
            <w:r>
              <w:rPr>
                <w:b/>
                <w:color w:val="FFFFFF"/>
                <w:sz w:val="18"/>
              </w:rPr>
              <w:t>Judge</w:t>
            </w:r>
          </w:p>
        </w:tc>
        <w:tc>
          <w:tcPr>
            <w:tcW w:type="dxa" w:w="1440"/>
            <w:shd w:fill="064E3B" w:val="clear"/>
          </w:tcPr>
          <w:p>
            <w:pPr>
              <w:jc w:val="center"/>
            </w:pPr>
            <w:r>
              <w:rPr>
                <w:b/>
                <w:color w:val="FFFFFF"/>
                <w:sz w:val="18"/>
              </w:rPr>
              <w:t>Chief Registrar</w:t>
            </w:r>
          </w:p>
        </w:tc>
      </w:tr>
      <w:tr>
        <w:tc>
          <w:tcPr>
            <w:tcW w:type="dxa" w:w="1440"/>
          </w:tcPr>
          <w:p>
            <w:r>
              <w:rPr>
                <w:sz w:val="18"/>
              </w:rPr>
              <w:t>View case dashboard</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QR scan / chain of custody</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NO</w:t>
            </w:r>
          </w:p>
        </w:tc>
        <w:tc>
          <w:tcPr>
            <w:tcW w:type="dxa" w:w="1440"/>
          </w:tcPr>
          <w:p>
            <w:r>
              <w:rPr>
                <w:sz w:val="18"/>
              </w:rPr>
              <w:t>YES</w:t>
            </w:r>
          </w:p>
        </w:tc>
      </w:tr>
      <w:tr>
        <w:tc>
          <w:tcPr>
            <w:tcW w:type="dxa" w:w="1440"/>
          </w:tcPr>
          <w:p>
            <w:r>
              <w:rPr>
                <w:sz w:val="18"/>
              </w:rPr>
              <w:t>Log hearing outcomes</w:t>
            </w:r>
          </w:p>
        </w:tc>
        <w:tc>
          <w:tcPr>
            <w:tcW w:type="dxa" w:w="1440"/>
          </w:tcPr>
          <w:p>
            <w:r>
              <w:rPr>
                <w:sz w:val="18"/>
              </w:rPr>
              <w:t>NO</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5th adjournment override</w:t>
            </w:r>
          </w:p>
        </w:tc>
        <w:tc>
          <w:tcPr>
            <w:tcW w:type="dxa" w:w="1440"/>
          </w:tcPr>
          <w:p>
            <w:r>
              <w:rPr>
                <w:sz w:val="18"/>
              </w:rPr>
              <w:t>NO</w:t>
            </w:r>
          </w:p>
        </w:tc>
        <w:tc>
          <w:tcPr>
            <w:tcW w:type="dxa" w:w="1440"/>
          </w:tcPr>
          <w:p>
            <w:r>
              <w:rPr>
                <w:sz w:val="18"/>
              </w:rPr>
              <w:t>NO</w:t>
            </w:r>
          </w:p>
        </w:tc>
        <w:tc>
          <w:tcPr>
            <w:tcW w:type="dxa" w:w="1440"/>
          </w:tcPr>
          <w:p>
            <w:r>
              <w:rPr>
                <w:sz w:val="18"/>
              </w:rPr>
              <w:t>YES</w:t>
            </w:r>
          </w:p>
        </w:tc>
        <w:tc>
          <w:tcPr>
            <w:tcW w:type="dxa" w:w="1440"/>
          </w:tcPr>
          <w:p>
            <w:r>
              <w:rPr>
                <w:sz w:val="18"/>
              </w:rPr>
              <w:t>NO</w:t>
            </w:r>
          </w:p>
        </w:tc>
        <w:tc>
          <w:tcPr>
            <w:tcW w:type="dxa" w:w="1440"/>
          </w:tcPr>
          <w:p>
            <w:r>
              <w:rPr>
                <w:sz w:val="18"/>
              </w:rPr>
              <w:t>YES</w:t>
            </w:r>
          </w:p>
        </w:tc>
      </w:tr>
      <w:tr>
        <w:tc>
          <w:tcPr>
            <w:tcW w:type="dxa" w:w="1440"/>
          </w:tcPr>
          <w:p>
            <w:r>
              <w:rPr>
                <w:sz w:val="18"/>
              </w:rPr>
              <w:t>Judge's docket management</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c>
          <w:tcPr>
            <w:tcW w:type="dxa" w:w="1440"/>
          </w:tcPr>
          <w:p>
            <w:r>
              <w:rPr>
                <w:sz w:val="18"/>
              </w:rPr>
              <w:t>YES</w:t>
            </w:r>
          </w:p>
        </w:tc>
      </w:tr>
      <w:tr>
        <w:tc>
          <w:tcPr>
            <w:tcW w:type="dxa" w:w="1440"/>
          </w:tcPr>
          <w:p>
            <w:r>
              <w:rPr>
                <w:sz w:val="18"/>
              </w:rPr>
              <w:t>Post-judgment execution</w:t>
            </w:r>
          </w:p>
        </w:tc>
        <w:tc>
          <w:tcPr>
            <w:tcW w:type="dxa" w:w="1440"/>
          </w:tcPr>
          <w:p>
            <w:r>
              <w:rPr>
                <w:sz w:val="18"/>
              </w:rPr>
              <w:t>YES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r>
        <w:tc>
          <w:tcPr>
            <w:tcW w:type="dxa" w:w="1440"/>
          </w:tcPr>
          <w:p>
            <w:r>
              <w:rPr>
                <w:sz w:val="18"/>
              </w:rPr>
              <w:t>User management</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r>
        <w:tc>
          <w:tcPr>
            <w:tcW w:type="dxa" w:w="1440"/>
          </w:tcPr>
          <w:p>
            <w:r>
              <w:rPr>
                <w:sz w:val="18"/>
              </w:rPr>
              <w:t>NJC data export</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r>
        <w:tc>
          <w:tcPr>
            <w:tcW w:type="dxa" w:w="1440"/>
          </w:tcPr>
          <w:p>
            <w:r>
              <w:rPr>
                <w:sz w:val="18"/>
              </w:rPr>
              <w:t>View full PII</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c>
          <w:tcPr>
            <w:tcW w:type="dxa" w:w="1440"/>
          </w:tcPr>
          <w:p>
            <w:r>
              <w:rPr>
                <w:sz w:val="18"/>
              </w:rPr>
              <w:t>YES</w:t>
            </w:r>
          </w:p>
        </w:tc>
      </w:tr>
      <w:tr>
        <w:tc>
          <w:tcPr>
            <w:tcW w:type="dxa" w:w="1440"/>
          </w:tcPr>
          <w:p>
            <w:r>
              <w:rPr>
                <w:sz w:val="18"/>
              </w:rPr>
              <w:t>Audit log access</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w:t>
            </w:r>
          </w:p>
        </w:tc>
      </w:tr>
    </w:tbl>
    <w:p>
      <w:pPr>
        <w:pStyle w:val="Heading2"/>
      </w:pPr>
      <w:r>
        <w:t>6. Implementation Priority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64E3B" w:val="clear"/>
          </w:tcPr>
          <w:p>
            <w:pPr>
              <w:jc w:val="center"/>
            </w:pPr>
            <w:r>
              <w:rPr>
                <w:b/>
                <w:color w:val="FFFFFF"/>
                <w:sz w:val="18"/>
              </w:rPr>
              <w:t>Phase</w:t>
            </w:r>
          </w:p>
        </w:tc>
        <w:tc>
          <w:tcPr>
            <w:tcW w:type="dxa" w:w="2160"/>
            <w:shd w:fill="064E3B" w:val="clear"/>
          </w:tcPr>
          <w:p>
            <w:pPr>
              <w:jc w:val="center"/>
            </w:pPr>
            <w:r>
              <w:rPr>
                <w:b/>
                <w:color w:val="FFFFFF"/>
                <w:sz w:val="18"/>
              </w:rPr>
              <w:t>Focus</w:t>
            </w:r>
          </w:p>
        </w:tc>
        <w:tc>
          <w:tcPr>
            <w:tcW w:type="dxa" w:w="2160"/>
            <w:shd w:fill="064E3B" w:val="clear"/>
          </w:tcPr>
          <w:p>
            <w:pPr>
              <w:jc w:val="center"/>
            </w:pPr>
            <w:r>
              <w:rPr>
                <w:b/>
                <w:color w:val="FFFFFF"/>
                <w:sz w:val="18"/>
              </w:rPr>
              <w:t>Effort</w:t>
            </w:r>
          </w:p>
        </w:tc>
        <w:tc>
          <w:tcPr>
            <w:tcW w:type="dxa" w:w="2160"/>
            <w:shd w:fill="064E3B" w:val="clear"/>
          </w:tcPr>
          <w:p>
            <w:pPr>
              <w:jc w:val="center"/>
            </w:pPr>
            <w:r>
              <w:rPr>
                <w:b/>
                <w:color w:val="FFFFFF"/>
                <w:sz w:val="18"/>
              </w:rPr>
              <w:t>Deadline</w:t>
            </w:r>
          </w:p>
        </w:tc>
      </w:tr>
      <w:tr>
        <w:tc>
          <w:tcPr>
            <w:tcW w:type="dxa" w:w="2160"/>
          </w:tcPr>
          <w:p>
            <w:r>
              <w:rPr>
                <w:sz w:val="18"/>
              </w:rPr>
              <w:t>Phase 1 (Critical)</w:t>
            </w:r>
          </w:p>
        </w:tc>
        <w:tc>
          <w:tcPr>
            <w:tcW w:type="dxa" w:w="2160"/>
          </w:tcPr>
          <w:p>
            <w:r>
              <w:rPr>
                <w:sz w:val="18"/>
              </w:rPr>
              <w:t>Password hashing, input validation, CORS, secrets, headers, audit logs</w:t>
            </w:r>
          </w:p>
        </w:tc>
        <w:tc>
          <w:tcPr>
            <w:tcW w:type="dxa" w:w="2160"/>
          </w:tcPr>
          <w:p>
            <w:r>
              <w:rPr>
                <w:sz w:val="18"/>
              </w:rPr>
              <w:t>14-21 hours</w:t>
            </w:r>
          </w:p>
        </w:tc>
        <w:tc>
          <w:tcPr>
            <w:tcW w:type="dxa" w:w="2160"/>
          </w:tcPr>
          <w:p>
            <w:r>
              <w:rPr>
                <w:sz w:val="18"/>
              </w:rPr>
              <w:t>Before any demo</w:t>
            </w:r>
          </w:p>
        </w:tc>
      </w:tr>
      <w:tr>
        <w:tc>
          <w:tcPr>
            <w:tcW w:type="dxa" w:w="2160"/>
          </w:tcPr>
          <w:p>
            <w:r>
              <w:rPr>
                <w:sz w:val="18"/>
              </w:rPr>
              <w:t>Phase 2 (Production)</w:t>
            </w:r>
          </w:p>
        </w:tc>
        <w:tc>
          <w:tcPr>
            <w:tcW w:type="dxa" w:w="2160"/>
          </w:tcPr>
          <w:p>
            <w:r>
              <w:rPr>
                <w:sz w:val="18"/>
              </w:rPr>
              <w:t>JWT auth, rate limiting, HTTPS, MFA, data masking, Docker, XSS, scanning</w:t>
            </w:r>
          </w:p>
        </w:tc>
        <w:tc>
          <w:tcPr>
            <w:tcW w:type="dxa" w:w="2160"/>
          </w:tcPr>
          <w:p>
            <w:r>
              <w:rPr>
                <w:sz w:val="18"/>
              </w:rPr>
              <w:t>41-74 hours</w:t>
            </w:r>
          </w:p>
        </w:tc>
        <w:tc>
          <w:tcPr>
            <w:tcW w:type="dxa" w:w="2160"/>
          </w:tcPr>
          <w:p>
            <w:r>
              <w:rPr>
                <w:sz w:val="18"/>
              </w:rPr>
              <w:t>Before production</w:t>
            </w:r>
          </w:p>
        </w:tc>
      </w:tr>
      <w:tr>
        <w:tc>
          <w:tcPr>
            <w:tcW w:type="dxa" w:w="2160"/>
          </w:tcPr>
          <w:p>
            <w:r>
              <w:rPr>
                <w:sz w:val="18"/>
              </w:rPr>
              <w:t>Phase 3 (Compliance)</w:t>
            </w:r>
          </w:p>
        </w:tc>
        <w:tc>
          <w:tcPr>
            <w:tcW w:type="dxa" w:w="2160"/>
          </w:tcPr>
          <w:p>
            <w:r>
              <w:rPr>
                <w:sz w:val="18"/>
              </w:rPr>
              <w:t>NDPA 2023, NITDA clearance, data classification, retention, incident response</w:t>
            </w:r>
          </w:p>
        </w:tc>
        <w:tc>
          <w:tcPr>
            <w:tcW w:type="dxa" w:w="2160"/>
          </w:tcPr>
          <w:p>
            <w:r>
              <w:rPr>
                <w:sz w:val="18"/>
              </w:rPr>
              <w:t>54-92 hours</w:t>
            </w:r>
          </w:p>
        </w:tc>
        <w:tc>
          <w:tcPr>
            <w:tcW w:type="dxa" w:w="2160"/>
          </w:tcPr>
          <w:p>
            <w:r>
              <w:rPr>
                <w:sz w:val="18"/>
              </w:rPr>
              <w:t>Before gov't deployment</w:t>
            </w:r>
          </w:p>
        </w:tc>
      </w:tr>
    </w:tbl>
    <w:p/>
    <w:p>
      <w:r>
        <w:t>Total estimated security implementation effort: 109-187 hours across all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5966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596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