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Nigerian Court Case Data</w:t>
      </w:r>
    </w:p>
    <w:p>
      <w:r>
        <w:rPr>
          <w:color w:val="6B7280"/>
          <w:sz w:val="26"/>
        </w:rPr>
        <w:t>Availability Assessment for CourtLOG ML Model Training</w:t>
      </w:r>
    </w:p>
    <w:p>
      <w:r>
        <w:t>This document assesses the availability of Nigerian court case data suitable for training CourtLOG's delay-risk prediction model. The model requires case-level records with: case type, court assignment, adjournment counts, filing-to-judgment duration, and delay risk indicators.</w:t>
      </w:r>
    </w:p>
    <w:p>
      <w:pPr>
        <w:pStyle w:val="Heading2"/>
      </w:pPr>
      <w:r>
        <w:t>1. Executive Summary</w:t>
      </w:r>
    </w:p>
    <w:p>
      <w:r>
        <w:t>After exhaustive research across government portals, academic repositories, international databases, and NGO platforms, we have confirmed that NO publicly downloadable dataset exists with the specific delay-prediction features CourtLOG requires. The Nigerian judiciary is in a transitional phase from analogue to digital record-keeping, and structured case lifecycle data (filing dates, adjournment counts, hearing gaps) is not yet available in any open-access format.</w:t>
      </w:r>
    </w:p>
    <w:p>
      <w:r>
        <w:rPr>
          <w:b/>
          <w:color w:val="DC2626"/>
        </w:rPr>
        <w:t>ACTION REQUIRED: Contact Citizens' Gavel (gavel.ng) to request access to their raw 1,388-case dataset — this is the single most viable path to obtaining real delay-duration data.</w:t>
      </w:r>
    </w:p>
    <w:p>
      <w:pPr>
        <w:pStyle w:val="Heading2"/>
      </w:pPr>
      <w:r>
        <w:t>2. Sources Investigated</w:t>
      </w:r>
    </w:p>
    <w:p>
      <w:pPr>
        <w:pStyle w:val="Heading3"/>
      </w:pPr>
      <w:r>
        <w:t>2.1 Government Court Portals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64E3B" w:val="clear"/>
          </w:tcPr>
          <w:p>
            <w:pPr>
              <w:jc w:val="center"/>
            </w:pPr>
            <w:r>
              <w:rPr>
                <w:b/>
                <w:color w:val="FFFFFF"/>
                <w:sz w:val="18"/>
              </w:rPr>
              <w:t>System</w:t>
            </w:r>
          </w:p>
        </w:tc>
        <w:tc>
          <w:tcPr>
            <w:tcW w:type="dxa" w:w="1728"/>
            <w:shd w:fill="064E3B" w:val="clear"/>
          </w:tcPr>
          <w:p>
            <w:pPr>
              <w:jc w:val="center"/>
            </w:pPr>
            <w:r>
              <w:rPr>
                <w:b/>
                <w:color w:val="FFFFFF"/>
                <w:sz w:val="18"/>
              </w:rPr>
              <w:t>Court</w:t>
            </w:r>
          </w:p>
        </w:tc>
        <w:tc>
          <w:tcPr>
            <w:tcW w:type="dxa" w:w="1728"/>
            <w:shd w:fill="064E3B" w:val="clear"/>
          </w:tcPr>
          <w:p>
            <w:pPr>
              <w:jc w:val="center"/>
            </w:pPr>
            <w:r>
              <w:rPr>
                <w:b/>
                <w:color w:val="FFFFFF"/>
                <w:sz w:val="18"/>
              </w:rPr>
              <w:t>URL</w:t>
            </w:r>
          </w:p>
        </w:tc>
        <w:tc>
          <w:tcPr>
            <w:tcW w:type="dxa" w:w="1728"/>
            <w:shd w:fill="064E3B" w:val="clear"/>
          </w:tcPr>
          <w:p>
            <w:pPr>
              <w:jc w:val="center"/>
            </w:pPr>
            <w:r>
              <w:rPr>
                <w:b/>
                <w:color w:val="FFFFFF"/>
                <w:sz w:val="18"/>
              </w:rPr>
              <w:t>Public Access?</w:t>
            </w:r>
          </w:p>
        </w:tc>
        <w:tc>
          <w:tcPr>
            <w:tcW w:type="dxa" w:w="1728"/>
            <w:shd w:fill="064E3B" w:val="clear"/>
          </w:tcPr>
          <w:p>
            <w:pPr>
              <w:jc w:val="center"/>
            </w:pPr>
            <w:r>
              <w:rPr>
                <w:b/>
                <w:color w:val="FFFFFF"/>
                <w:sz w:val="18"/>
              </w:rPr>
              <w:t>Delay Data?</w:t>
            </w:r>
          </w:p>
        </w:tc>
      </w:tr>
      <w:tr>
        <w:tc>
          <w:tcPr>
            <w:tcW w:type="dxa" w:w="1728"/>
          </w:tcPr>
          <w:p>
            <w:r>
              <w:rPr>
                <w:sz w:val="18"/>
              </w:rPr>
              <w:t>NCMS e-Filing</w:t>
            </w:r>
          </w:p>
        </w:tc>
        <w:tc>
          <w:tcPr>
            <w:tcW w:type="dxa" w:w="1728"/>
          </w:tcPr>
          <w:p>
            <w:r>
              <w:rPr>
                <w:sz w:val="18"/>
              </w:rPr>
              <w:t>All Superior Courts (NJC)</w:t>
            </w:r>
          </w:p>
        </w:tc>
        <w:tc>
          <w:tcPr>
            <w:tcW w:type="dxa" w:w="1728"/>
          </w:tcPr>
          <w:p>
            <w:r>
              <w:rPr>
                <w:sz w:val="18"/>
              </w:rPr>
              <w:t>efiling.courts.gov.ng</w:t>
            </w:r>
          </w:p>
        </w:tc>
        <w:tc>
          <w:tcPr>
            <w:tcW w:type="dxa" w:w="1728"/>
          </w:tcPr>
          <w:p>
            <w:r>
              <w:rPr>
                <w:sz w:val="18"/>
              </w:rPr>
              <w:t>NO — Requires LegalMail</w:t>
            </w:r>
          </w:p>
        </w:tc>
        <w:tc>
          <w:tcPr>
            <w:tcW w:type="dxa" w:w="1728"/>
          </w:tcPr>
          <w:p>
            <w:r>
              <w:rPr>
                <w:sz w:val="18"/>
              </w:rPr>
              <w:t>NO</w:t>
            </w:r>
          </w:p>
        </w:tc>
      </w:tr>
      <w:tr>
        <w:tc>
          <w:tcPr>
            <w:tcW w:type="dxa" w:w="1728"/>
          </w:tcPr>
          <w:p>
            <w:r>
              <w:rPr>
                <w:sz w:val="18"/>
              </w:rPr>
              <w:t>FHC e-Filing</w:t>
            </w:r>
          </w:p>
        </w:tc>
        <w:tc>
          <w:tcPr>
            <w:tcW w:type="dxa" w:w="1728"/>
          </w:tcPr>
          <w:p>
            <w:r>
              <w:rPr>
                <w:sz w:val="18"/>
              </w:rPr>
              <w:t>Federal High Court</w:t>
            </w:r>
          </w:p>
        </w:tc>
        <w:tc>
          <w:tcPr>
            <w:tcW w:type="dxa" w:w="1728"/>
          </w:tcPr>
          <w:p>
            <w:r>
              <w:rPr>
                <w:sz w:val="18"/>
              </w:rPr>
              <w:t>fhcportal.ng</w:t>
            </w:r>
          </w:p>
        </w:tc>
        <w:tc>
          <w:tcPr>
            <w:tcW w:type="dxa" w:w="1728"/>
          </w:tcPr>
          <w:p>
            <w:r>
              <w:rPr>
                <w:sz w:val="18"/>
              </w:rPr>
              <w:t>NO — Lawyers only (SCN req.)</w:t>
            </w:r>
          </w:p>
        </w:tc>
        <w:tc>
          <w:tcPr>
            <w:tcW w:type="dxa" w:w="1728"/>
          </w:tcPr>
          <w:p>
            <w:r>
              <w:rPr>
                <w:sz w:val="18"/>
              </w:rPr>
              <w:t>NO</w:t>
            </w:r>
          </w:p>
        </w:tc>
      </w:tr>
      <w:tr>
        <w:tc>
          <w:tcPr>
            <w:tcW w:type="dxa" w:w="1728"/>
          </w:tcPr>
          <w:p>
            <w:r>
              <w:rPr>
                <w:sz w:val="18"/>
              </w:rPr>
              <w:t>Lagos CoMIS</w:t>
            </w:r>
          </w:p>
        </w:tc>
        <w:tc>
          <w:tcPr>
            <w:tcW w:type="dxa" w:w="1728"/>
          </w:tcPr>
          <w:p>
            <w:r>
              <w:rPr>
                <w:sz w:val="18"/>
              </w:rPr>
              <w:t>Lagos State Judiciary</w:t>
            </w:r>
          </w:p>
        </w:tc>
        <w:tc>
          <w:tcPr>
            <w:tcW w:type="dxa" w:w="1728"/>
          </w:tcPr>
          <w:p>
            <w:r>
              <w:rPr>
                <w:sz w:val="18"/>
              </w:rPr>
              <w:t>lagoscomis.lagosjudiciary.gov.ng</w:t>
            </w:r>
          </w:p>
        </w:tc>
        <w:tc>
          <w:tcPr>
            <w:tcW w:type="dxa" w:w="1728"/>
          </w:tcPr>
          <w:p>
            <w:r>
              <w:rPr>
                <w:sz w:val="18"/>
              </w:rPr>
              <w:t>PARTIAL — Case status by suit number</w:t>
            </w:r>
          </w:p>
        </w:tc>
        <w:tc>
          <w:tcPr>
            <w:tcW w:type="dxa" w:w="1728"/>
          </w:tcPr>
          <w:p>
            <w:r>
              <w:rPr>
                <w:sz w:val="18"/>
              </w:rPr>
              <w:t>NO</w:t>
            </w:r>
          </w:p>
        </w:tc>
      </w:tr>
      <w:tr>
        <w:tc>
          <w:tcPr>
            <w:tcW w:type="dxa" w:w="1728"/>
          </w:tcPr>
          <w:p>
            <w:r>
              <w:rPr>
                <w:sz w:val="18"/>
              </w:rPr>
              <w:t>NICN Portal</w:t>
            </w:r>
          </w:p>
        </w:tc>
        <w:tc>
          <w:tcPr>
            <w:tcW w:type="dxa" w:w="1728"/>
          </w:tcPr>
          <w:p>
            <w:r>
              <w:rPr>
                <w:sz w:val="18"/>
              </w:rPr>
              <w:t>National Industrial Court</w:t>
            </w:r>
          </w:p>
        </w:tc>
        <w:tc>
          <w:tcPr>
            <w:tcW w:type="dxa" w:w="1728"/>
          </w:tcPr>
          <w:p>
            <w:r>
              <w:rPr>
                <w:sz w:val="18"/>
              </w:rPr>
              <w:t>nicn.gov.ng</w:t>
            </w:r>
          </w:p>
        </w:tc>
        <w:tc>
          <w:tcPr>
            <w:tcW w:type="dxa" w:w="1728"/>
          </w:tcPr>
          <w:p>
            <w:r>
              <w:rPr>
                <w:sz w:val="18"/>
              </w:rPr>
              <w:t>PARTIAL — Cause lists public</w:t>
            </w:r>
          </w:p>
        </w:tc>
        <w:tc>
          <w:tcPr>
            <w:tcW w:type="dxa" w:w="1728"/>
          </w:tcPr>
          <w:p>
            <w:r>
              <w:rPr>
                <w:sz w:val="18"/>
              </w:rPr>
              <w:t>NO</w:t>
            </w:r>
          </w:p>
        </w:tc>
      </w:tr>
      <w:tr>
        <w:tc>
          <w:tcPr>
            <w:tcW w:type="dxa" w:w="1728"/>
          </w:tcPr>
          <w:p>
            <w:r>
              <w:rPr>
                <w:sz w:val="18"/>
              </w:rPr>
              <w:t>Supreme Court</w:t>
            </w:r>
          </w:p>
        </w:tc>
        <w:tc>
          <w:tcPr>
            <w:tcW w:type="dxa" w:w="1728"/>
          </w:tcPr>
          <w:p>
            <w:r>
              <w:rPr>
                <w:sz w:val="18"/>
              </w:rPr>
              <w:t>Supreme Court of Nigeria</w:t>
            </w:r>
          </w:p>
        </w:tc>
        <w:tc>
          <w:tcPr>
            <w:tcW w:type="dxa" w:w="1728"/>
          </w:tcPr>
          <w:p>
            <w:r>
              <w:rPr>
                <w:sz w:val="18"/>
              </w:rPr>
              <w:t>supremecourt.gov.ng</w:t>
            </w:r>
          </w:p>
        </w:tc>
        <w:tc>
          <w:tcPr>
            <w:tcW w:type="dxa" w:w="1728"/>
          </w:tcPr>
          <w:p>
            <w:r>
              <w:rPr>
                <w:sz w:val="18"/>
              </w:rPr>
              <w:t>PARTIAL — Cause lists, some judgments</w:t>
            </w:r>
          </w:p>
        </w:tc>
        <w:tc>
          <w:tcPr>
            <w:tcW w:type="dxa" w:w="1728"/>
          </w:tcPr>
          <w:p>
            <w:r>
              <w:rPr>
                <w:sz w:val="18"/>
              </w:rPr>
              <w:t>NO</w:t>
            </w:r>
          </w:p>
        </w:tc>
      </w:tr>
    </w:tbl>
    <w:p/>
    <w:p>
      <w:r>
        <w:t>Key finding: The NCMS tracks filing dates, hearing schedules, and case status end-to-end — exactly what we need. However, it is locked behind LegalMail authentication and only accessible to registered legal practitioners.</w:t>
      </w:r>
    </w:p>
    <w:p>
      <w:pPr>
        <w:pStyle w:val="Heading3"/>
      </w:pPr>
      <w:r>
        <w:t>2.2 Academic &amp; Research Repositories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64E3B" w:val="clear"/>
          </w:tcPr>
          <w:p>
            <w:pPr>
              <w:jc w:val="center"/>
            </w:pPr>
            <w:r>
              <w:rPr>
                <w:b/>
                <w:color w:val="FFFFFF"/>
                <w:sz w:val="18"/>
              </w:rPr>
              <w:t>Dataset</w:t>
            </w:r>
          </w:p>
        </w:tc>
        <w:tc>
          <w:tcPr>
            <w:tcW w:type="dxa" w:w="2160"/>
            <w:shd w:fill="064E3B" w:val="clear"/>
          </w:tcPr>
          <w:p>
            <w:pPr>
              <w:jc w:val="center"/>
            </w:pPr>
            <w:r>
              <w:rPr>
                <w:b/>
                <w:color w:val="FFFFFF"/>
                <w:sz w:val="18"/>
              </w:rPr>
              <w:t>Source</w:t>
            </w:r>
          </w:p>
        </w:tc>
        <w:tc>
          <w:tcPr>
            <w:tcW w:type="dxa" w:w="2160"/>
            <w:shd w:fill="064E3B" w:val="clear"/>
          </w:tcPr>
          <w:p>
            <w:pPr>
              <w:jc w:val="center"/>
            </w:pPr>
            <w:r>
              <w:rPr>
                <w:b/>
                <w:color w:val="FFFFFF"/>
                <w:sz w:val="18"/>
              </w:rPr>
              <w:t>Cases</w:t>
            </w:r>
          </w:p>
        </w:tc>
        <w:tc>
          <w:tcPr>
            <w:tcW w:type="dxa" w:w="2160"/>
            <w:shd w:fill="064E3B" w:val="clear"/>
          </w:tcPr>
          <w:p>
            <w:pPr>
              <w:jc w:val="center"/>
            </w:pPr>
            <w:r>
              <w:rPr>
                <w:b/>
                <w:color w:val="FFFFFF"/>
                <w:sz w:val="18"/>
              </w:rPr>
              <w:t>Usability for CourtLOG</w:t>
            </w:r>
          </w:p>
        </w:tc>
      </w:tr>
      <w:tr>
        <w:tc>
          <w:tcPr>
            <w:tcW w:type="dxa" w:w="2160"/>
          </w:tcPr>
          <w:p>
            <w:r>
              <w:rPr>
                <w:sz w:val="18"/>
              </w:rPr>
              <w:t>SCN Appeal Cases (Ngige et al., 2023)</w:t>
            </w:r>
          </w:p>
        </w:tc>
        <w:tc>
          <w:tcPr>
            <w:tcW w:type="dxa" w:w="2160"/>
          </w:tcPr>
          <w:p>
            <w:r>
              <w:rPr>
                <w:sz w:val="18"/>
              </w:rPr>
              <w:t>Mendeley Data</w:t>
            </w:r>
          </w:p>
        </w:tc>
        <w:tc>
          <w:tcPr>
            <w:tcW w:type="dxa" w:w="2160"/>
          </w:tcPr>
          <w:p>
            <w:r>
              <w:rPr>
                <w:sz w:val="18"/>
              </w:rPr>
              <w:t>4,696</w:t>
            </w:r>
          </w:p>
        </w:tc>
        <w:tc>
          <w:tcPr>
            <w:tcW w:type="dxa" w:w="2160"/>
          </w:tcPr>
          <w:p>
            <w:r>
              <w:rPr>
                <w:sz w:val="18"/>
              </w:rPr>
              <w:t>LOW — Criminal appeals only. Has zone/offense distributions but NO delay features.</w:t>
            </w:r>
          </w:p>
        </w:tc>
      </w:tr>
      <w:tr>
        <w:tc>
          <w:tcPr>
            <w:tcW w:type="dxa" w:w="2160"/>
          </w:tcPr>
          <w:p>
            <w:r>
              <w:rPr>
                <w:sz w:val="18"/>
              </w:rPr>
              <w:t>Kaggle</w:t>
            </w:r>
          </w:p>
        </w:tc>
        <w:tc>
          <w:tcPr>
            <w:tcW w:type="dxa" w:w="2160"/>
          </w:tcPr>
          <w:p>
            <w:r>
              <w:rPr>
                <w:sz w:val="18"/>
              </w:rPr>
              <w:t>kaggle.com</w:t>
            </w:r>
          </w:p>
        </w:tc>
        <w:tc>
          <w:tcPr>
            <w:tcW w:type="dxa" w:w="2160"/>
          </w:tcPr>
          <w:p>
            <w:r>
              <w:rPr>
                <w:sz w:val="18"/>
              </w:rPr>
              <w:t>—</w:t>
            </w:r>
          </w:p>
        </w:tc>
        <w:tc>
          <w:tcPr>
            <w:tcW w:type="dxa" w:w="2160"/>
          </w:tcPr>
          <w:p>
            <w:r>
              <w:rPr>
                <w:sz w:val="18"/>
              </w:rPr>
              <w:t>NONE — No Nigerian court delay datasets exist on Kaggle.</w:t>
            </w:r>
          </w:p>
        </w:tc>
      </w:tr>
      <w:tr>
        <w:tc>
          <w:tcPr>
            <w:tcW w:type="dxa" w:w="2160"/>
          </w:tcPr>
          <w:p>
            <w:r>
              <w:rPr>
                <w:sz w:val="18"/>
              </w:rPr>
              <w:t>Zenodo / Dataverse / Figshare</w:t>
            </w:r>
          </w:p>
        </w:tc>
        <w:tc>
          <w:tcPr>
            <w:tcW w:type="dxa" w:w="2160"/>
          </w:tcPr>
          <w:p>
            <w:r>
              <w:rPr>
                <w:sz w:val="18"/>
              </w:rPr>
              <w:t>Various</w:t>
            </w:r>
          </w:p>
        </w:tc>
        <w:tc>
          <w:tcPr>
            <w:tcW w:type="dxa" w:w="2160"/>
          </w:tcPr>
          <w:p>
            <w:r>
              <w:rPr>
                <w:sz w:val="18"/>
              </w:rPr>
              <w:t>—</w:t>
            </w:r>
          </w:p>
        </w:tc>
        <w:tc>
          <w:tcPr>
            <w:tcW w:type="dxa" w:w="2160"/>
          </w:tcPr>
          <w:p>
            <w:r>
              <w:rPr>
                <w:sz w:val="18"/>
              </w:rPr>
              <w:t>NONE — Same Mendeley dataset referenced. No delay data.</w:t>
            </w:r>
          </w:p>
        </w:tc>
      </w:tr>
    </w:tbl>
    <w:p>
      <w:pPr>
        <w:pStyle w:val="Heading3"/>
      </w:pPr>
      <w:r>
        <w:t>2.3 International Organizations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64E3B" w:val="clear"/>
          </w:tcPr>
          <w:p>
            <w:pPr>
              <w:jc w:val="center"/>
            </w:pPr>
            <w:r>
              <w:rPr>
                <w:b/>
                <w:color w:val="FFFFFF"/>
                <w:sz w:val="18"/>
              </w:rPr>
              <w:t>Source</w:t>
            </w:r>
          </w:p>
        </w:tc>
        <w:tc>
          <w:tcPr>
            <w:tcW w:type="dxa" w:w="2880"/>
            <w:shd w:fill="064E3B" w:val="clear"/>
          </w:tcPr>
          <w:p>
            <w:pPr>
              <w:jc w:val="center"/>
            </w:pPr>
            <w:r>
              <w:rPr>
                <w:b/>
                <w:color w:val="FFFFFF"/>
                <w:sz w:val="18"/>
              </w:rPr>
              <w:t>Data Available</w:t>
            </w:r>
          </w:p>
        </w:tc>
        <w:tc>
          <w:tcPr>
            <w:tcW w:type="dxa" w:w="2880"/>
            <w:shd w:fill="064E3B" w:val="clear"/>
          </w:tcPr>
          <w:p>
            <w:pPr>
              <w:jc w:val="center"/>
            </w:pPr>
            <w:r>
              <w:rPr>
                <w:b/>
                <w:color w:val="FFFFFF"/>
                <w:sz w:val="18"/>
              </w:rPr>
              <w:t>Usability</w:t>
            </w:r>
          </w:p>
        </w:tc>
      </w:tr>
      <w:tr>
        <w:tc>
          <w:tcPr>
            <w:tcW w:type="dxa" w:w="2880"/>
          </w:tcPr>
          <w:p>
            <w:r>
              <w:rPr>
                <w:sz w:val="18"/>
              </w:rPr>
              <w:t>World Bank Doing Business</w:t>
            </w:r>
          </w:p>
        </w:tc>
        <w:tc>
          <w:tcPr>
            <w:tcW w:type="dxa" w:w="2880"/>
          </w:tcPr>
          <w:p>
            <w:r>
              <w:rPr>
                <w:sz w:val="18"/>
              </w:rPr>
              <w:t>Enforcing Contracts: 447 days avg, 42 procedures (2019, discontinued)</w:t>
            </w:r>
          </w:p>
        </w:tc>
        <w:tc>
          <w:tcPr>
            <w:tcW w:type="dxa" w:w="2880"/>
          </w:tcPr>
          <w:p>
            <w:r>
              <w:rPr>
                <w:sz w:val="18"/>
              </w:rPr>
              <w:t>Country-level aggregates only. Useful as benchmark, not training data.</w:t>
            </w:r>
          </w:p>
        </w:tc>
      </w:tr>
      <w:tr>
        <w:tc>
          <w:tcPr>
            <w:tcW w:type="dxa" w:w="2880"/>
          </w:tcPr>
          <w:p>
            <w:r>
              <w:rPr>
                <w:sz w:val="18"/>
              </w:rPr>
              <w:t>World Bank B-READY</w:t>
            </w:r>
          </w:p>
        </w:tc>
        <w:tc>
          <w:tcPr>
            <w:tcW w:type="dxa" w:w="2880"/>
          </w:tcPr>
          <w:p>
            <w:r>
              <w:rPr>
                <w:sz w:val="18"/>
              </w:rPr>
              <w:t>Successor to Doing Business. 3-year rollout started 2024.</w:t>
            </w:r>
          </w:p>
        </w:tc>
        <w:tc>
          <w:tcPr>
            <w:tcW w:type="dxa" w:w="2880"/>
          </w:tcPr>
          <w:p>
            <w:r>
              <w:rPr>
                <w:sz w:val="18"/>
              </w:rPr>
              <w:t>Not yet published for Nigeria.</w:t>
            </w:r>
          </w:p>
        </w:tc>
      </w:tr>
      <w:tr>
        <w:tc>
          <w:tcPr>
            <w:tcW w:type="dxa" w:w="2880"/>
          </w:tcPr>
          <w:p>
            <w:r>
              <w:rPr>
                <w:sz w:val="18"/>
              </w:rPr>
              <w:t>UNODC Crime Trends Survey</w:t>
            </w:r>
          </w:p>
        </w:tc>
        <w:tc>
          <w:tcPr>
            <w:tcW w:type="dxa" w:w="2880"/>
          </w:tcPr>
          <w:p>
            <w:r>
              <w:rPr>
                <w:sz w:val="18"/>
              </w:rPr>
              <w:t>Aggregate crime/justice statistics from Nigeria</w:t>
            </w:r>
          </w:p>
        </w:tc>
        <w:tc>
          <w:tcPr>
            <w:tcW w:type="dxa" w:w="2880"/>
          </w:tcPr>
          <w:p>
            <w:r>
              <w:rPr>
                <w:sz w:val="18"/>
              </w:rPr>
              <w:t>Too aggregated. No case-level data.</w:t>
            </w:r>
          </w:p>
        </w:tc>
      </w:tr>
      <w:tr>
        <w:tc>
          <w:tcPr>
            <w:tcW w:type="dxa" w:w="2880"/>
          </w:tcPr>
          <w:p>
            <w:r>
              <w:rPr>
                <w:sz w:val="18"/>
              </w:rPr>
              <w:t>NBS (National Bureau of Statistics)</w:t>
            </w:r>
          </w:p>
        </w:tc>
        <w:tc>
          <w:tcPr>
            <w:tcW w:type="dxa" w:w="2880"/>
          </w:tcPr>
          <w:p>
            <w:r>
              <w:rPr>
                <w:sz w:val="18"/>
              </w:rPr>
              <w:t>Crime statistics from NPF, judiciary, corrections</w:t>
            </w:r>
          </w:p>
        </w:tc>
        <w:tc>
          <w:tcPr>
            <w:tcW w:type="dxa" w:w="2880"/>
          </w:tcPr>
          <w:p>
            <w:r>
              <w:rPr>
                <w:sz w:val="18"/>
              </w:rPr>
              <w:t>Police/corrections focused. Judicial data fragmented.</w:t>
            </w:r>
          </w:p>
        </w:tc>
      </w:tr>
    </w:tbl>
    <w:p>
      <w:pPr>
        <w:pStyle w:val="Heading3"/>
      </w:pPr>
      <w:r>
        <w:t>2.4 NGO &amp; Civil Society Sources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64E3B" w:val="clear"/>
          </w:tcPr>
          <w:p>
            <w:pPr>
              <w:jc w:val="center"/>
            </w:pPr>
            <w:r>
              <w:rPr>
                <w:b/>
                <w:color w:val="FFFFFF"/>
                <w:sz w:val="18"/>
              </w:rPr>
              <w:t>Organization</w:t>
            </w:r>
          </w:p>
        </w:tc>
        <w:tc>
          <w:tcPr>
            <w:tcW w:type="dxa" w:w="2880"/>
            <w:shd w:fill="064E3B" w:val="clear"/>
          </w:tcPr>
          <w:p>
            <w:pPr>
              <w:jc w:val="center"/>
            </w:pPr>
            <w:r>
              <w:rPr>
                <w:b/>
                <w:color w:val="FFFFFF"/>
                <w:sz w:val="18"/>
              </w:rPr>
              <w:t>Data</w:t>
            </w:r>
          </w:p>
        </w:tc>
        <w:tc>
          <w:tcPr>
            <w:tcW w:type="dxa" w:w="2880"/>
            <w:shd w:fill="064E3B" w:val="clear"/>
          </w:tcPr>
          <w:p>
            <w:pPr>
              <w:jc w:val="center"/>
            </w:pPr>
            <w:r>
              <w:rPr>
                <w:b/>
                <w:color w:val="FFFFFF"/>
                <w:sz w:val="18"/>
              </w:rPr>
              <w:t>Access Status</w:t>
            </w:r>
          </w:p>
        </w:tc>
      </w:tr>
      <w:tr>
        <w:tc>
          <w:tcPr>
            <w:tcW w:type="dxa" w:w="2880"/>
          </w:tcPr>
          <w:p>
            <w:r>
              <w:rPr>
                <w:sz w:val="18"/>
              </w:rPr>
              <w:t>Citizens' Gavel (gavel.ng)</w:t>
            </w:r>
          </w:p>
        </w:tc>
        <w:tc>
          <w:tcPr>
            <w:tcW w:type="dxa" w:w="2880"/>
          </w:tcPr>
          <w:p>
            <w:r>
              <w:rPr>
                <w:sz w:val="18"/>
              </w:rPr>
              <w:t>1,388 cases across 33 states with filing-to-judgment timelines</w:t>
            </w:r>
          </w:p>
        </w:tc>
        <w:tc>
          <w:tcPr>
            <w:tcW w:type="dxa" w:w="2880"/>
          </w:tcPr>
          <w:p>
            <w:r>
              <w:rPr>
                <w:sz w:val="18"/>
              </w:rPr>
              <w:t>MUST CONTACT — Report published, raw data may be available on request</w:t>
            </w:r>
          </w:p>
        </w:tc>
      </w:tr>
      <w:tr>
        <w:tc>
          <w:tcPr>
            <w:tcW w:type="dxa" w:w="2880"/>
          </w:tcPr>
          <w:p>
            <w:r>
              <w:rPr>
                <w:sz w:val="18"/>
              </w:rPr>
              <w:t>TransparencIT (corruptioncases.ng)</w:t>
            </w:r>
          </w:p>
        </w:tc>
        <w:tc>
          <w:tcPr>
            <w:tcW w:type="dxa" w:w="2880"/>
          </w:tcPr>
          <w:p>
            <w:r>
              <w:rPr>
                <w:sz w:val="18"/>
              </w:rPr>
              <w:t>Corruption trial tracking database</w:t>
            </w:r>
          </w:p>
        </w:tc>
        <w:tc>
          <w:tcPr>
            <w:tcW w:type="dxa" w:w="2880"/>
          </w:tcPr>
          <w:p>
            <w:r>
              <w:rPr>
                <w:sz w:val="18"/>
              </w:rPr>
              <w:t>SPA app, no bulk download. Focused on corruption cases only.</w:t>
            </w:r>
          </w:p>
        </w:tc>
      </w:tr>
      <w:tr>
        <w:tc>
          <w:tcPr>
            <w:tcW w:type="dxa" w:w="2880"/>
          </w:tcPr>
          <w:p>
            <w:r>
              <w:rPr>
                <w:sz w:val="18"/>
              </w:rPr>
              <w:t>CLEEN Foundation</w:t>
            </w:r>
          </w:p>
        </w:tc>
        <w:tc>
          <w:tcPr>
            <w:tcW w:type="dxa" w:w="2880"/>
          </w:tcPr>
          <w:p>
            <w:r>
              <w:rPr>
                <w:sz w:val="18"/>
              </w:rPr>
              <w:t>Court digitization via HURIDOCS/Uwazi</w:t>
            </w:r>
          </w:p>
        </w:tc>
        <w:tc>
          <w:tcPr>
            <w:tcW w:type="dxa" w:w="2880"/>
          </w:tcPr>
          <w:p>
            <w:r>
              <w:rPr>
                <w:sz w:val="18"/>
              </w:rPr>
              <w:t>Internal tool. Corruption/financial crimes focus.</w:t>
            </w:r>
          </w:p>
        </w:tc>
      </w:tr>
    </w:tbl>
    <w:p>
      <w:pPr>
        <w:pStyle w:val="Heading2"/>
      </w:pPr>
      <w:r>
        <w:t>3. Priority Action: Citizens' Gavel Partnership</w:t>
      </w:r>
    </w:p>
    <w:p>
      <w:r>
        <w:rPr>
          <w:b/>
        </w:rPr>
        <w:t>Citizens' Gavel is our highest-priority data source.</w:t>
      </w:r>
    </w:p>
    <w:p>
      <w:r>
        <w:t>Their 'Measuring the Pace of Justice' report (supported by OSIWA) tracked 1,388 cases across 33 Nigerian states in State High Courts. This is the ONLY known structured dataset that tracks filing-to-judgment timelines in Nigerian courts.</w:t>
      </w:r>
    </w:p>
    <w:p>
      <w:pPr>
        <w:pStyle w:val="Heading3"/>
      </w:pPr>
      <w:r>
        <w:t>What they measured:</w:t>
      </w:r>
    </w:p>
    <w:p>
      <w:pPr>
        <w:pStyle w:val="ListBullet"/>
      </w:pPr>
      <w:r>
        <w:t>Filing date to judgment date (case duration)</w:t>
      </w:r>
    </w:p>
    <w:p>
      <w:pPr>
        <w:pStyle w:val="ListBullet"/>
      </w:pPr>
      <w:r>
        <w:t>State-by-state court performance comparison</w:t>
      </w:r>
    </w:p>
    <w:p>
      <w:pPr>
        <w:pStyle w:val="ListBullet"/>
      </w:pPr>
      <w:r>
        <w:t>Identified fastest courts (Borno, Katsina, Kebbi) and slowest (Rivers, FCT, Anambra)</w:t>
      </w:r>
    </w:p>
    <w:p>
      <w:pPr>
        <w:pStyle w:val="ListBullet"/>
      </w:pPr>
      <w:r>
        <w:t>4 states excluded due to inaccessible data (Ekiti, Sokoto, Yobe, Zamfara)</w:t>
      </w:r>
    </w:p>
    <w:p>
      <w:pPr>
        <w:pStyle w:val="Heading3"/>
      </w:pPr>
      <w:r>
        <w:t>What we need from them:</w:t>
      </w:r>
    </w:p>
    <w:p>
      <w:pPr>
        <w:pStyle w:val="ListBullet"/>
      </w:pPr>
      <w:r>
        <w:t>Raw per-case records (not just state aggregates)</w:t>
      </w:r>
    </w:p>
    <w:p>
      <w:pPr>
        <w:pStyle w:val="ListBullet"/>
      </w:pPr>
      <w:r>
        <w:t>Case type classification per record</w:t>
      </w:r>
    </w:p>
    <w:p>
      <w:pPr>
        <w:pStyle w:val="ListBullet"/>
      </w:pPr>
      <w:r>
        <w:t>Court/division assignment</w:t>
      </w:r>
    </w:p>
    <w:p>
      <w:pPr>
        <w:pStyle w:val="ListBullet"/>
      </w:pPr>
      <w:r>
        <w:t>Duration from filing to judgment (in days)</w:t>
      </w:r>
    </w:p>
    <w:p>
      <w:pPr>
        <w:pStyle w:val="ListBullet"/>
      </w:pPr>
      <w:r>
        <w:t>Any available adjournment counts or hearing frequency data</w:t>
      </w:r>
    </w:p>
    <w:p>
      <w:pPr>
        <w:pStyle w:val="Heading3"/>
      </w:pPr>
      <w:r>
        <w:t>How to contact:</w:t>
      </w:r>
    </w:p>
    <w:p>
      <w:pPr>
        <w:pStyle w:val="ListBullet"/>
      </w:pPr>
      <w:r>
        <w:t>Website: https://gavel.ng</w:t>
      </w:r>
    </w:p>
    <w:p>
      <w:pPr>
        <w:pStyle w:val="ListBullet"/>
      </w:pPr>
      <w:r>
        <w:t>Twitter/X: @citizensgavel</w:t>
      </w:r>
    </w:p>
    <w:p>
      <w:pPr>
        <w:pStyle w:val="ListBullet"/>
      </w:pPr>
      <w:r>
        <w:t>Approach: Frame as academic/GovTech research partnership</w:t>
      </w:r>
    </w:p>
    <w:p>
      <w:pPr>
        <w:pStyle w:val="ListBullet"/>
      </w:pPr>
      <w:r>
        <w:t>Offer: Credit in the project, shared findings, data reciprocity</w:t>
      </w:r>
    </w:p>
    <w:p>
      <w:pPr>
        <w:pStyle w:val="Heading2"/>
      </w:pPr>
      <w:r>
        <w:t>4. Data Successfully Obtained</w:t>
      </w:r>
    </w:p>
    <w:p>
      <w:r>
        <w:t>We downloaded the Mendeley Supreme Court Appeal Cases dataset (Ngige et al., 2023) — 4,696 cases with 14 variables. While it cannot directly train our delay model, it provides real Nigerian court distributions that we use to calibrate our synthetic dataset:</w:t>
      </w:r>
    </w:p>
    <w:p>
      <w:pPr>
        <w:pStyle w:val="ListBullet"/>
      </w:pPr>
      <w:r>
        <w:t>Geographic zone distribution: South-West (highest volume), North-East (lowest)</w:t>
      </w:r>
    </w:p>
    <w:p>
      <w:pPr>
        <w:pStyle w:val="ListBullet"/>
      </w:pPr>
      <w:r>
        <w:t>Case type / offense distributions across zones</w:t>
      </w:r>
    </w:p>
    <w:p>
      <w:pPr>
        <w:pStyle w:val="ListBullet"/>
      </w:pPr>
      <w:r>
        <w:t>Party complexity patterns (witness and complainant counts)</w:t>
      </w:r>
    </w:p>
    <w:p>
      <w:pPr>
        <w:pStyle w:val="Heading2"/>
      </w:pPr>
      <w:r>
        <w:t>5. Current Dataset Strategy</w:t>
      </w:r>
    </w:p>
    <w:p>
      <w:r>
        <w:t>Until real delay data is obtained from Citizens' Gavel or court registries, we are using a calibrated synthetic approach: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64E3B" w:val="clear"/>
          </w:tcPr>
          <w:p>
            <w:pPr>
              <w:jc w:val="center"/>
            </w:pPr>
            <w:r>
              <w:rPr>
                <w:b/>
                <w:color w:val="FFFFFF"/>
                <w:sz w:val="18"/>
              </w:rPr>
              <w:t>Component</w:t>
            </w:r>
          </w:p>
        </w:tc>
        <w:tc>
          <w:tcPr>
            <w:tcW w:type="dxa" w:w="2880"/>
            <w:shd w:fill="064E3B" w:val="clear"/>
          </w:tcPr>
          <w:p>
            <w:pPr>
              <w:jc w:val="center"/>
            </w:pPr>
            <w:r>
              <w:rPr>
                <w:b/>
                <w:color w:val="FFFFFF"/>
                <w:sz w:val="18"/>
              </w:rPr>
              <w:t>Source</w:t>
            </w:r>
          </w:p>
        </w:tc>
        <w:tc>
          <w:tcPr>
            <w:tcW w:type="dxa" w:w="2880"/>
            <w:shd w:fill="064E3B" w:val="clear"/>
          </w:tcPr>
          <w:p>
            <w:pPr>
              <w:jc w:val="center"/>
            </w:pPr>
            <w:r>
              <w:rPr>
                <w:b/>
                <w:color w:val="FFFFFF"/>
                <w:sz w:val="18"/>
              </w:rPr>
              <w:t>What It Provides</w:t>
            </w:r>
          </w:p>
        </w:tc>
      </w:tr>
      <w:tr>
        <w:tc>
          <w:tcPr>
            <w:tcW w:type="dxa" w:w="2880"/>
          </w:tcPr>
          <w:p>
            <w:r>
              <w:rPr>
                <w:sz w:val="18"/>
              </w:rPr>
              <w:t>Zone distributions</w:t>
            </w:r>
          </w:p>
        </w:tc>
        <w:tc>
          <w:tcPr>
            <w:tcW w:type="dxa" w:w="2880"/>
          </w:tcPr>
          <w:p>
            <w:r>
              <w:rPr>
                <w:sz w:val="18"/>
              </w:rPr>
              <w:t>Mendeley SCN dataset (real)</w:t>
            </w:r>
          </w:p>
        </w:tc>
        <w:tc>
          <w:tcPr>
            <w:tcW w:type="dxa" w:w="2880"/>
          </w:tcPr>
          <w:p>
            <w:r>
              <w:rPr>
                <w:sz w:val="18"/>
              </w:rPr>
              <w:t>Realistic geographic weighting</w:t>
            </w:r>
          </w:p>
        </w:tc>
      </w:tr>
      <w:tr>
        <w:tc>
          <w:tcPr>
            <w:tcW w:type="dxa" w:w="2880"/>
          </w:tcPr>
          <w:p>
            <w:r>
              <w:rPr>
                <w:sz w:val="18"/>
              </w:rPr>
              <w:t>Case type mix</w:t>
            </w:r>
          </w:p>
        </w:tc>
        <w:tc>
          <w:tcPr>
            <w:tcW w:type="dxa" w:w="2880"/>
          </w:tcPr>
          <w:p>
            <w:r>
              <w:rPr>
                <w:sz w:val="18"/>
              </w:rPr>
              <w:t>NJC reports, ACJA guidelines</w:t>
            </w:r>
          </w:p>
        </w:tc>
        <w:tc>
          <w:tcPr>
            <w:tcW w:type="dxa" w:w="2880"/>
          </w:tcPr>
          <w:p>
            <w:r>
              <w:rPr>
                <w:sz w:val="18"/>
              </w:rPr>
              <w:t>8 case categories with proper proportions</w:t>
            </w:r>
          </w:p>
        </w:tc>
      </w:tr>
      <w:tr>
        <w:tc>
          <w:tcPr>
            <w:tcW w:type="dxa" w:w="2880"/>
          </w:tcPr>
          <w:p>
            <w:r>
              <w:rPr>
                <w:sz w:val="18"/>
              </w:rPr>
              <w:t>Duration benchmarks</w:t>
            </w:r>
          </w:p>
        </w:tc>
        <w:tc>
          <w:tcPr>
            <w:tcW w:type="dxa" w:w="2880"/>
          </w:tcPr>
          <w:p>
            <w:r>
              <w:rPr>
                <w:sz w:val="18"/>
              </w:rPr>
              <w:t>World Bank (447 days avg), Citizens' Gavel state ranges</w:t>
            </w:r>
          </w:p>
        </w:tc>
        <w:tc>
          <w:tcPr>
            <w:tcW w:type="dxa" w:w="2880"/>
          </w:tcPr>
          <w:p>
            <w:r>
              <w:rPr>
                <w:sz w:val="18"/>
              </w:rPr>
              <w:t>Realistic filing-to-judgment timelines</w:t>
            </w:r>
          </w:p>
        </w:tc>
      </w:tr>
      <w:tr>
        <w:tc>
          <w:tcPr>
            <w:tcW w:type="dxa" w:w="2880"/>
          </w:tcPr>
          <w:p>
            <w:r>
              <w:rPr>
                <w:sz w:val="18"/>
              </w:rPr>
              <w:t>Adjournment patterns</w:t>
            </w:r>
          </w:p>
        </w:tc>
        <w:tc>
          <w:tcPr>
            <w:tcW w:type="dxa" w:w="2880"/>
          </w:tcPr>
          <w:p>
            <w:r>
              <w:rPr>
                <w:sz w:val="18"/>
              </w:rPr>
              <w:t>ACJA 2015 (5-adjournment limit), practitioner surveys</w:t>
            </w:r>
          </w:p>
        </w:tc>
        <w:tc>
          <w:tcPr>
            <w:tcW w:type="dxa" w:w="2880"/>
          </w:tcPr>
          <w:p>
            <w:r>
              <w:rPr>
                <w:sz w:val="18"/>
              </w:rPr>
              <w:t>Adjournment probability per hearing by case type</w:t>
            </w:r>
          </w:p>
        </w:tc>
      </w:tr>
      <w:tr>
        <w:tc>
          <w:tcPr>
            <w:tcW w:type="dxa" w:w="2880"/>
          </w:tcPr>
          <w:p>
            <w:r>
              <w:rPr>
                <w:sz w:val="18"/>
              </w:rPr>
              <w:t>Court assignments</w:t>
            </w:r>
          </w:p>
        </w:tc>
        <w:tc>
          <w:tcPr>
            <w:tcW w:type="dxa" w:w="2880"/>
          </w:tcPr>
          <w:p>
            <w:r>
              <w:rPr>
                <w:sz w:val="18"/>
              </w:rPr>
              <w:t>Nigerian judiciary structure</w:t>
            </w:r>
          </w:p>
        </w:tc>
        <w:tc>
          <w:tcPr>
            <w:tcW w:type="dxa" w:w="2880"/>
          </w:tcPr>
          <w:p>
            <w:r>
              <w:rPr>
                <w:sz w:val="18"/>
              </w:rPr>
              <w:t>35+ courts across 7 zones</w:t>
            </w:r>
          </w:p>
        </w:tc>
      </w:tr>
      <w:tr>
        <w:tc>
          <w:tcPr>
            <w:tcW w:type="dxa" w:w="2880"/>
          </w:tcPr>
          <w:p>
            <w:r>
              <w:rPr>
                <w:sz w:val="18"/>
              </w:rPr>
              <w:t>Risk classification</w:t>
            </w:r>
          </w:p>
        </w:tc>
        <w:tc>
          <w:tcPr>
            <w:tcW w:type="dxa" w:w="2880"/>
          </w:tcPr>
          <w:p>
            <w:r>
              <w:rPr>
                <w:sz w:val="18"/>
              </w:rPr>
              <w:t>ACJA thresholds + NJC JPEC criteria</w:t>
            </w:r>
          </w:p>
        </w:tc>
        <w:tc>
          <w:tcPr>
            <w:tcW w:type="dxa" w:w="2880"/>
          </w:tcPr>
          <w:p>
            <w:r>
              <w:rPr>
                <w:sz w:val="18"/>
              </w:rPr>
              <w:t>High/Moderate/Low delay risk labels</w:t>
            </w:r>
          </w:p>
        </w:tc>
      </w:tr>
    </w:tbl>
    <w:p/>
    <w:p>
      <w:r>
        <w:rPr>
          <w:b/>
          <w:sz w:val="20"/>
        </w:rPr>
        <w:t>IMPORTANT: This synthetic dataset is clearly labeled as calibrated-synthetic and is suitable for model prototyping only. It MUST be validated against real court registry data before any production deployment.</w:t>
      </w:r>
    </w:p>
    <w:p>
      <w:pPr>
        <w:pStyle w:val="Heading2"/>
      </w:pPr>
      <w:r>
        <w:t>6. Long-Term Data Acquisition Strategy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64E3B" w:val="clear"/>
          </w:tcPr>
          <w:p>
            <w:pPr>
              <w:jc w:val="center"/>
            </w:pPr>
            <w:r>
              <w:rPr>
                <w:b/>
                <w:color w:val="FFFFFF"/>
                <w:sz w:val="18"/>
              </w:rPr>
              <w:t>Strategy</w:t>
            </w:r>
          </w:p>
        </w:tc>
        <w:tc>
          <w:tcPr>
            <w:tcW w:type="dxa" w:w="2160"/>
            <w:shd w:fill="064E3B" w:val="clear"/>
          </w:tcPr>
          <w:p>
            <w:pPr>
              <w:jc w:val="center"/>
            </w:pPr>
            <w:r>
              <w:rPr>
                <w:b/>
                <w:color w:val="FFFFFF"/>
                <w:sz w:val="18"/>
              </w:rPr>
              <w:t>Feasibility</w:t>
            </w:r>
          </w:p>
        </w:tc>
        <w:tc>
          <w:tcPr>
            <w:tcW w:type="dxa" w:w="2160"/>
            <w:shd w:fill="064E3B" w:val="clear"/>
          </w:tcPr>
          <w:p>
            <w:pPr>
              <w:jc w:val="center"/>
            </w:pPr>
            <w:r>
              <w:rPr>
                <w:b/>
                <w:color w:val="FFFFFF"/>
                <w:sz w:val="18"/>
              </w:rPr>
              <w:t>Timeline</w:t>
            </w:r>
          </w:p>
        </w:tc>
        <w:tc>
          <w:tcPr>
            <w:tcW w:type="dxa" w:w="2160"/>
            <w:shd w:fill="064E3B" w:val="clear"/>
          </w:tcPr>
          <w:p>
            <w:pPr>
              <w:jc w:val="center"/>
            </w:pPr>
            <w:r>
              <w:rPr>
                <w:b/>
                <w:color w:val="FFFFFF"/>
                <w:sz w:val="18"/>
              </w:rPr>
              <w:t>Expected Yield</w:t>
            </w:r>
          </w:p>
        </w:tc>
      </w:tr>
      <w:tr>
        <w:tc>
          <w:tcPr>
            <w:tcW w:type="dxa" w:w="2160"/>
          </w:tcPr>
          <w:p>
            <w:r>
              <w:rPr>
                <w:sz w:val="18"/>
              </w:rPr>
              <w:t>Contact Citizens' Gavel for raw dataset</w:t>
            </w:r>
          </w:p>
        </w:tc>
        <w:tc>
          <w:tcPr>
            <w:tcW w:type="dxa" w:w="2160"/>
          </w:tcPr>
          <w:p>
            <w:r>
              <w:rPr>
                <w:sz w:val="18"/>
              </w:rPr>
              <w:t>HIGH</w:t>
            </w:r>
          </w:p>
        </w:tc>
        <w:tc>
          <w:tcPr>
            <w:tcW w:type="dxa" w:w="2160"/>
          </w:tcPr>
          <w:p>
            <w:r>
              <w:rPr>
                <w:sz w:val="18"/>
              </w:rPr>
              <w:t>2-4 weeks</w:t>
            </w:r>
          </w:p>
        </w:tc>
        <w:tc>
          <w:tcPr>
            <w:tcW w:type="dxa" w:w="2160"/>
          </w:tcPr>
          <w:p>
            <w:r>
              <w:rPr>
                <w:sz w:val="18"/>
              </w:rPr>
              <w:t>1,388 cases with durations</w:t>
            </w:r>
          </w:p>
        </w:tc>
      </w:tr>
      <w:tr>
        <w:tc>
          <w:tcPr>
            <w:tcW w:type="dxa" w:w="2160"/>
          </w:tcPr>
          <w:p>
            <w:r>
              <w:rPr>
                <w:sz w:val="18"/>
              </w:rPr>
              <w:t>Build cause list scraper (NICN, Lagos, Supreme Court)</w:t>
            </w:r>
          </w:p>
        </w:tc>
        <w:tc>
          <w:tcPr>
            <w:tcW w:type="dxa" w:w="2160"/>
          </w:tcPr>
          <w:p>
            <w:r>
              <w:rPr>
                <w:sz w:val="18"/>
              </w:rPr>
              <w:t>HIGH</w:t>
            </w:r>
          </w:p>
        </w:tc>
        <w:tc>
          <w:tcPr>
            <w:tcW w:type="dxa" w:w="2160"/>
          </w:tcPr>
          <w:p>
            <w:r>
              <w:rPr>
                <w:sz w:val="18"/>
              </w:rPr>
              <w:t>6-12 months collection</w:t>
            </w:r>
          </w:p>
        </w:tc>
        <w:tc>
          <w:tcPr>
            <w:tcW w:type="dxa" w:w="2160"/>
          </w:tcPr>
          <w:p>
            <w:r>
              <w:rPr>
                <w:sz w:val="18"/>
              </w:rPr>
              <w:t>Thousands of cases with hearing gaps</w:t>
            </w:r>
          </w:p>
        </w:tc>
      </w:tr>
      <w:tr>
        <w:tc>
          <w:tcPr>
            <w:tcW w:type="dxa" w:w="2160"/>
          </w:tcPr>
          <w:p>
            <w:r>
              <w:rPr>
                <w:sz w:val="18"/>
              </w:rPr>
              <w:t>File FOI requests to NJC and FHC</w:t>
            </w:r>
          </w:p>
        </w:tc>
        <w:tc>
          <w:tcPr>
            <w:tcW w:type="dxa" w:w="2160"/>
          </w:tcPr>
          <w:p>
            <w:r>
              <w:rPr>
                <w:sz w:val="18"/>
              </w:rPr>
              <w:t>MEDIUM</w:t>
            </w:r>
          </w:p>
        </w:tc>
        <w:tc>
          <w:tcPr>
            <w:tcW w:type="dxa" w:w="2160"/>
          </w:tcPr>
          <w:p>
            <w:r>
              <w:rPr>
                <w:sz w:val="18"/>
              </w:rPr>
              <w:t>Months (poor compliance)</w:t>
            </w:r>
          </w:p>
        </w:tc>
        <w:tc>
          <w:tcPr>
            <w:tcW w:type="dxa" w:w="2160"/>
          </w:tcPr>
          <w:p>
            <w:r>
              <w:rPr>
                <w:sz w:val="18"/>
              </w:rPr>
              <w:t>Aggregate statistics, possibly case-level</w:t>
            </w:r>
          </w:p>
        </w:tc>
      </w:tr>
      <w:tr>
        <w:tc>
          <w:tcPr>
            <w:tcW w:type="dxa" w:w="2160"/>
          </w:tcPr>
          <w:p>
            <w:r>
              <w:rPr>
                <w:sz w:val="18"/>
              </w:rPr>
              <w:t>Court registry partnership (via NJI or university)</w:t>
            </w:r>
          </w:p>
        </w:tc>
        <w:tc>
          <w:tcPr>
            <w:tcW w:type="dxa" w:w="2160"/>
          </w:tcPr>
          <w:p>
            <w:r>
              <w:rPr>
                <w:sz w:val="18"/>
              </w:rPr>
              <w:t>MEDIUM</w:t>
            </w:r>
          </w:p>
        </w:tc>
        <w:tc>
          <w:tcPr>
            <w:tcW w:type="dxa" w:w="2160"/>
          </w:tcPr>
          <w:p>
            <w:r>
              <w:rPr>
                <w:sz w:val="18"/>
              </w:rPr>
              <w:t>3-6 months negotiation</w:t>
            </w:r>
          </w:p>
        </w:tc>
        <w:tc>
          <w:tcPr>
            <w:tcW w:type="dxa" w:w="2160"/>
          </w:tcPr>
          <w:p>
            <w:r>
              <w:rPr>
                <w:sz w:val="18"/>
              </w:rPr>
              <w:t>Complete case lifecycle data</w:t>
            </w:r>
          </w:p>
        </w:tc>
      </w:tr>
      <w:tr>
        <w:tc>
          <w:tcPr>
            <w:tcW w:type="dxa" w:w="2160"/>
          </w:tcPr>
          <w:p>
            <w:r>
              <w:rPr>
                <w:sz w:val="18"/>
              </w:rPr>
              <w:t>LegalMail access via law student/lawyer partner</w:t>
            </w:r>
          </w:p>
        </w:tc>
        <w:tc>
          <w:tcPr>
            <w:tcW w:type="dxa" w:w="2160"/>
          </w:tcPr>
          <w:p>
            <w:r>
              <w:rPr>
                <w:sz w:val="18"/>
              </w:rPr>
              <w:t>MEDIUM</w:t>
            </w:r>
          </w:p>
        </w:tc>
        <w:tc>
          <w:tcPr>
            <w:tcW w:type="dxa" w:w="2160"/>
          </w:tcPr>
          <w:p>
            <w:r>
              <w:rPr>
                <w:sz w:val="18"/>
              </w:rPr>
              <w:t>2-4 weeks</w:t>
            </w:r>
          </w:p>
        </w:tc>
        <w:tc>
          <w:tcPr>
            <w:tcW w:type="dxa" w:w="2160"/>
          </w:tcPr>
          <w:p>
            <w:r>
              <w:rPr>
                <w:sz w:val="18"/>
              </w:rPr>
              <w:t>NCMS case status queries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5966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596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