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0"/>
      </w:pPr>
      <w:r>
        <w:rPr>
          <w:rFonts w:ascii="Arial" w:hAnsi="Arial"/>
          <w:b/>
          <w:color w:val="0F766E"/>
          <w:sz w:val="22"/>
        </w:rPr>
        <w:t>COURTLOG</w:t>
      </w:r>
    </w:p>
    <w:p>
      <w:pPr>
        <w:pStyle w:val="Title"/>
        <w:spacing w:before="60" w:after="20"/>
      </w:pPr>
      <w:r>
        <w:t>Beyond the Demo</w:t>
      </w:r>
    </w:p>
    <w:p>
      <w:pPr>
        <w:pStyle w:val="Subtitle"/>
        <w:spacing w:after="60"/>
      </w:pPr>
      <w:r>
        <w:t>What remains before a controlled pilot — and what production adds</w:t>
      </w:r>
    </w:p>
    <w:p>
      <w:pPr>
        <w:spacing w:after="180"/>
      </w:pPr>
      <w:r>
        <w:rPr>
          <w:i/>
          <w:color w:val="526579"/>
          <w:sz w:val="18"/>
        </w:rPr>
        <w:t>Prepared 23 October 2026  |  Readiness assessment and suggested next steps</w:t>
      </w:r>
    </w:p>
    <w:tbl>
      <w:tblPr>
        <w:tblW w:type="auto" w:w="0"/>
        <w:jc w:val="center"/>
        <w:tblLayout w:type="fixed"/>
        <w:tblLook w:firstColumn="1" w:firstRow="1" w:lastColumn="0" w:lastRow="0" w:noHBand="0" w:noVBand="1" w:val="04A0"/>
      </w:tblPr>
      <w:tblGrid>
        <w:gridCol w:w="9638"/>
      </w:tblGrid>
      <w:tr>
        <w:tc>
          <w:tcPr>
            <w:tcW w:type="dxa" w:w="9638"/>
            <w:shd w:fill="EAF3F5"/>
            <w:tcMar>
              <w:top w:w="170" w:type="dxa"/>
              <w:start w:w="190" w:type="dxa"/>
              <w:bottom w:w="160" w:type="dxa"/>
              <w:end w:w="190" w:type="dxa"/>
            </w:tcMar>
          </w:tcPr>
          <w:p>
            <w:pPr>
              <w:keepLines/>
              <w:spacing w:after="80"/>
            </w:pPr>
            <w:r/>
            <w:r>
              <w:rPr>
                <w:rFonts w:ascii="Arial" w:hAnsi="Arial"/>
                <w:b/>
                <w:color w:val="0F766E"/>
                <w:sz w:val="18"/>
              </w:rPr>
              <w:t>BOTTOM LINE</w:t>
            </w:r>
          </w:p>
          <w:p>
            <w:pPr>
              <w:keepLines/>
              <w:spacing w:after="0"/>
            </w:pPr>
            <w:r>
              <w:rPr>
                <w:rFonts w:ascii="Arial" w:hAnsi="Arial"/>
                <w:color w:val="16324F"/>
                <w:sz w:val="20"/>
              </w:rPr>
              <w:t>A demo proves only that selected software paths work with synthetic data. It does not establish permission to use real records, staff or court acceptance, live integrations, production operations, or predictive validity on real cases. The repository status describes CourtLOG as a competition-team prototype that is not pilot-ready or production-certified. A narrower, secure registry/custody pilot without operational AI may be a practical first release—but only after the relevant approvals and acceptance evidence are recorded.</w:t>
            </w:r>
          </w:p>
        </w:tc>
      </w:tr>
    </w:tbl>
    <w:p>
      <w:pPr>
        <w:spacing w:after="0"/>
      </w:pPr>
    </w:p>
    <w:p>
      <w:pPr>
        <w:spacing w:after="140"/>
      </w:pPr>
      <w:r>
        <w:rPr>
          <w:b/>
          <w:color w:val="16324F"/>
        </w:rPr>
        <w:t xml:space="preserve">Purpose and limits. </w:t>
      </w:r>
      <w:r>
        <w:t>This note separates demo readiness, a limited operational pilot, and government production. It is a project-planning assessment—not legal advice, a privacy determination, a security certification, or evidence of institutional approval.</w:t>
      </w:r>
    </w:p>
    <w:p>
      <w:pPr>
        <w:pStyle w:val="Heading1"/>
      </w:pPr>
      <w:r>
        <w:t>Three different readiness bars</w:t>
      </w:r>
    </w:p>
    <w:tbl>
      <w:tblPr>
        <w:tblW w:type="auto" w:w="0"/>
        <w:jc w:val="center"/>
        <w:tblLayout w:type="fixed"/>
        <w:tblLook w:firstColumn="1" w:firstRow="1" w:lastColumn="0" w:lastRow="0" w:noHBand="0" w:noVBand="1" w:val="04A0"/>
      </w:tblPr>
      <w:tblGrid>
        <w:gridCol w:w="3213"/>
        <w:gridCol w:w="3213"/>
        <w:gridCol w:w="3213"/>
      </w:tblGrid>
      <w:tr>
        <w:tc>
          <w:tcPr>
            <w:tcW w:type="dxa" w:w="1984"/>
            <w:vAlign w:val="center"/>
            <w:tcMar>
              <w:top w:w="110" w:type="dxa"/>
              <w:start w:w="130" w:type="dxa"/>
              <w:bottom w:w="110" w:type="dxa"/>
              <w:end w:w="130" w:type="dxa"/>
            </w:tcMar>
            <w:shd w:fill="16324F"/>
          </w:tcPr>
          <w:p>
            <w:pPr>
              <w:keepLines/>
              <w:spacing w:after="40"/>
            </w:pPr>
            <w:r/>
            <w:r>
              <w:rPr>
                <w:rFonts w:ascii="Arial" w:hAnsi="Arial"/>
                <w:b/>
                <w:color w:val="FFFFFF"/>
                <w:sz w:val="18"/>
              </w:rPr>
              <w:t>Stage</w:t>
            </w:r>
          </w:p>
        </w:tc>
        <w:tc>
          <w:tcPr>
            <w:tcW w:type="dxa" w:w="3969"/>
            <w:vAlign w:val="center"/>
            <w:tcMar>
              <w:top w:w="110" w:type="dxa"/>
              <w:start w:w="130" w:type="dxa"/>
              <w:bottom w:w="110" w:type="dxa"/>
              <w:end w:w="130" w:type="dxa"/>
            </w:tcMar>
            <w:shd w:fill="16324F"/>
          </w:tcPr>
          <w:p>
            <w:pPr>
              <w:keepLines/>
              <w:spacing w:after="40"/>
            </w:pPr>
            <w:r/>
            <w:r>
              <w:rPr>
                <w:rFonts w:ascii="Arial" w:hAnsi="Arial"/>
                <w:b/>
                <w:color w:val="FFFFFF"/>
                <w:sz w:val="18"/>
              </w:rPr>
              <w:t>What it means</w:t>
            </w:r>
          </w:p>
        </w:tc>
        <w:tc>
          <w:tcPr>
            <w:tcW w:type="dxa" w:w="3402"/>
            <w:vAlign w:val="center"/>
            <w:tcMar>
              <w:top w:w="110" w:type="dxa"/>
              <w:start w:w="130" w:type="dxa"/>
              <w:bottom w:w="110" w:type="dxa"/>
              <w:end w:w="130" w:type="dxa"/>
            </w:tcMar>
            <w:shd w:fill="16324F"/>
          </w:tcPr>
          <w:p>
            <w:pPr>
              <w:keepLines/>
              <w:spacing w:after="40"/>
            </w:pPr>
            <w:r/>
            <w:r>
              <w:rPr>
                <w:rFonts w:ascii="Arial" w:hAnsi="Arial"/>
                <w:b/>
                <w:color w:val="FFFFFF"/>
                <w:sz w:val="18"/>
              </w:rPr>
              <w:t>Current position</w:t>
            </w:r>
          </w:p>
        </w:tc>
      </w:tr>
      <w:tr>
        <w:tc>
          <w:tcPr>
            <w:tcW w:type="dxa" w:w="1984"/>
            <w:vAlign w:val="center"/>
            <w:tcMar>
              <w:top w:w="110" w:type="dxa"/>
              <w:start w:w="130" w:type="dxa"/>
              <w:bottom w:w="110" w:type="dxa"/>
              <w:end w:w="130" w:type="dxa"/>
            </w:tcMar>
          </w:tcPr>
          <w:p>
            <w:pPr>
              <w:keepLines/>
              <w:spacing w:after="40"/>
            </w:pPr>
            <w:r/>
            <w:r>
              <w:rPr>
                <w:rFonts w:ascii="Arial" w:hAnsi="Arial"/>
                <w:b/>
                <w:color w:val="16324F"/>
                <w:sz w:val="17"/>
              </w:rPr>
              <w:t>Demo</w:t>
            </w:r>
          </w:p>
        </w:tc>
        <w:tc>
          <w:tcPr>
            <w:tcW w:type="dxa" w:w="3969"/>
            <w:vAlign w:val="center"/>
            <w:tcMar>
              <w:top w:w="110" w:type="dxa"/>
              <w:start w:w="130" w:type="dxa"/>
              <w:bottom w:w="110" w:type="dxa"/>
              <w:end w:w="130" w:type="dxa"/>
            </w:tcMar>
          </w:tcPr>
          <w:p>
            <w:pPr>
              <w:keepLines/>
              <w:spacing w:after="40"/>
            </w:pPr>
            <w:r/>
            <w:r>
              <w:rPr>
                <w:rFonts w:ascii="Arial" w:hAnsi="Arial"/>
                <w:b w:val="0"/>
                <w:color w:val="263746"/>
                <w:sz w:val="17"/>
              </w:rPr>
              <w:t>Fictional data and a controlled environment demonstrate software behavior.</w:t>
            </w:r>
          </w:p>
        </w:tc>
        <w:tc>
          <w:tcPr>
            <w:tcW w:type="dxa" w:w="3402"/>
            <w:vAlign w:val="center"/>
            <w:tcMar>
              <w:top w:w="110" w:type="dxa"/>
              <w:start w:w="130" w:type="dxa"/>
              <w:bottom w:w="110" w:type="dxa"/>
              <w:end w:w="130" w:type="dxa"/>
            </w:tcMar>
          </w:tcPr>
          <w:p>
            <w:pPr>
              <w:keepLines/>
              <w:spacing w:after="40"/>
            </w:pPr>
            <w:r/>
            <w:r>
              <w:rPr>
                <w:rFonts w:ascii="Arial" w:hAnsi="Arial"/>
                <w:b w:val="0"/>
                <w:color w:val="263746"/>
                <w:sz w:val="17"/>
              </w:rPr>
              <w:t>Duration estimates run on explicitly tagged fictional cases. A local API smoke test passed; browser-session acceptance is still unconfirmed.</w:t>
            </w:r>
          </w:p>
        </w:tc>
      </w:tr>
      <w:tr>
        <w:tc>
          <w:tcPr>
            <w:tcW w:type="dxa" w:w="1984"/>
            <w:vAlign w:val="center"/>
            <w:tcMar>
              <w:top w:w="110" w:type="dxa"/>
              <w:start w:w="130" w:type="dxa"/>
              <w:bottom w:w="110" w:type="dxa"/>
              <w:end w:w="130" w:type="dxa"/>
            </w:tcMar>
            <w:shd w:fill="F3F6F8"/>
          </w:tcPr>
          <w:p>
            <w:pPr>
              <w:keepLines/>
              <w:spacing w:after="40"/>
            </w:pPr>
            <w:r/>
            <w:r>
              <w:rPr>
                <w:rFonts w:ascii="Arial" w:hAnsi="Arial"/>
                <w:b/>
                <w:color w:val="16324F"/>
                <w:sz w:val="17"/>
              </w:rPr>
              <w:t>Controlled pilot</w:t>
            </w:r>
          </w:p>
        </w:tc>
        <w:tc>
          <w:tcPr>
            <w:tcW w:type="dxa" w:w="3969"/>
            <w:vAlign w:val="center"/>
            <w:tcMar>
              <w:top w:w="110" w:type="dxa"/>
              <w:start w:w="130" w:type="dxa"/>
              <w:bottom w:w="110" w:type="dxa"/>
              <w:end w:w="130" w:type="dxa"/>
            </w:tcMar>
            <w:shd w:fill="F3F6F8"/>
          </w:tcPr>
          <w:p>
            <w:pPr>
              <w:keepLines/>
              <w:spacing w:after="40"/>
            </w:pPr>
            <w:r/>
            <w:r>
              <w:rPr>
                <w:rFonts w:ascii="Arial" w:hAnsi="Arial"/>
                <w:b w:val="0"/>
                <w:color w:val="263746"/>
                <w:sz w:val="17"/>
              </w:rPr>
              <w:t>A defined group uses an agreed workflow under approved data, support, and safety conditions.</w:t>
            </w:r>
          </w:p>
        </w:tc>
        <w:tc>
          <w:tcPr>
            <w:tcW w:type="dxa" w:w="3402"/>
            <w:vAlign w:val="center"/>
            <w:tcMar>
              <w:top w:w="110" w:type="dxa"/>
              <w:start w:w="130" w:type="dxa"/>
              <w:bottom w:w="110" w:type="dxa"/>
              <w:end w:w="130" w:type="dxa"/>
            </w:tcMar>
            <w:shd w:fill="F3F6F8"/>
          </w:tcPr>
          <w:p>
            <w:pPr>
              <w:keepLines/>
              <w:spacing w:after="40"/>
            </w:pPr>
            <w:r/>
            <w:r>
              <w:rPr>
                <w:rFonts w:ascii="Arial" w:hAnsi="Arial"/>
                <w:b w:val="0"/>
                <w:color w:val="263746"/>
                <w:sz w:val="17"/>
              </w:rPr>
              <w:t>Not established in the repository. The status note says not pilot-ready; the 21 October target has passed without a re-baselined record found.</w:t>
            </w:r>
          </w:p>
        </w:tc>
      </w:tr>
      <w:tr>
        <w:tc>
          <w:tcPr>
            <w:tcW w:type="dxa" w:w="1984"/>
            <w:vAlign w:val="center"/>
            <w:tcMar>
              <w:top w:w="110" w:type="dxa"/>
              <w:start w:w="130" w:type="dxa"/>
              <w:bottom w:w="110" w:type="dxa"/>
              <w:end w:w="130" w:type="dxa"/>
            </w:tcMar>
          </w:tcPr>
          <w:p>
            <w:pPr>
              <w:keepLines/>
              <w:spacing w:after="40"/>
            </w:pPr>
            <w:r/>
            <w:r>
              <w:rPr>
                <w:rFonts w:ascii="Arial" w:hAnsi="Arial"/>
                <w:b/>
                <w:color w:val="16324F"/>
                <w:sz w:val="17"/>
              </w:rPr>
              <w:t>Government production</w:t>
            </w:r>
          </w:p>
        </w:tc>
        <w:tc>
          <w:tcPr>
            <w:tcW w:type="dxa" w:w="3969"/>
            <w:vAlign w:val="center"/>
            <w:tcMar>
              <w:top w:w="110" w:type="dxa"/>
              <w:start w:w="130" w:type="dxa"/>
              <w:bottom w:w="110" w:type="dxa"/>
              <w:end w:w="130" w:type="dxa"/>
            </w:tcMar>
          </w:tcPr>
          <w:p>
            <w:pPr>
              <w:keepLines/>
              <w:spacing w:after="40"/>
            </w:pPr>
            <w:r/>
            <w:r>
              <w:rPr>
                <w:rFonts w:ascii="Arial" w:hAnsi="Arial"/>
                <w:b w:val="0"/>
                <w:color w:val="263746"/>
                <w:sz w:val="17"/>
              </w:rPr>
              <w:t>An institution operates and supports the service under its governance, security, legal, and availability obligations.</w:t>
            </w:r>
          </w:p>
        </w:tc>
        <w:tc>
          <w:tcPr>
            <w:tcW w:type="dxa" w:w="3402"/>
            <w:vAlign w:val="center"/>
            <w:tcMar>
              <w:top w:w="110" w:type="dxa"/>
              <w:start w:w="130" w:type="dxa"/>
              <w:bottom w:w="110" w:type="dxa"/>
              <w:end w:w="130" w:type="dxa"/>
            </w:tcMar>
          </w:tcPr>
          <w:p>
            <w:pPr>
              <w:keepLines/>
              <w:spacing w:after="40"/>
            </w:pPr>
            <w:r/>
            <w:r>
              <w:rPr>
                <w:rFonts w:ascii="Arial" w:hAnsi="Arial"/>
                <w:b w:val="0"/>
                <w:color w:val="263746"/>
                <w:sz w:val="17"/>
              </w:rPr>
              <w:t>A separate release gate. A successful demo or pilot would not automatically satisfy it.</w:t>
            </w:r>
          </w:p>
        </w:tc>
      </w:tr>
    </w:tbl>
    <w:p>
      <w:pPr>
        <w:pStyle w:val="Heading1"/>
      </w:pPr>
      <w:r>
        <w:t>What remains before a controlled pilot</w:t>
      </w:r>
    </w:p>
    <w:p>
      <w:pPr>
        <w:spacing w:after="80"/>
      </w:pPr>
      <w:r>
        <w:t>The items below are gates to plan and evidence, not claims that every feature must be built before any possible pilot. First agree the pilot boundary; then complete and accept the workflows inside it.</w:t>
      </w:r>
    </w:p>
    <w:p>
      <w:pPr>
        <w:pStyle w:val="Heading2"/>
      </w:pPr>
      <w:r>
        <w:t>1. Agree the pilot scope and sign off the workflow</w:t>
      </w:r>
    </w:p>
    <w:p>
      <w:pPr>
        <w:pStyle w:val="ListBullet"/>
        <w:spacing w:after="80"/>
      </w:pPr>
      <w:r>
        <w:rPr>
          <w:b/>
          <w:color w:val="16324F"/>
        </w:rPr>
        <w:t xml:space="preserve">Define the boundary. </w:t>
      </w:r>
      <w:r>
        <w:t>Record the participating site/team, roles, case types, devices, network conditions, support contact, duration, success measures, stop conditions, and which functions are excluded.</w:t>
      </w:r>
    </w:p>
    <w:p>
      <w:pPr>
        <w:pStyle w:val="ListBullet"/>
        <w:spacing w:after="80"/>
      </w:pPr>
      <w:r>
        <w:rPr>
          <w:b/>
          <w:color w:val="16324F"/>
        </w:rPr>
        <w:t xml:space="preserve">Approve operating rules. </w:t>
      </w:r>
      <w:r>
        <w:t>Obtain Law Lead/registry sign-off for any legal or registry rules, thresholds, forms, and workflow decisions. Existing adjournment and execution prompts are prototype settings, not approved legal rules; engineering must not silently change them.</w:t>
      </w:r>
    </w:p>
    <w:p>
      <w:pPr>
        <w:pStyle w:val="ListBullet"/>
        <w:spacing w:after="80"/>
      </w:pPr>
      <w:r>
        <w:rPr>
          <w:b/>
          <w:color w:val="16324F"/>
        </w:rPr>
        <w:t xml:space="preserve">Name accountable owners. </w:t>
      </w:r>
      <w:r>
        <w:t>Assign technical, operational, legal/policy, data/privacy, and pilot-feedback owners, with a documented go/no-go decision path.</w:t>
      </w:r>
    </w:p>
    <w:p>
      <w:pPr>
        <w:pStyle w:val="Heading2"/>
      </w:pPr>
      <w:r>
        <w:t>2. Authorise data use and establish privacy controls</w:t>
      </w:r>
    </w:p>
    <w:p>
      <w:pPr>
        <w:pStyle w:val="ListBullet"/>
        <w:spacing w:after="80"/>
      </w:pPr>
      <w:r>
        <w:rPr>
          <w:b/>
          <w:color w:val="16324F"/>
        </w:rPr>
        <w:t xml:space="preserve">Written authority first. </w:t>
      </w:r>
      <w:r>
        <w:t>Before real case or party records are loaded, record a permission reference and the permitted purpose, fields, users, location, sharing, retention, and deletion process. A chat or verbal approval is not a substitute for the documented reference required for real-outcome model work.</w:t>
      </w:r>
    </w:p>
    <w:p>
      <w:pPr>
        <w:pStyle w:val="ListBullet"/>
        <w:spacing w:after="80"/>
      </w:pPr>
      <w:r>
        <w:rPr>
          <w:b/>
          <w:color w:val="16324F"/>
        </w:rPr>
        <w:t xml:space="preserve">Set privacy and incident procedures. </w:t>
      </w:r>
      <w:r>
        <w:t>Confirm lawful basis and controller/processor responsibilities with qualified advisers; provide appropriate notice; minimise access and collection; define retention, access review, breach escalation, and incident contacts. Assess whether a DPIA or other Nigerian regulatory steps apply.</w:t>
      </w:r>
    </w:p>
    <w:p>
      <w:pPr>
        <w:pStyle w:val="ListBullet"/>
        <w:spacing w:after="80"/>
      </w:pPr>
      <w:r>
        <w:rPr>
          <w:b/>
          <w:color w:val="16324F"/>
        </w:rPr>
        <w:t xml:space="preserve">Protect identifiers and synthetic fixtures. </w:t>
      </w:r>
      <w:r>
        <w:t>Preserve canonical source identifiers when authorised. Synthetic rows must not reuse real case IDs, titles, or outcome values.</w:t>
      </w:r>
    </w:p>
    <w:p>
      <w:pPr>
        <w:pStyle w:val="Heading2"/>
      </w:pPr>
      <w:r>
        <w:t>3. Prove the complete workflow inside the agreed scope</w:t>
      </w:r>
    </w:p>
    <w:p>
      <w:pPr>
        <w:pStyle w:val="ListBullet"/>
        <w:spacing w:after="80"/>
      </w:pPr>
      <w:r>
        <w:rPr>
          <w:b/>
          <w:color w:val="16324F"/>
        </w:rPr>
        <w:t xml:space="preserve">Rehearse a case from start to finish. </w:t>
      </w:r>
      <w:r>
        <w:t>At minimum, test the selected route through registration/assignment, physical custody handover and scan, missing/found handling where in scope, hearing/exception review, judgment, approved document output, execution, and scoped reports or exports.</w:t>
      </w:r>
    </w:p>
    <w:p>
      <w:pPr>
        <w:pStyle w:val="ListBullet"/>
        <w:spacing w:after="80"/>
      </w:pPr>
      <w:r>
        <w:rPr>
          <w:b/>
          <w:color w:val="16324F"/>
        </w:rPr>
        <w:t xml:space="preserve">Close or exclude gaps explicitly. </w:t>
      </w:r>
      <w:r>
        <w:t>The broader workflow described in project materials includes stages such as service/return and appeal-record transit that are not all established in the current implementation. Decide which are essential for this pilot; complete and test them, or clearly exclude them from scope.</w:t>
      </w:r>
    </w:p>
    <w:p>
      <w:pPr>
        <w:pStyle w:val="ListBullet"/>
        <w:spacing w:after="80"/>
      </w:pPr>
      <w:r>
        <w:rPr>
          <w:b/>
          <w:color w:val="16324F"/>
        </w:rPr>
        <w:t xml:space="preserve">Test permissions in real user journeys. </w:t>
      </w:r>
      <w:r>
        <w:t>A screen or API route is not acceptance. Run scripted scenarios for every pilot role and verify that users see only authorised records and can complete the required tasks.</w:t>
      </w:r>
    </w:p>
    <w:p>
      <w:pPr>
        <w:pStyle w:val="Heading2"/>
      </w:pPr>
      <w:r>
        <w:t>4. Prepare staging, security, and operational recovery</w:t>
      </w:r>
    </w:p>
    <w:p>
      <w:pPr>
        <w:pStyle w:val="ListBullet"/>
        <w:spacing w:after="80"/>
      </w:pPr>
      <w:r>
        <w:rPr>
          <w:b/>
          <w:color w:val="16324F"/>
        </w:rPr>
        <w:t xml:space="preserve">Deploy a controlled staging environment. </w:t>
      </w:r>
      <w:r>
        <w:t>Choose the host and region; use HTTPS, managed secrets, durable storage, least-privilege accounts, secure session settings, monitoring, and an agreed log-retention policy. Confirm restart/redeploy persistence.</w:t>
      </w:r>
    </w:p>
    <w:p>
      <w:pPr>
        <w:pStyle w:val="ListBullet"/>
        <w:spacing w:after="80"/>
      </w:pPr>
      <w:r>
        <w:rPr>
          <w:b/>
          <w:color w:val="16324F"/>
        </w:rPr>
        <w:t xml:space="preserve">Prove recovery. </w:t>
      </w:r>
      <w:r>
        <w:t>Take an off-host backup and rehearse restore to a separate environment. Document rollback, incident response, who can access secrets, and who supports users during the pilot.</w:t>
      </w:r>
    </w:p>
    <w:p>
      <w:pPr>
        <w:pStyle w:val="ListBullet"/>
        <w:spacing w:after="80"/>
      </w:pPr>
      <w:r>
        <w:rPr>
          <w:b/>
          <w:color w:val="16324F"/>
        </w:rPr>
        <w:t xml:space="preserve">Close hardening findings. </w:t>
      </w:r>
      <w:r>
        <w:t>The completion plan flags that business writes and audit appends are separate commits and that SQLite audit triggers are not a tamper-proof external log. Decide how to mitigate this for a tightly bounded pilot; close the atomicity and off-host audit-retention gap before production. Obtain an independent security review appropriate to the deployment risk.</w:t>
      </w:r>
    </w:p>
    <w:p>
      <w:pPr>
        <w:pStyle w:val="Heading2"/>
      </w:pPr>
      <w:r>
        <w:t>5. Verify devices, accessibility, and staff acceptance</w:t>
      </w:r>
    </w:p>
    <w:p>
      <w:pPr>
        <w:pStyle w:val="ListBullet"/>
        <w:spacing w:after="80"/>
      </w:pPr>
      <w:r>
        <w:rPr>
          <w:b/>
          <w:color w:val="16324F"/>
        </w:rPr>
        <w:t xml:space="preserve">Use the actual target equipment. </w:t>
      </w:r>
      <w:r>
        <w:t>Test phone/tablet browsers, PWA installation, camera scanning, USB/manual scanning paths, and printing on the intended devices and network—not only in automated tests.</w:t>
      </w:r>
    </w:p>
    <w:p>
      <w:pPr>
        <w:pStyle w:val="ListBullet"/>
        <w:spacing w:after="80"/>
      </w:pPr>
      <w:r>
        <w:rPr>
          <w:b/>
          <w:color w:val="16324F"/>
        </w:rPr>
        <w:t xml:space="preserve">Test failure and recovery. </w:t>
      </w:r>
      <w:r>
        <w:t>Exercise network loss, reconnect, expired sessions, duplicate actions, backup restore, accessibility/zoom, and the documented offline behavior. The PWA does not queue custody scans: an offline attempt is not a confirmed check-in.</w:t>
      </w:r>
    </w:p>
    <w:p>
      <w:pPr>
        <w:pStyle w:val="ListBullet"/>
        <w:spacing w:after="80"/>
      </w:pPr>
      <w:r>
        <w:rPr>
          <w:b/>
          <w:color w:val="16324F"/>
        </w:rPr>
        <w:t xml:space="preserve">Train and collect feedback. </w:t>
      </w:r>
      <w:r>
        <w:t>Run a full staff rehearsal; name the feedback channel, triage owner, response times, and escalation path. Record acceptance and unresolved defects.</w:t>
      </w:r>
    </w:p>
    <w:p>
      <w:pPr>
        <w:pStyle w:val="Heading2"/>
      </w:pPr>
      <w:r>
        <w:t>6. Decide integrations—and label simulation honestly</w:t>
      </w:r>
    </w:p>
    <w:p>
      <w:pPr>
        <w:pStyle w:val="ListBullet"/>
        <w:spacing w:after="80"/>
      </w:pPr>
      <w:r>
        <w:rPr>
          <w:b/>
          <w:color w:val="16324F"/>
        </w:rPr>
        <w:t xml:space="preserve">WhatsApp is not live-accepted. </w:t>
      </w:r>
      <w:r>
        <w:t>The repository contains adapter code, but live delivery still needs a configured Meta account, approved template, server secrets, public HTTPS webhook, documented recipient opt-in, controlled delivery test, status callbacks, opt-out handling, and recovery procedure.</w:t>
      </w:r>
    </w:p>
    <w:p>
      <w:pPr>
        <w:pStyle w:val="ListBullet"/>
        <w:spacing w:after="80"/>
      </w:pPr>
      <w:r>
        <w:rPr>
          <w:b/>
          <w:color w:val="16324F"/>
        </w:rPr>
        <w:t xml:space="preserve">Court-system integration is not implied. </w:t>
      </w:r>
      <w:r>
        <w:t>No live e-filing/case-management integration is established by the demo. Decide whether a pilot can operate without it. Keep unconfigured integrations disabled; label simulators and non-delivery clearly.</w:t>
      </w:r>
    </w:p>
    <w:p>
      <w:pPr>
        <w:pStyle w:val="Heading2"/>
      </w:pPr>
      <w:r>
        <w:t>7. Keep AI out of consequential use until separately validated</w:t>
      </w:r>
    </w:p>
    <w:p>
      <w:pPr>
        <w:pStyle w:val="ListBullet"/>
        <w:spacing w:after="80"/>
      </w:pPr>
      <w:r>
        <w:rPr>
          <w:b/>
          <w:color w:val="16324F"/>
        </w:rPr>
        <w:t xml:space="preserve">The current outputs are synthetic-only. </w:t>
      </w:r>
      <w:r>
        <w:t>The classifier demonstrates a fictional 30-day “no recorded progress” target. The separate duration model estimates fictional days until the next simulated qualifying progress event—not total time until case conclusion. The scoped list scans explicitly tagged synthetic fixtures only; no real-world predictive validity has been established.</w:t>
      </w:r>
    </w:p>
    <w:p>
      <w:pPr>
        <w:pStyle w:val="ListBullet"/>
        <w:spacing w:after="80"/>
      </w:pPr>
      <w:r>
        <w:rPr>
          <w:b/>
          <w:color w:val="16324F"/>
        </w:rPr>
        <w:t xml:space="preserve">A safe first pilot can be non-AI. </w:t>
      </w:r>
      <w:r>
        <w:t>Keep predictions disabled or visibly demo-only for operational work. Do not use a synthetic score to make legal, hearing, custody, enforcement, or other consequential decisions.</w:t>
      </w:r>
    </w:p>
    <w:p>
      <w:pPr>
        <w:pStyle w:val="ListBullet"/>
        <w:spacing w:after="80"/>
      </w:pPr>
      <w:r>
        <w:rPr>
          <w:b/>
          <w:color w:val="16324F"/>
        </w:rPr>
        <w:t xml:space="preserve">Before any real predictive reliance. </w:t>
      </w:r>
      <w:r>
        <w:t>Require documented permission, an approved outcome definition and data contract, authorised longitudinal outcomes, a leakage-resistant future-time/case evaluation, appropriate baselines and calibration, uncertainty and bias review, prospective shadow testing, human oversight, monitoring/rollback, and independent review. Pending cases require a suitable censored time-to-event method for duration claims.</w:t>
      </w:r>
    </w:p>
    <w:p>
      <w:pPr>
        <w:pStyle w:val="Heading1"/>
      </w:pPr>
      <w:r>
        <w:t>Recommended sequence from here</w:t>
      </w:r>
    </w:p>
    <w:p>
      <w:pPr>
        <w:pStyle w:val="ListNumber"/>
        <w:spacing w:after="80"/>
      </w:pPr>
      <w:r>
        <w:rPr>
          <w:b/>
          <w:color w:val="16324F"/>
        </w:rPr>
        <w:t xml:space="preserve">Re-baseline the schedule. </w:t>
      </w:r>
      <w:r>
        <w:t>The completion plan listed 21 October 2026 as the first-pilot target. That date has passed; the files reviewed contain no re-baselined schedule or documented pilot go/no-go. Record the actual status and agree new owners, dates, and dependencies.</w:t>
      </w:r>
    </w:p>
    <w:p>
      <w:pPr>
        <w:pStyle w:val="ListNumber"/>
        <w:spacing w:after="80"/>
      </w:pPr>
      <w:r>
        <w:rPr>
          <w:b/>
          <w:color w:val="16324F"/>
        </w:rPr>
        <w:t xml:space="preserve">Choose the smallest useful pilot. </w:t>
      </w:r>
      <w:r>
        <w:t>Consider a bounded registry/custody workflow with predictive AI off and external integrations disabled unless separately accepted.</w:t>
      </w:r>
    </w:p>
    <w:p>
      <w:pPr>
        <w:pStyle w:val="ListNumber"/>
        <w:spacing w:after="80"/>
      </w:pPr>
      <w:r>
        <w:rPr>
          <w:b/>
          <w:color w:val="16324F"/>
        </w:rPr>
        <w:t xml:space="preserve">Approve scope and data conditions. </w:t>
      </w:r>
      <w:r>
        <w:t>Obtain Law Lead/registry decisions and written data/privacy authority before accepting real records.</w:t>
      </w:r>
    </w:p>
    <w:p>
      <w:pPr>
        <w:pStyle w:val="ListNumber"/>
        <w:spacing w:after="80"/>
      </w:pPr>
      <w:r>
        <w:rPr>
          <w:b/>
          <w:color w:val="16324F"/>
        </w:rPr>
        <w:t xml:space="preserve">Complete only the required workflow and deployment work. </w:t>
      </w:r>
      <w:r>
        <w:t>Use a fresh staging environment, documented acceptance cases, secure access, backups, and a tested restore/rollback.</w:t>
      </w:r>
    </w:p>
    <w:p>
      <w:pPr>
        <w:pStyle w:val="ListNumber"/>
        <w:spacing w:after="80"/>
      </w:pPr>
      <w:r>
        <w:rPr>
          <w:b/>
          <w:color w:val="16324F"/>
        </w:rPr>
        <w:t xml:space="preserve">Run the full rehearsal. </w:t>
      </w:r>
      <w:r>
        <w:t>Test roles, browsers/devices, scanning, printing, network recovery, incident contacts, and user support with the intended staff.</w:t>
      </w:r>
    </w:p>
    <w:p>
      <w:pPr>
        <w:pStyle w:val="ListNumber"/>
        <w:spacing w:after="80"/>
      </w:pPr>
      <w:r>
        <w:rPr>
          <w:b/>
          <w:color w:val="16324F"/>
        </w:rPr>
        <w:t xml:space="preserve">Record a formal go/no-go. </w:t>
      </w:r>
      <w:r>
        <w:t>Proceed only when scope, permissions, high-risk defects, support, and acceptance evidence have named owners and documented sign-off. Keep production and AI validation as later, separate gates.</w:t>
      </w:r>
    </w:p>
    <w:tbl>
      <w:tblPr>
        <w:tblW w:type="auto" w:w="0"/>
        <w:jc w:val="center"/>
        <w:tblLook w:firstColumn="1" w:firstRow="1" w:lastColumn="0" w:lastRow="0" w:noHBand="0" w:noVBand="1" w:val="04A0"/>
      </w:tblPr>
      <w:tblGrid>
        <w:gridCol w:w="9638"/>
      </w:tblGrid>
      <w:tr>
        <w:tc>
          <w:tcPr>
            <w:tcW w:type="dxa" w:w="9638"/>
            <w:shd w:fill="FFF4DE"/>
            <w:tcMar>
              <w:top w:w="140" w:type="dxa"/>
              <w:start w:w="180" w:type="dxa"/>
              <w:bottom w:w="140" w:type="dxa"/>
              <w:end w:w="180" w:type="dxa"/>
            </w:tcMar>
          </w:tcPr>
          <w:p>
            <w:pPr>
              <w:keepLines/>
              <w:spacing w:after="60"/>
            </w:pPr>
            <w:r/>
            <w:r>
              <w:rPr>
                <w:rFonts w:ascii="Arial" w:hAnsi="Arial"/>
                <w:b/>
                <w:color w:val="8A5A00"/>
                <w:sz w:val="18"/>
              </w:rPr>
              <w:t>CURRENT DEMO ACCEPTANCE NOTE</w:t>
            </w:r>
          </w:p>
          <w:p>
            <w:pPr>
              <w:keepLines/>
              <w:spacing w:after="0"/>
            </w:pPr>
            <w:r>
              <w:t>The latest local smoke check succeeded for login and the protected API endpoints using the isolated synthetic database. A browser-originated retry is not confirmed: earlier browser logs showed protected requests returning 401 after login. Verify this before presenting the demo; a local API smoke test does not resolve browser-session acceptance.</w:t>
            </w:r>
          </w:p>
        </w:tc>
      </w:tr>
    </w:tbl>
    <w:p>
      <w:pPr>
        <w:pStyle w:val="Heading1"/>
      </w:pPr>
      <w:r>
        <w:t>What government production adds after a pilot</w:t>
      </w:r>
    </w:p>
    <w:p>
      <w:pPr>
        <w:pStyle w:val="ListBullet"/>
        <w:spacing w:after="80"/>
      </w:pPr>
      <w:r>
        <w:rPr>
          <w:b/>
          <w:color w:val="16324F"/>
        </w:rPr>
        <w:t xml:space="preserve">Institutional authority and governance. </w:t>
      </w:r>
      <w:r>
        <w:t>Formal deployment and data-sharing approvals, policy ownership, records-management and retention rules, and qualified review of applicable Nigerian data-protection and regulatory obligations.</w:t>
      </w:r>
    </w:p>
    <w:p>
      <w:pPr>
        <w:pStyle w:val="ListBullet"/>
        <w:spacing w:after="80"/>
      </w:pPr>
      <w:r>
        <w:rPr>
          <w:b/>
          <w:color w:val="16324F"/>
        </w:rPr>
        <w:t xml:space="preserve">Stronger security and resilience. </w:t>
      </w:r>
      <w:r>
        <w:t>Independent security assessment, privileged-user protections such as MFA where required, tested incident response and disaster recovery, appropriate audit retention, availability targets, and evidence of ongoing vulnerability management.</w:t>
      </w:r>
    </w:p>
    <w:p>
      <w:pPr>
        <w:pStyle w:val="ListBullet"/>
        <w:spacing w:after="80"/>
      </w:pPr>
      <w:r>
        <w:rPr>
          <w:b/>
          <w:color w:val="16324F"/>
        </w:rPr>
        <w:t xml:space="preserve">Long-term operations. </w:t>
      </w:r>
      <w:r>
        <w:t>A funded infrastructure and support model, named service owner, monitoring/on-call processes, maintenance and upgrade plans, procurement decisions, and tested capacity/recovery objectives.</w:t>
      </w:r>
    </w:p>
    <w:p>
      <w:pPr>
        <w:pStyle w:val="ListBullet"/>
        <w:spacing w:after="80"/>
      </w:pPr>
      <w:r>
        <w:rPr>
          <w:b/>
          <w:color w:val="16324F"/>
        </w:rPr>
        <w:t xml:space="preserve">Approved integrations. </w:t>
      </w:r>
      <w:r>
        <w:t>Institutional agreements, approved interfaces, data contracts, provider onboarding, and verified delivery/failure behavior for every production integration.</w:t>
      </w:r>
    </w:p>
    <w:p>
      <w:pPr>
        <w:pStyle w:val="ListBullet"/>
        <w:spacing w:after="80"/>
      </w:pPr>
      <w:r>
        <w:rPr>
          <w:b/>
          <w:color w:val="16324F"/>
        </w:rPr>
        <w:t xml:space="preserve">AI governance if retained. </w:t>
      </w:r>
      <w:r>
        <w:t>Authorised real-world validation, monitoring, human accountability, documented limitations, and an explicit prohibition on using scores as a legal finding or substitute for judicial judgment.</w:t>
      </w:r>
    </w:p>
    <w:p>
      <w:pPr>
        <w:pStyle w:val="Heading1"/>
      </w:pPr>
      <w:r>
        <w:t>Claims to avoid until evidence exists</w:t>
      </w:r>
    </w:p>
    <w:p>
      <w:pPr>
        <w:pStyle w:val="ListBullet"/>
        <w:spacing w:after="80"/>
      </w:pPr>
      <w:r>
        <w:t>“Pilot-ready,” “production-ready,” or “government approved” without recorded acceptance and authority.</w:t>
      </w:r>
    </w:p>
    <w:p>
      <w:pPr>
        <w:pStyle w:val="ListBullet"/>
        <w:spacing w:after="80"/>
      </w:pPr>
      <w:r>
        <w:t>“Validated court AI” or accuracy claims based on synthetic generated data.</w:t>
      </w:r>
    </w:p>
    <w:p>
      <w:pPr>
        <w:pStyle w:val="ListBullet"/>
        <w:spacing w:after="80"/>
      </w:pPr>
      <w:r>
        <w:t>“Duration to case conclusion” for the demo regression; it estimates time to a simulated next-progress event.</w:t>
      </w:r>
    </w:p>
    <w:p>
      <w:pPr>
        <w:pStyle w:val="ListBullet"/>
        <w:spacing w:after="80"/>
      </w:pPr>
      <w:r>
        <w:t>“WhatsApp delivered” when sending is disabled, simulated, merely accepted by a provider, or not callback-confirmed.</w:t>
      </w:r>
    </w:p>
    <w:p>
      <w:pPr>
        <w:pStyle w:val="ListBullet"/>
        <w:spacing w:after="80"/>
      </w:pPr>
      <w:r>
        <w:t>“Offline scan/check-in” when the PWA has not submitted the custody event to the server.</w:t>
      </w:r>
    </w:p>
    <w:p>
      <w:pPr>
        <w:pStyle w:val="ListBullet"/>
        <w:spacing w:after="80"/>
      </w:pPr>
      <w:r>
        <w:t>“Integrated with e-filing/court systems” without a verified, authorised live integration.</w:t>
      </w:r>
    </w:p>
    <w:p>
      <w:pPr>
        <w:pStyle w:val="Heading1"/>
      </w:pPr>
      <w:r>
        <w:t>Evidence basis and date caveat</w:t>
      </w:r>
    </w:p>
    <w:p>
      <w:pPr>
        <w:spacing w:after="80"/>
      </w:pPr>
      <w:r>
        <w:t>Prepared 23 October 2026 from repository materials: STATUS.md (verification date 14 October 2026); COURTLOG_COMPLETION_PLAN.md (prepared 1 October; first-pilot target 21 October 2026); docs/COURTLOG_INTENT_VS_ARENA_AND_MODEL_READINESS_2026-10-14.md (follow-up updated 20 October); docs/ML_EVALUATION_READINESS.md (updated 20 October); README.md; and the isolated synthetic-demo smoke-test record. The date caveat describes what is recorded in these files; it does not prove whether any activity occurred outside the repository.</w:t>
      </w:r>
    </w:p>
    <w:p>
      <w:pPr>
        <w:spacing w:before="60"/>
      </w:pPr>
      <w:r>
        <w:rPr>
          <w:b/>
          <w:color w:val="16324F"/>
        </w:rPr>
        <w:t xml:space="preserve">Standing guardrails reflected here: </w:t>
      </w:r>
      <w:r>
        <w:t>do not change legal rules without Law Lead sign-off; do not use real case outcomes for training or testing until a documented permission reference is available; preserve canonical identifiers; and label synthetic or simulated behavior accurately.</w:t>
      </w:r>
    </w:p>
    <w:sectPr w:rsidR="00FC693F" w:rsidRPr="0006063C" w:rsidSect="00034616">
      <w:headerReference w:type="default" r:id="rId9"/>
      <w:footerReference w:type="default" r:id="rId10"/>
      <w:pgSz w:w="11906" w:h="16838"/>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26579"/>
        <w:sz w:val="15"/>
      </w:rPr>
      <w:t xml:space="preserve">INTERNAL PROJECT PLANNING  •  NOT A LEGAL, SECURITY OR INSTITUTIONAL APPROVAL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26579"/>
        <w:sz w:val="16"/>
      </w:rPr>
      <w:t>COURTLOG  /  READINESS NOTE  /  23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0F766E"/>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16324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rial" w:hAnsi="Arial"/>
      <w:b w:val="0"/>
      <w:i/>
      <w:iCs/>
      <w:color w:val="0F766E"/>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CourtLOG Beyond the Demo — Readiness Note</dc:title>
  <dc:subject>What remains before a controlled pilot and government production</dc:subject>
  <dc:creator>CourtLOG project team</dc:creator>
  <cp:keywords>CourtLOG, pilot readiness, production readiness, synthetic AI, data governance</cp:keywords>
  <dc:description>Planning note; not legal, security, privacy, or institutional approval.</dc:description>
  <cp:lastModifiedBy/>
  <cp:revision>1</cp:revision>
  <dcterms:created xsi:type="dcterms:W3CDTF">2013-12-23T23:15:00Z</dcterms:created>
  <dcterms:modified xsi:type="dcterms:W3CDTF">2013-12-23T23:15:00Z</dcterms:modified>
  <cp:category/>
</cp:coreProperties>
</file>