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CourtLOG Project Status</w:t>
      </w:r>
    </w:p>
    <w:p>
      <w:pPr>
        <w:jc w:val="center"/>
      </w:pPr>
      <w:r>
        <w:rPr>
          <w:i/>
          <w:color w:val="526476"/>
          <w:sz w:val="24"/>
        </w:rPr>
        <w:t>A plain-language briefing for non-technical team members</w:t>
      </w:r>
    </w:p>
    <w:p>
      <w:pPr>
        <w:jc w:val="center"/>
      </w:pPr>
      <w:r>
        <w:rPr>
          <w:color w:val="69737E"/>
          <w:sz w:val="18"/>
        </w:rPr>
        <w:t>12 October 2026</w:t>
      </w:r>
    </w:p>
    <w:tbl>
      <w:tblPr>
        <w:tblStyle w:val="TableGrid"/>
        <w:tblW w:type="auto" w:w="0"/>
        <w:tblLook w:firstColumn="1" w:firstRow="1" w:lastColumn="0" w:lastRow="0" w:noHBand="0" w:noVBand="1" w:val="04A0"/>
      </w:tblPr>
      <w:tblGrid>
        <w:gridCol w:w="9866"/>
      </w:tblGrid>
      <w:tr>
        <w:tc>
          <w:tcPr>
            <w:tcW w:type="dxa" w:w="9866"/>
            <w:shd w:fill="EAF2F8"/>
            <w:tcMar>
              <w:top w:w="160" w:type="dxa"/>
              <w:start w:w="180" w:type="dxa"/>
              <w:bottom w:w="160" w:type="dxa"/>
              <w:end w:w="180" w:type="dxa"/>
            </w:tcMar>
          </w:tcPr>
          <w:p>
            <w:pPr>
              <w:spacing w:after="0"/>
            </w:pPr>
            <w:r>
              <w:rPr>
                <w:b/>
                <w:color w:val="163E60"/>
              </w:rPr>
              <w:t xml:space="preserve">Bottom line: </w:t>
            </w:r>
            <w:r>
              <w:t>CourtLOG is a working competition prototype with several core software workflows and good local automated test coverage. It is not yet pilot-ready or certified for production. Legal review, permission for any real data, real-device testing, secure staging, and operational checks are still open.</w:t>
            </w:r>
          </w:p>
        </w:tc>
      </w:tr>
    </w:tbl>
    <w:p>
      <w:pPr>
        <w:pStyle w:val="Heading1"/>
      </w:pPr>
      <w:r>
        <w:t>1. What CourtLOG is</w:t>
      </w:r>
    </w:p>
    <w:p>
      <w:r>
        <w:t>CourtLOG is a team-built prototype exploring how a registry could record case intake, physical-file movements, supported hearing events, and post-judgment activity in one place. It is intended to complement existing court and e-filing processes—not replace them. CourtLOG is a competition-team project, not a government entity or an officially approved court service.</w:t>
      </w:r>
    </w:p>
    <w:p>
      <w:r>
        <w:t>The screen and workflow can show what the software does. They do not prove that a legal rule is correct, that a court has approved the system, or that the service is ready for live records.</w:t>
      </w:r>
    </w:p>
    <w:p>
      <w:pPr>
        <w:pStyle w:val="Heading2"/>
      </w:pPr>
      <w:r>
        <w:t>At a glance</w:t>
      </w:r>
    </w:p>
    <w:tbl>
      <w:tblPr>
        <w:tblStyle w:val="TableGrid"/>
        <w:tblW w:type="auto" w:w="0"/>
        <w:tblLayout w:type="fixed"/>
        <w:tblLook w:firstColumn="1" w:firstRow="1" w:lastColumn="0" w:lastRow="0" w:noHBand="0" w:noVBand="1" w:val="04A0"/>
      </w:tblPr>
      <w:tblGrid>
        <w:gridCol w:w="4933"/>
        <w:gridCol w:w="4933"/>
      </w:tblGrid>
      <w:tr>
        <w:trPr>
          <w:tblHeader w:val="true"/>
        </w:trPr>
        <w:tc>
          <w:tcPr>
            <w:tcW w:type="dxa" w:w="2381"/>
            <w:shd w:fill="163E60"/>
            <w:vAlign w:val="center"/>
            <w:tcMar>
              <w:top w:w="90" w:type="dxa"/>
              <w:start w:w="100" w:type="dxa"/>
              <w:bottom w:w="90" w:type="dxa"/>
              <w:end w:w="100" w:type="dxa"/>
            </w:tcMar>
          </w:tcPr>
          <w:p>
            <w:pPr>
              <w:spacing w:after="0"/>
            </w:pPr>
            <w:r>
              <w:rPr>
                <w:b/>
                <w:color w:val="FFFFFF"/>
                <w:sz w:val="18"/>
              </w:rPr>
              <w:t>Area</w:t>
            </w:r>
          </w:p>
        </w:tc>
        <w:tc>
          <w:tcPr>
            <w:tcW w:type="dxa" w:w="6803"/>
            <w:shd w:fill="163E60"/>
            <w:vAlign w:val="center"/>
            <w:tcMar>
              <w:top w:w="90" w:type="dxa"/>
              <w:start w:w="100" w:type="dxa"/>
              <w:bottom w:w="90" w:type="dxa"/>
              <w:end w:w="100" w:type="dxa"/>
            </w:tcMar>
          </w:tcPr>
          <w:p>
            <w:pPr>
              <w:spacing w:after="0"/>
            </w:pPr>
            <w:r>
              <w:rPr>
                <w:b/>
                <w:color w:val="FFFFFF"/>
                <w:sz w:val="18"/>
              </w:rPr>
              <w:t>Plain-language status</w:t>
            </w:r>
          </w:p>
        </w:tc>
      </w:tr>
      <w:tr>
        <w:tc>
          <w:tcPr>
            <w:tcW w:type="dxa" w:w="2381"/>
            <w:vAlign w:val="center"/>
            <w:tcMar>
              <w:top w:w="90" w:type="dxa"/>
              <w:start w:w="100" w:type="dxa"/>
              <w:bottom w:w="90" w:type="dxa"/>
              <w:end w:w="100" w:type="dxa"/>
            </w:tcMar>
          </w:tcPr>
          <w:p>
            <w:pPr>
              <w:spacing w:after="40"/>
            </w:pPr>
            <w:r>
              <w:rPr>
                <w:sz w:val="18"/>
              </w:rPr>
              <w:t>Product stage</w:t>
            </w:r>
          </w:p>
        </w:tc>
        <w:tc>
          <w:tcPr>
            <w:tcW w:type="dxa" w:w="6803"/>
            <w:vAlign w:val="center"/>
            <w:tcMar>
              <w:top w:w="90" w:type="dxa"/>
              <w:start w:w="100" w:type="dxa"/>
              <w:bottom w:w="90" w:type="dxa"/>
              <w:end w:w="100" w:type="dxa"/>
            </w:tcMar>
          </w:tcPr>
          <w:p>
            <w:pPr>
              <w:spacing w:after="40"/>
            </w:pPr>
            <w:r>
              <w:rPr>
                <w:sz w:val="18"/>
              </w:rPr>
              <w:t>Working prototype; not pilot-ready or production-certified.</w:t>
            </w:r>
          </w:p>
        </w:tc>
      </w:tr>
      <w:tr>
        <w:tc>
          <w:tcPr>
            <w:tcW w:type="dxa" w:w="2381"/>
            <w:vAlign w:val="center"/>
            <w:tcMar>
              <w:top w:w="90" w:type="dxa"/>
              <w:start w:w="100" w:type="dxa"/>
              <w:bottom w:w="90" w:type="dxa"/>
              <w:end w:w="100" w:type="dxa"/>
            </w:tcMar>
          </w:tcPr>
          <w:p>
            <w:pPr>
              <w:spacing w:after="40"/>
            </w:pPr>
            <w:r>
              <w:rPr>
                <w:sz w:val="18"/>
              </w:rPr>
              <w:t>Pilot target</w:t>
            </w:r>
          </w:p>
        </w:tc>
        <w:tc>
          <w:tcPr>
            <w:tcW w:type="dxa" w:w="6803"/>
            <w:vAlign w:val="center"/>
            <w:tcMar>
              <w:top w:w="90" w:type="dxa"/>
              <w:start w:w="100" w:type="dxa"/>
              <w:bottom w:w="90" w:type="dxa"/>
              <w:end w:w="100" w:type="dxa"/>
            </w:tcMar>
          </w:tcPr>
          <w:p>
            <w:pPr>
              <w:spacing w:after="40"/>
            </w:pPr>
            <w:r>
              <w:rPr>
                <w:sz w:val="18"/>
              </w:rPr>
              <w:t>21 October 2026. This is a target, not proof of readiness or approval.</w:t>
            </w:r>
          </w:p>
        </w:tc>
      </w:tr>
      <w:tr>
        <w:tc>
          <w:tcPr>
            <w:tcW w:type="dxa" w:w="2381"/>
            <w:vAlign w:val="center"/>
            <w:tcMar>
              <w:top w:w="90" w:type="dxa"/>
              <w:start w:w="100" w:type="dxa"/>
              <w:bottom w:w="90" w:type="dxa"/>
              <w:end w:w="100" w:type="dxa"/>
            </w:tcMar>
          </w:tcPr>
          <w:p>
            <w:pPr>
              <w:spacing w:after="40"/>
            </w:pPr>
            <w:r>
              <w:rPr>
                <w:sz w:val="18"/>
              </w:rPr>
              <w:t>Competition showcase target</w:t>
            </w:r>
          </w:p>
        </w:tc>
        <w:tc>
          <w:tcPr>
            <w:tcW w:type="dxa" w:w="6803"/>
            <w:vAlign w:val="center"/>
            <w:tcMar>
              <w:top w:w="90" w:type="dxa"/>
              <w:start w:w="100" w:type="dxa"/>
              <w:bottom w:w="90" w:type="dxa"/>
              <w:end w:w="100" w:type="dxa"/>
            </w:tcMar>
          </w:tcPr>
          <w:p>
            <w:pPr>
              <w:spacing w:after="40"/>
            </w:pPr>
            <w:r>
              <w:rPr>
                <w:sz w:val="18"/>
              </w:rPr>
              <w:t>5 November 2026.</w:t>
            </w:r>
          </w:p>
        </w:tc>
      </w:tr>
      <w:tr>
        <w:tc>
          <w:tcPr>
            <w:tcW w:type="dxa" w:w="2381"/>
            <w:vAlign w:val="center"/>
            <w:tcMar>
              <w:top w:w="90" w:type="dxa"/>
              <w:start w:w="100" w:type="dxa"/>
              <w:bottom w:w="90" w:type="dxa"/>
              <w:end w:w="100" w:type="dxa"/>
            </w:tcMar>
          </w:tcPr>
          <w:p>
            <w:pPr>
              <w:spacing w:after="40"/>
            </w:pPr>
            <w:r>
              <w:rPr>
                <w:sz w:val="18"/>
              </w:rPr>
              <w:t>Test data</w:t>
            </w:r>
          </w:p>
        </w:tc>
        <w:tc>
          <w:tcPr>
            <w:tcW w:type="dxa" w:w="6803"/>
            <w:vAlign w:val="center"/>
            <w:tcMar>
              <w:top w:w="90" w:type="dxa"/>
              <w:start w:w="100" w:type="dxa"/>
              <w:bottom w:w="90" w:type="dxa"/>
              <w:end w:w="100" w:type="dxa"/>
            </w:tcMar>
          </w:tcPr>
          <w:p>
            <w:pPr>
              <w:spacing w:after="40"/>
            </w:pPr>
            <w:r>
              <w:rPr>
                <w:sz w:val="18"/>
              </w:rPr>
              <w:t>Use fictional/demo records unless written permission explicitly allows real data.</w:t>
            </w:r>
          </w:p>
        </w:tc>
      </w:tr>
      <w:tr>
        <w:tc>
          <w:tcPr>
            <w:tcW w:type="dxa" w:w="2381"/>
            <w:vAlign w:val="center"/>
            <w:tcMar>
              <w:top w:w="90" w:type="dxa"/>
              <w:start w:w="100" w:type="dxa"/>
              <w:bottom w:w="90" w:type="dxa"/>
              <w:end w:w="100" w:type="dxa"/>
            </w:tcMar>
          </w:tcPr>
          <w:p>
            <w:pPr>
              <w:spacing w:after="40"/>
            </w:pPr>
            <w:r>
              <w:rPr>
                <w:sz w:val="18"/>
              </w:rPr>
              <w:t>Court Clerk feature</w:t>
            </w:r>
          </w:p>
        </w:tc>
        <w:tc>
          <w:tcPr>
            <w:tcW w:type="dxa" w:w="6803"/>
            <w:vAlign w:val="center"/>
            <w:tcMar>
              <w:top w:w="90" w:type="dxa"/>
              <w:start w:w="100" w:type="dxa"/>
              <w:bottom w:w="90" w:type="dxa"/>
              <w:end w:w="100" w:type="dxa"/>
            </w:tcMar>
          </w:tcPr>
          <w:p>
            <w:pPr>
              <w:spacing w:after="40"/>
            </w:pPr>
            <w:r>
              <w:rPr>
                <w:sz w:val="18"/>
              </w:rPr>
              <w:t>Can be enabled by a server setting; that setting does not take payment.</w:t>
            </w:r>
          </w:p>
        </w:tc>
      </w:tr>
    </w:tbl>
    <w:p>
      <w:pPr>
        <w:pStyle w:val="Heading1"/>
      </w:pPr>
      <w:r>
        <w:t>2. What is working in the prototype</w:t>
      </w:r>
    </w:p>
    <w:tbl>
      <w:tblPr>
        <w:tblStyle w:val="TableGrid"/>
        <w:tblW w:type="auto" w:w="0"/>
        <w:tblLayout w:type="fixed"/>
        <w:tblLook w:firstColumn="1" w:firstRow="1" w:lastColumn="0" w:lastRow="0" w:noHBand="0" w:noVBand="1" w:val="04A0"/>
      </w:tblPr>
      <w:tblGrid>
        <w:gridCol w:w="4933"/>
        <w:gridCol w:w="4933"/>
      </w:tblGrid>
      <w:tr>
        <w:trPr>
          <w:tblHeader w:val="true"/>
        </w:trPr>
        <w:tc>
          <w:tcPr>
            <w:tcW w:type="dxa" w:w="2381"/>
            <w:shd w:fill="163E60"/>
            <w:vAlign w:val="center"/>
            <w:tcMar>
              <w:top w:w="90" w:type="dxa"/>
              <w:start w:w="100" w:type="dxa"/>
              <w:bottom w:w="90" w:type="dxa"/>
              <w:end w:w="100" w:type="dxa"/>
            </w:tcMar>
          </w:tcPr>
          <w:p>
            <w:pPr>
              <w:spacing w:after="0"/>
            </w:pPr>
            <w:r>
              <w:rPr>
                <w:b/>
                <w:color w:val="FFFFFF"/>
                <w:sz w:val="18"/>
              </w:rPr>
              <w:t>Area</w:t>
            </w:r>
          </w:p>
        </w:tc>
        <w:tc>
          <w:tcPr>
            <w:tcW w:type="dxa" w:w="6803"/>
            <w:shd w:fill="163E60"/>
            <w:vAlign w:val="center"/>
            <w:tcMar>
              <w:top w:w="90" w:type="dxa"/>
              <w:start w:w="100" w:type="dxa"/>
              <w:bottom w:w="90" w:type="dxa"/>
              <w:end w:w="100" w:type="dxa"/>
            </w:tcMar>
          </w:tcPr>
          <w:p>
            <w:pPr>
              <w:spacing w:after="0"/>
            </w:pPr>
            <w:r>
              <w:rPr>
                <w:b/>
                <w:color w:val="FFFFFF"/>
                <w:sz w:val="18"/>
              </w:rPr>
              <w:t>What the software currently supports—and what remains unproven</w:t>
            </w:r>
          </w:p>
        </w:tc>
      </w:tr>
      <w:tr>
        <w:tc>
          <w:tcPr>
            <w:tcW w:type="dxa" w:w="2381"/>
            <w:vAlign w:val="center"/>
            <w:tcMar>
              <w:top w:w="90" w:type="dxa"/>
              <w:start w:w="100" w:type="dxa"/>
              <w:bottom w:w="90" w:type="dxa"/>
              <w:end w:w="100" w:type="dxa"/>
            </w:tcMar>
          </w:tcPr>
          <w:p>
            <w:pPr>
              <w:spacing w:after="40"/>
            </w:pPr>
            <w:r>
              <w:rPr>
                <w:sz w:val="18"/>
              </w:rPr>
              <w:t>Accounts and roles</w:t>
            </w:r>
          </w:p>
        </w:tc>
        <w:tc>
          <w:tcPr>
            <w:tcW w:type="dxa" w:w="6803"/>
            <w:vAlign w:val="center"/>
            <w:tcMar>
              <w:top w:w="90" w:type="dxa"/>
              <w:start w:w="100" w:type="dxa"/>
              <w:bottom w:w="90" w:type="dxa"/>
              <w:end w:w="100" w:type="dxa"/>
            </w:tcMar>
          </w:tcPr>
          <w:p>
            <w:pPr>
              <w:spacing w:after="40"/>
            </w:pPr>
            <w:r>
              <w:rPr>
                <w:sz w:val="18"/>
              </w:rPr>
              <w:t>Named accounts, role-based screens, and server-side checks for each pilot role are implemented. Users are limited by their assigned court/division and, where relevant, case assignment. Staff acceptance is still open.</w:t>
            </w:r>
          </w:p>
        </w:tc>
      </w:tr>
      <w:tr>
        <w:tc>
          <w:tcPr>
            <w:tcW w:type="dxa" w:w="2381"/>
            <w:vAlign w:val="center"/>
            <w:tcMar>
              <w:top w:w="90" w:type="dxa"/>
              <w:start w:w="100" w:type="dxa"/>
              <w:bottom w:w="90" w:type="dxa"/>
              <w:end w:w="100" w:type="dxa"/>
            </w:tcMar>
          </w:tcPr>
          <w:p>
            <w:pPr>
              <w:spacing w:after="40"/>
            </w:pPr>
            <w:r>
              <w:rPr>
                <w:sz w:val="18"/>
              </w:rPr>
              <w:t>Case intake and file tracking</w:t>
            </w:r>
          </w:p>
        </w:tc>
        <w:tc>
          <w:tcPr>
            <w:tcW w:type="dxa" w:w="6803"/>
            <w:vAlign w:val="center"/>
            <w:tcMar>
              <w:top w:w="90" w:type="dxa"/>
              <w:start w:w="100" w:type="dxa"/>
              <w:bottom w:w="90" w:type="dxa"/>
              <w:end w:w="100" w:type="dxa"/>
            </w:tcMar>
          </w:tcPr>
          <w:p>
            <w:pPr>
              <w:spacing w:after="40"/>
            </w:pPr>
            <w:r>
              <w:rPr>
                <w:sz w:val="18"/>
              </w:rPr>
              <w:t>Filing Clerks can register in-scope cases and issue opaque QR labels. Staff can record custody check-ins; missing-file reports and recovery history are separate actions. The actual phone, camera, printer, scanner, and network workflow has not yet passed field acceptance.</w:t>
            </w:r>
          </w:p>
        </w:tc>
      </w:tr>
      <w:tr>
        <w:tc>
          <w:tcPr>
            <w:tcW w:type="dxa" w:w="2381"/>
            <w:vAlign w:val="center"/>
            <w:tcMar>
              <w:top w:w="90" w:type="dxa"/>
              <w:start w:w="100" w:type="dxa"/>
              <w:bottom w:w="90" w:type="dxa"/>
              <w:end w:w="100" w:type="dxa"/>
            </w:tcMar>
          </w:tcPr>
          <w:p>
            <w:pPr>
              <w:spacing w:after="40"/>
            </w:pPr>
            <w:r>
              <w:rPr>
                <w:sz w:val="18"/>
              </w:rPr>
              <w:t>Hearings and review</w:t>
            </w:r>
          </w:p>
        </w:tc>
        <w:tc>
          <w:tcPr>
            <w:tcW w:type="dxa" w:w="6803"/>
            <w:vAlign w:val="center"/>
            <w:tcMar>
              <w:top w:w="90" w:type="dxa"/>
              <w:start w:w="100" w:type="dxa"/>
              <w:bottom w:w="90" w:type="dxa"/>
              <w:end w:w="100" w:type="dxa"/>
            </w:tcMar>
          </w:tcPr>
          <w:p>
            <w:pPr>
              <w:spacing w:after="40"/>
            </w:pPr>
            <w:r>
              <w:rPr>
                <w:sz w:val="18"/>
              </w:rPr>
              <w:t>An entitled Court Clerk can record supported hearing events. A configured review prompt can be handled by a Deputy Chief Registrar. The trigger is an application setting, not a confirmed law or a statutory per-party count.</w:t>
            </w:r>
          </w:p>
        </w:tc>
      </w:tr>
      <w:tr>
        <w:tc>
          <w:tcPr>
            <w:tcW w:type="dxa" w:w="2381"/>
            <w:vAlign w:val="center"/>
            <w:tcMar>
              <w:top w:w="90" w:type="dxa"/>
              <w:start w:w="100" w:type="dxa"/>
              <w:bottom w:w="90" w:type="dxa"/>
              <w:end w:w="100" w:type="dxa"/>
            </w:tcMar>
          </w:tcPr>
          <w:p>
            <w:pPr>
              <w:spacing w:after="40"/>
            </w:pPr>
            <w:r>
              <w:rPr>
                <w:sz w:val="18"/>
              </w:rPr>
              <w:t>Judgment and execution screens</w:t>
            </w:r>
          </w:p>
        </w:tc>
        <w:tc>
          <w:tcPr>
            <w:tcW w:type="dxa" w:w="6803"/>
            <w:vAlign w:val="center"/>
            <w:tcMar>
              <w:top w:w="90" w:type="dxa"/>
              <w:start w:w="100" w:type="dxa"/>
              <w:bottom w:w="90" w:type="dxa"/>
              <w:end w:w="100" w:type="dxa"/>
            </w:tcMar>
          </w:tcPr>
          <w:p>
            <w:pPr>
              <w:spacing w:after="40"/>
            </w:pPr>
            <w:r>
              <w:rPr>
                <w:sz w:val="18"/>
              </w:rPr>
              <w:t>The prototype can record selected judgment/execution workflow information and produce draft output. Legal review, approved forms, and a complete end-to-end lifecycle remain open; generated documents are not court-issued instruments.</w:t>
            </w:r>
          </w:p>
        </w:tc>
      </w:tr>
      <w:tr>
        <w:tc>
          <w:tcPr>
            <w:tcW w:type="dxa" w:w="2381"/>
            <w:vAlign w:val="center"/>
            <w:tcMar>
              <w:top w:w="90" w:type="dxa"/>
              <w:start w:w="100" w:type="dxa"/>
              <w:bottom w:w="90" w:type="dxa"/>
              <w:end w:w="100" w:type="dxa"/>
            </w:tcMar>
          </w:tcPr>
          <w:p>
            <w:pPr>
              <w:spacing w:after="40"/>
            </w:pPr>
            <w:r>
              <w:rPr>
                <w:sz w:val="18"/>
              </w:rPr>
              <w:t>WhatsApp</w:t>
            </w:r>
          </w:p>
        </w:tc>
        <w:tc>
          <w:tcPr>
            <w:tcW w:type="dxa" w:w="6803"/>
            <w:vAlign w:val="center"/>
            <w:tcMar>
              <w:top w:w="90" w:type="dxa"/>
              <w:start w:w="100" w:type="dxa"/>
              <w:bottom w:w="90" w:type="dxa"/>
              <w:end w:w="100" w:type="dxa"/>
            </w:tcMar>
          </w:tcPr>
          <w:p>
            <w:pPr>
              <w:spacing w:after="40"/>
            </w:pPr>
            <w:r>
              <w:rPr>
                <w:sz w:val="18"/>
              </w:rPr>
              <w:t>A consent-gated adapter and delivery-status handling exist in code, but real sending is disabled/unverified. There is no configured live Meta account, approved template, controlled live recipient, or demonstrated delivery.</w:t>
            </w:r>
          </w:p>
        </w:tc>
      </w:tr>
      <w:tr>
        <w:tc>
          <w:tcPr>
            <w:tcW w:type="dxa" w:w="2381"/>
            <w:vAlign w:val="center"/>
            <w:tcMar>
              <w:top w:w="90" w:type="dxa"/>
              <w:start w:w="100" w:type="dxa"/>
              <w:bottom w:w="90" w:type="dxa"/>
              <w:end w:w="100" w:type="dxa"/>
            </w:tcMar>
          </w:tcPr>
          <w:p>
            <w:pPr>
              <w:spacing w:after="40"/>
            </w:pPr>
            <w:r>
              <w:rPr>
                <w:sz w:val="18"/>
              </w:rPr>
              <w:t>Delay-risk experiment</w:t>
            </w:r>
          </w:p>
        </w:tc>
        <w:tc>
          <w:tcPr>
            <w:tcW w:type="dxa" w:w="6803"/>
            <w:vAlign w:val="center"/>
            <w:tcMar>
              <w:top w:w="90" w:type="dxa"/>
              <w:start w:w="100" w:type="dxa"/>
              <w:bottom w:w="90" w:type="dxa"/>
              <w:end w:w="100" w:type="dxa"/>
            </w:tcMar>
          </w:tcPr>
          <w:p>
            <w:pPr>
              <w:spacing w:after="40"/>
            </w:pPr>
            <w:r>
              <w:rPr>
                <w:sz w:val="18"/>
              </w:rPr>
              <w:t>Risk displays are experimental prompts, not legal findings or reliable predictions. No model was trained for this work and there is no independent accuracy validation. An older training file has uncertain provenance and must not be used without documented permission.</w:t>
            </w:r>
          </w:p>
        </w:tc>
      </w:tr>
      <w:tr>
        <w:tc>
          <w:tcPr>
            <w:tcW w:type="dxa" w:w="2381"/>
            <w:vAlign w:val="center"/>
            <w:tcMar>
              <w:top w:w="90" w:type="dxa"/>
              <w:start w:w="100" w:type="dxa"/>
              <w:bottom w:w="90" w:type="dxa"/>
              <w:end w:w="100" w:type="dxa"/>
            </w:tcMar>
          </w:tcPr>
          <w:p>
            <w:pPr>
              <w:spacing w:after="40"/>
            </w:pPr>
            <w:r>
              <w:rPr>
                <w:sz w:val="18"/>
              </w:rPr>
              <w:t>Offline use</w:t>
            </w:r>
          </w:p>
        </w:tc>
        <w:tc>
          <w:tcPr>
            <w:tcW w:type="dxa" w:w="6803"/>
            <w:vAlign w:val="center"/>
            <w:tcMar>
              <w:top w:w="90" w:type="dxa"/>
              <w:start w:w="100" w:type="dxa"/>
              <w:bottom w:w="90" w:type="dxa"/>
              <w:end w:w="100" w:type="dxa"/>
            </w:tcMar>
          </w:tcPr>
          <w:p>
            <w:pPr>
              <w:spacing w:after="40"/>
            </w:pPr>
            <w:r>
              <w:rPr>
                <w:sz w:val="18"/>
              </w:rPr>
              <w:t>The installable app shell can support a basic offline page, but custody scans are not saved or queued offline. An offline attempt is not a completed check-in.</w:t>
            </w:r>
          </w:p>
        </w:tc>
      </w:tr>
      <w:tr>
        <w:tc>
          <w:tcPr>
            <w:tcW w:type="dxa" w:w="2381"/>
            <w:vAlign w:val="center"/>
            <w:tcMar>
              <w:top w:w="90" w:type="dxa"/>
              <w:start w:w="100" w:type="dxa"/>
              <w:bottom w:w="90" w:type="dxa"/>
              <w:end w:w="100" w:type="dxa"/>
            </w:tcMar>
          </w:tcPr>
          <w:p>
            <w:pPr>
              <w:spacing w:after="40"/>
            </w:pPr>
            <w:r>
              <w:rPr>
                <w:sz w:val="18"/>
              </w:rPr>
              <w:t>Court Clerk entitlement</w:t>
            </w:r>
          </w:p>
        </w:tc>
        <w:tc>
          <w:tcPr>
            <w:tcW w:type="dxa" w:w="6803"/>
            <w:vAlign w:val="center"/>
            <w:tcMar>
              <w:top w:w="90" w:type="dxa"/>
              <w:start w:w="100" w:type="dxa"/>
              <w:bottom w:w="90" w:type="dxa"/>
              <w:end w:w="100" w:type="dxa"/>
            </w:tcMar>
          </w:tcPr>
          <w:p>
            <w:pPr>
              <w:spacing w:after="40"/>
            </w:pPr>
            <w:r>
              <w:rPr>
                <w:sz w:val="18"/>
              </w:rPr>
              <w:t>Court Clerk access is behind a server-side deployment entitlement. It is not a payment, subscription, or billing system; no payment provider has been integrated.</w:t>
            </w:r>
          </w:p>
        </w:tc>
      </w:tr>
    </w:tbl>
    <w:p>
      <w:pPr>
        <w:pStyle w:val="Heading1"/>
      </w:pPr>
      <w:r>
        <w:t>3. Who does what in the pilot role model</w:t>
      </w:r>
    </w:p>
    <w:p>
      <w:r>
        <w:t>The server makes the final access decision. A hidden button is not a security control. Most staff see only their assigned court and division; the Chief Registrar has all-court oversight. A Sheriff’s custody actions depend on current case assignment.</w:t>
      </w:r>
    </w:p>
    <w:tbl>
      <w:tblPr>
        <w:tblStyle w:val="TableGrid"/>
        <w:tblW w:type="auto" w:w="0"/>
        <w:tblLayout w:type="fixed"/>
        <w:tblLook w:firstColumn="1" w:firstRow="1" w:lastColumn="0" w:lastRow="0" w:noHBand="0" w:noVBand="1" w:val="04A0"/>
      </w:tblPr>
      <w:tblGrid>
        <w:gridCol w:w="4933"/>
        <w:gridCol w:w="4933"/>
      </w:tblGrid>
      <w:tr>
        <w:trPr>
          <w:tblHeader w:val="true"/>
        </w:trPr>
        <w:tc>
          <w:tcPr>
            <w:tcW w:type="dxa" w:w="2381"/>
            <w:shd w:fill="163E60"/>
            <w:vAlign w:val="center"/>
            <w:tcMar>
              <w:top w:w="90" w:type="dxa"/>
              <w:start w:w="100" w:type="dxa"/>
              <w:bottom w:w="90" w:type="dxa"/>
              <w:end w:w="100" w:type="dxa"/>
            </w:tcMar>
          </w:tcPr>
          <w:p>
            <w:pPr>
              <w:spacing w:after="0"/>
            </w:pPr>
            <w:r>
              <w:rPr>
                <w:b/>
                <w:color w:val="FFFFFF"/>
                <w:sz w:val="18"/>
              </w:rPr>
              <w:t>Role</w:t>
            </w:r>
          </w:p>
        </w:tc>
        <w:tc>
          <w:tcPr>
            <w:tcW w:type="dxa" w:w="6803"/>
            <w:shd w:fill="163E60"/>
            <w:vAlign w:val="center"/>
            <w:tcMar>
              <w:top w:w="90" w:type="dxa"/>
              <w:start w:w="100" w:type="dxa"/>
              <w:bottom w:w="90" w:type="dxa"/>
              <w:end w:w="100" w:type="dxa"/>
            </w:tcMar>
          </w:tcPr>
          <w:p>
            <w:pPr>
              <w:spacing w:after="0"/>
            </w:pPr>
            <w:r>
              <w:rPr>
                <w:b/>
                <w:color w:val="FFFFFF"/>
                <w:sz w:val="18"/>
              </w:rPr>
              <w:t>Current responsibility</w:t>
            </w:r>
          </w:p>
        </w:tc>
      </w:tr>
      <w:tr>
        <w:tc>
          <w:tcPr>
            <w:tcW w:type="dxa" w:w="2381"/>
            <w:vAlign w:val="center"/>
            <w:tcMar>
              <w:top w:w="90" w:type="dxa"/>
              <w:start w:w="100" w:type="dxa"/>
              <w:bottom w:w="90" w:type="dxa"/>
              <w:end w:w="100" w:type="dxa"/>
            </w:tcMar>
          </w:tcPr>
          <w:p>
            <w:pPr>
              <w:spacing w:after="40"/>
            </w:pPr>
            <w:r>
              <w:rPr>
                <w:sz w:val="18"/>
              </w:rPr>
              <w:t>Chief Judge</w:t>
            </w:r>
          </w:p>
        </w:tc>
        <w:tc>
          <w:tcPr>
            <w:tcW w:type="dxa" w:w="6803"/>
            <w:vAlign w:val="center"/>
            <w:tcMar>
              <w:top w:w="90" w:type="dxa"/>
              <w:start w:w="100" w:type="dxa"/>
              <w:bottom w:w="90" w:type="dxa"/>
              <w:end w:w="100" w:type="dxa"/>
            </w:tcMar>
          </w:tcPr>
          <w:p>
            <w:pPr>
              <w:spacing w:after="40"/>
            </w:pPr>
            <w:r>
              <w:rPr>
                <w:sz w:val="18"/>
              </w:rPr>
              <w:t>Read-only court-wide docket and operational prompts. Cannot edit cases or manage accounts.</w:t>
            </w:r>
          </w:p>
        </w:tc>
      </w:tr>
      <w:tr>
        <w:tc>
          <w:tcPr>
            <w:tcW w:type="dxa" w:w="2381"/>
            <w:vAlign w:val="center"/>
            <w:tcMar>
              <w:top w:w="90" w:type="dxa"/>
              <w:start w:w="100" w:type="dxa"/>
              <w:bottom w:w="90" w:type="dxa"/>
              <w:end w:w="100" w:type="dxa"/>
            </w:tcMar>
          </w:tcPr>
          <w:p>
            <w:pPr>
              <w:spacing w:after="40"/>
            </w:pPr>
            <w:r>
              <w:rPr>
                <w:sz w:val="18"/>
              </w:rPr>
              <w:t>Chief Registrar</w:t>
            </w:r>
          </w:p>
        </w:tc>
        <w:tc>
          <w:tcPr>
            <w:tcW w:type="dxa" w:w="6803"/>
            <w:vAlign w:val="center"/>
            <w:tcMar>
              <w:top w:w="90" w:type="dxa"/>
              <w:start w:w="100" w:type="dxa"/>
              <w:bottom w:w="90" w:type="dxa"/>
              <w:end w:w="100" w:type="dxa"/>
            </w:tcMar>
          </w:tcPr>
          <w:p>
            <w:pPr>
              <w:spacing w:after="40"/>
            </w:pPr>
            <w:r>
              <w:rPr>
                <w:sz w:val="18"/>
              </w:rPr>
              <w:t>Manages staff accounts and has read-only all-court oversight. Can explicitly remap old Clerk accounts; cannot register cases or change custody/hearing events.</w:t>
            </w:r>
          </w:p>
        </w:tc>
      </w:tr>
      <w:tr>
        <w:tc>
          <w:tcPr>
            <w:tcW w:type="dxa" w:w="2381"/>
            <w:vAlign w:val="center"/>
            <w:tcMar>
              <w:top w:w="90" w:type="dxa"/>
              <w:start w:w="100" w:type="dxa"/>
              <w:bottom w:w="90" w:type="dxa"/>
              <w:end w:w="100" w:type="dxa"/>
            </w:tcMar>
          </w:tcPr>
          <w:p>
            <w:pPr>
              <w:spacing w:after="40"/>
            </w:pPr>
            <w:r>
              <w:rPr>
                <w:sz w:val="18"/>
              </w:rPr>
              <w:t>Deputy Chief Registrar</w:t>
            </w:r>
          </w:p>
        </w:tc>
        <w:tc>
          <w:tcPr>
            <w:tcW w:type="dxa" w:w="6803"/>
            <w:vAlign w:val="center"/>
            <w:tcMar>
              <w:top w:w="90" w:type="dxa"/>
              <w:start w:w="100" w:type="dxa"/>
              <w:bottom w:w="90" w:type="dxa"/>
              <w:end w:w="100" w:type="dxa"/>
            </w:tcMar>
          </w:tcPr>
          <w:p>
            <w:pPr>
              <w:spacing w:after="40"/>
            </w:pPr>
            <w:r>
              <w:rPr>
                <w:sz w:val="18"/>
              </w:rPr>
              <w:t>Reviews configured workflow prompts and can correct a case division within the same court, with a recorded reason. Prompts are not legal decisions.</w:t>
            </w:r>
          </w:p>
        </w:tc>
      </w:tr>
      <w:tr>
        <w:tc>
          <w:tcPr>
            <w:tcW w:type="dxa" w:w="2381"/>
            <w:vAlign w:val="center"/>
            <w:tcMar>
              <w:top w:w="90" w:type="dxa"/>
              <w:start w:w="100" w:type="dxa"/>
              <w:bottom w:w="90" w:type="dxa"/>
              <w:end w:w="100" w:type="dxa"/>
            </w:tcMar>
          </w:tcPr>
          <w:p>
            <w:pPr>
              <w:spacing w:after="40"/>
            </w:pPr>
            <w:r>
              <w:rPr>
                <w:sz w:val="18"/>
              </w:rPr>
              <w:t>Registrar</w:t>
            </w:r>
          </w:p>
        </w:tc>
        <w:tc>
          <w:tcPr>
            <w:tcW w:type="dxa" w:w="6803"/>
            <w:vAlign w:val="center"/>
            <w:tcMar>
              <w:top w:w="90" w:type="dxa"/>
              <w:start w:w="100" w:type="dxa"/>
              <w:bottom w:w="90" w:type="dxa"/>
              <w:end w:w="100" w:type="dxa"/>
            </w:tcMar>
          </w:tcPr>
          <w:p>
            <w:pPr>
              <w:spacing w:after="40"/>
            </w:pPr>
            <w:r>
              <w:rPr>
                <w:sz w:val="18"/>
              </w:rPr>
              <w:t>Assigns Judges and Sheriffs, records a judgment-delivery date, issues and assigns writs, and separately requests notices. Does not enter hearing outcomes or Sheriff returns.</w:t>
            </w:r>
          </w:p>
        </w:tc>
      </w:tr>
      <w:tr>
        <w:tc>
          <w:tcPr>
            <w:tcW w:type="dxa" w:w="2381"/>
            <w:vAlign w:val="center"/>
            <w:tcMar>
              <w:top w:w="90" w:type="dxa"/>
              <w:start w:w="100" w:type="dxa"/>
              <w:bottom w:w="90" w:type="dxa"/>
              <w:end w:w="100" w:type="dxa"/>
            </w:tcMar>
          </w:tcPr>
          <w:p>
            <w:pPr>
              <w:spacing w:after="40"/>
            </w:pPr>
            <w:r>
              <w:rPr>
                <w:sz w:val="18"/>
              </w:rPr>
              <w:t>Filing Clerk</w:t>
            </w:r>
          </w:p>
        </w:tc>
        <w:tc>
          <w:tcPr>
            <w:tcW w:type="dxa" w:w="6803"/>
            <w:vAlign w:val="center"/>
            <w:tcMar>
              <w:top w:w="90" w:type="dxa"/>
              <w:start w:w="100" w:type="dxa"/>
              <w:bottom w:w="90" w:type="dxa"/>
              <w:end w:w="100" w:type="dxa"/>
            </w:tcMar>
          </w:tcPr>
          <w:p>
            <w:pPr>
              <w:spacing w:after="40"/>
            </w:pPr>
            <w:r>
              <w:rPr>
                <w:sz w:val="18"/>
              </w:rPr>
              <w:t>Registers cases within scope, issues QR labels, records custody check-ins, and enters document metadata. QR-label issuance is Filing Clerk-only.</w:t>
            </w:r>
          </w:p>
        </w:tc>
      </w:tr>
      <w:tr>
        <w:tc>
          <w:tcPr>
            <w:tcW w:type="dxa" w:w="2381"/>
            <w:vAlign w:val="center"/>
            <w:tcMar>
              <w:top w:w="90" w:type="dxa"/>
              <w:start w:w="100" w:type="dxa"/>
              <w:bottom w:w="90" w:type="dxa"/>
              <w:end w:w="100" w:type="dxa"/>
            </w:tcMar>
          </w:tcPr>
          <w:p>
            <w:pPr>
              <w:spacing w:after="40"/>
            </w:pPr>
            <w:r>
              <w:rPr>
                <w:sz w:val="18"/>
              </w:rPr>
              <w:t>Registry Clerk</w:t>
            </w:r>
          </w:p>
        </w:tc>
        <w:tc>
          <w:tcPr>
            <w:tcW w:type="dxa" w:w="6803"/>
            <w:vAlign w:val="center"/>
            <w:tcMar>
              <w:top w:w="90" w:type="dxa"/>
              <w:start w:w="100" w:type="dxa"/>
              <w:bottom w:w="90" w:type="dxa"/>
              <w:end w:w="100" w:type="dxa"/>
            </w:tcMar>
          </w:tcPr>
          <w:p>
            <w:pPr>
              <w:spacing w:after="40"/>
            </w:pPr>
            <w:r>
              <w:rPr>
                <w:sz w:val="18"/>
              </w:rPr>
              <w:t>Records custody check-ins, document metadata, and missing-file reports/recovery; may view eligible Sheriff choices but cannot assign a Sheriff.</w:t>
            </w:r>
          </w:p>
        </w:tc>
      </w:tr>
      <w:tr>
        <w:tc>
          <w:tcPr>
            <w:tcW w:type="dxa" w:w="2381"/>
            <w:vAlign w:val="center"/>
            <w:tcMar>
              <w:top w:w="90" w:type="dxa"/>
              <w:start w:w="100" w:type="dxa"/>
              <w:bottom w:w="90" w:type="dxa"/>
              <w:end w:w="100" w:type="dxa"/>
            </w:tcMar>
          </w:tcPr>
          <w:p>
            <w:pPr>
              <w:spacing w:after="40"/>
            </w:pPr>
            <w:r>
              <w:rPr>
                <w:sz w:val="18"/>
              </w:rPr>
              <w:t>Court Clerk</w:t>
            </w:r>
          </w:p>
        </w:tc>
        <w:tc>
          <w:tcPr>
            <w:tcW w:type="dxa" w:w="6803"/>
            <w:vAlign w:val="center"/>
            <w:tcMar>
              <w:top w:w="90" w:type="dxa"/>
              <w:start w:w="100" w:type="dxa"/>
              <w:bottom w:w="90" w:type="dxa"/>
              <w:end w:w="100" w:type="dxa"/>
            </w:tcMar>
          </w:tcPr>
          <w:p>
            <w:pPr>
              <w:spacing w:after="40"/>
            </w:pPr>
            <w:r>
              <w:rPr>
                <w:sz w:val="18"/>
              </w:rPr>
              <w:t>When the server entitlement is enabled, records supported hearing events, check-ins, and missing-file actions. Cannot use a hearing entry to record a judgment; hearing entry does not automatically send WhatsApp.</w:t>
            </w:r>
          </w:p>
        </w:tc>
      </w:tr>
      <w:tr>
        <w:tc>
          <w:tcPr>
            <w:tcW w:type="dxa" w:w="2381"/>
            <w:vAlign w:val="center"/>
            <w:tcMar>
              <w:top w:w="90" w:type="dxa"/>
              <w:start w:w="100" w:type="dxa"/>
              <w:bottom w:w="90" w:type="dxa"/>
              <w:end w:w="100" w:type="dxa"/>
            </w:tcMar>
          </w:tcPr>
          <w:p>
            <w:pPr>
              <w:spacing w:after="40"/>
            </w:pPr>
            <w:r>
              <w:rPr>
                <w:sz w:val="18"/>
              </w:rPr>
              <w:t>Bailiff</w:t>
            </w:r>
          </w:p>
        </w:tc>
        <w:tc>
          <w:tcPr>
            <w:tcW w:type="dxa" w:w="6803"/>
            <w:vAlign w:val="center"/>
            <w:tcMar>
              <w:top w:w="90" w:type="dxa"/>
              <w:start w:w="100" w:type="dxa"/>
              <w:bottom w:w="90" w:type="dxa"/>
              <w:end w:w="100" w:type="dxa"/>
            </w:tcMar>
          </w:tcPr>
          <w:p>
            <w:pPr>
              <w:spacing w:after="40"/>
            </w:pPr>
            <w:r>
              <w:rPr>
                <w:sz w:val="18"/>
              </w:rPr>
              <w:t>Can view in-scope cases and record custody check-ins. Separate proof-of-service, affidavit, and writ-execution workflows are not implemented.</w:t>
            </w:r>
          </w:p>
        </w:tc>
      </w:tr>
      <w:tr>
        <w:tc>
          <w:tcPr>
            <w:tcW w:type="dxa" w:w="2381"/>
            <w:vAlign w:val="center"/>
            <w:tcMar>
              <w:top w:w="90" w:type="dxa"/>
              <w:start w:w="100" w:type="dxa"/>
              <w:bottom w:w="90" w:type="dxa"/>
              <w:end w:w="100" w:type="dxa"/>
            </w:tcMar>
          </w:tcPr>
          <w:p>
            <w:pPr>
              <w:spacing w:after="40"/>
            </w:pPr>
            <w:r>
              <w:rPr>
                <w:sz w:val="18"/>
              </w:rPr>
              <w:t>Sheriff</w:t>
            </w:r>
          </w:p>
        </w:tc>
        <w:tc>
          <w:tcPr>
            <w:tcW w:type="dxa" w:w="6803"/>
            <w:vAlign w:val="center"/>
            <w:tcMar>
              <w:top w:w="90" w:type="dxa"/>
              <w:start w:w="100" w:type="dxa"/>
              <w:bottom w:w="90" w:type="dxa"/>
              <w:end w:w="100" w:type="dxa"/>
            </w:tcMar>
          </w:tcPr>
          <w:p>
            <w:pPr>
              <w:spacing w:after="40"/>
            </w:pPr>
            <w:r>
              <w:rPr>
                <w:sz w:val="18"/>
              </w:rPr>
              <w:t>Works with currently assigned cases: check-ins, handovers, missing/found actions, and allowed execution/return entries. Cannot issue a writ.</w:t>
            </w:r>
          </w:p>
        </w:tc>
      </w:tr>
      <w:tr>
        <w:tc>
          <w:tcPr>
            <w:tcW w:type="dxa" w:w="2381"/>
            <w:vAlign w:val="center"/>
            <w:tcMar>
              <w:top w:w="90" w:type="dxa"/>
              <w:start w:w="100" w:type="dxa"/>
              <w:bottom w:w="90" w:type="dxa"/>
              <w:end w:w="100" w:type="dxa"/>
            </w:tcMar>
          </w:tcPr>
          <w:p>
            <w:pPr>
              <w:spacing w:after="40"/>
            </w:pPr>
            <w:r>
              <w:rPr>
                <w:sz w:val="18"/>
              </w:rPr>
              <w:t>Presiding Judge (optional)</w:t>
            </w:r>
          </w:p>
        </w:tc>
        <w:tc>
          <w:tcPr>
            <w:tcW w:type="dxa" w:w="6803"/>
            <w:vAlign w:val="center"/>
            <w:tcMar>
              <w:top w:w="90" w:type="dxa"/>
              <w:start w:w="100" w:type="dxa"/>
              <w:bottom w:w="90" w:type="dxa"/>
              <w:end w:w="100" w:type="dxa"/>
            </w:tcMar>
          </w:tcPr>
          <w:p>
            <w:pPr>
              <w:spacing w:after="40"/>
            </w:pPr>
            <w:r>
              <w:rPr>
                <w:sz w:val="18"/>
              </w:rPr>
              <w:t>Read-only view of the cases specifically assigned to that Judge.</w:t>
            </w:r>
          </w:p>
        </w:tc>
      </w:tr>
    </w:tbl>
    <w:p>
      <w:r>
        <w:rPr>
          <w:b/>
        </w:rPr>
        <w:t xml:space="preserve">Important account transition: </w:t>
      </w:r>
      <w:r>
        <w:t>an old generic “Clerk” role combined duties and is not guessed or auto-converted. The account is blocked from sign-in until a Chief Registrar explicitly assigns a new role and records a reason. Legacy “DCR” and “Judge” names map to their designated successor roles. Cashier/Fees Clerk, Counsel, and Counsel’s Clerk are not assignable in this pilot.</w:t>
      </w:r>
    </w:p>
    <w:p>
      <w:pPr>
        <w:pStyle w:val="Heading1"/>
      </w:pPr>
      <w:r>
        <w:t>4. A safe demonstration flow</w:t>
      </w:r>
    </w:p>
    <w:p>
      <w:r>
        <w:t>Use only the fictional scenarios and provisioned demo accounts. A simple walkthrough can show:</w:t>
      </w:r>
    </w:p>
    <w:p>
      <w:pPr>
        <w:pStyle w:val="ListNumber"/>
      </w:pPr>
      <w:r>
        <w:t>A Filing Clerk registers a fictional case within the assigned court/division and issues its QR label.</w:t>
      </w:r>
    </w:p>
    <w:p>
      <w:pPr>
        <w:pStyle w:val="ListNumber"/>
      </w:pPr>
      <w:r>
        <w:t>A Registrar records the Judge and Sheriff assignments.</w:t>
      </w:r>
    </w:p>
    <w:p>
      <w:pPr>
        <w:pStyle w:val="ListNumber"/>
      </w:pPr>
      <w:r>
        <w:t>The assigned Sheriff scans the label and waits for server confirmation; a camera decode by itself is not a saved check-in.</w:t>
      </w:r>
    </w:p>
    <w:p>
      <w:pPr>
        <w:pStyle w:val="ListNumber"/>
      </w:pPr>
      <w:r>
        <w:t>If enabled, a Court Clerk records a supported hearing event. This does not itself deliver a judgment or send WhatsApp.</w:t>
      </w:r>
    </w:p>
    <w:p>
      <w:pPr>
        <w:pStyle w:val="ListNumber"/>
      </w:pPr>
      <w:r>
        <w:t>A Deputy Chief Registrar reviews a configured prompt, and the Registrar/Sheriff demonstrate only the supported judgment/execution steps.</w:t>
      </w:r>
    </w:p>
    <w:p>
      <w:r>
        <w:t>Present this as a prototype walkthrough, not as a complete or legally approved end-to-end court process. The role guide and access matrix describe the current boundaries.</w:t>
      </w:r>
    </w:p>
    <w:p>
      <w:pPr>
        <w:pStyle w:val="Heading1"/>
      </w:pPr>
      <w:r>
        <w:t>5. What still needs to happen</w:t>
      </w:r>
    </w:p>
    <w:p>
      <w:pPr>
        <w:pStyle w:val="ListBullet"/>
      </w:pPr>
      <w:r>
        <w:rPr>
          <w:b/>
        </w:rPr>
        <w:t xml:space="preserve">Legal and registry review: </w:t>
      </w:r>
      <w:r>
        <w:t>Confirm the applicable hearing, adjournment, execution, and form rules. Engineering must not change legal rules without Law Lead sign-off.</w:t>
      </w:r>
    </w:p>
    <w:p>
      <w:pPr>
        <w:pStyle w:val="ListBullet"/>
      </w:pPr>
      <w:r>
        <w:rPr>
          <w:b/>
        </w:rPr>
        <w:t xml:space="preserve">Data permission and privacy: </w:t>
      </w:r>
      <w:r>
        <w:t>Keep using fictional data unless written permission covers specific real records, access, retention, and incident handling.</w:t>
      </w:r>
    </w:p>
    <w:p>
      <w:pPr>
        <w:pStyle w:val="ListBullet"/>
      </w:pPr>
      <w:r>
        <w:rPr>
          <w:b/>
        </w:rPr>
        <w:t xml:space="preserve">Device and user acceptance: </w:t>
      </w:r>
      <w:r>
        <w:t>Test the actual phone/browser, camera permissions, printed QR label, intended printer/scanner, and network-loss/recovery behavior with test accounts.</w:t>
      </w:r>
    </w:p>
    <w:p>
      <w:pPr>
        <w:pStyle w:val="ListBullet"/>
      </w:pPr>
      <w:r>
        <w:rPr>
          <w:b/>
        </w:rPr>
        <w:t xml:space="preserve">Controlled staging and operations: </w:t>
      </w:r>
      <w:r>
        <w:t>Select a host, configure HTTPS and protected secrets, and complete database backup/restore, monitoring, and rollback checks.</w:t>
      </w:r>
    </w:p>
    <w:p>
      <w:pPr>
        <w:pStyle w:val="ListBullet"/>
      </w:pPr>
      <w:r>
        <w:rPr>
          <w:b/>
        </w:rPr>
        <w:t xml:space="preserve">WhatsApp readiness: </w:t>
      </w:r>
      <w:r>
        <w:t>Use only a properly configured provider account, approved template, recorded recipient opt-in, and tested delivery/recovery path. Until then, say that live delivery is unverified.</w:t>
      </w:r>
    </w:p>
    <w:p>
      <w:pPr>
        <w:pStyle w:val="ListBullet"/>
      </w:pPr>
      <w:r>
        <w:rPr>
          <w:b/>
        </w:rPr>
        <w:t xml:space="preserve">AI evidence: </w:t>
      </w:r>
      <w:r>
        <w:t>Confirm data provenance and permission, choose a defensible target, and independently test performance before making any predictive-accuracy claim.</w:t>
      </w:r>
    </w:p>
    <w:p>
      <w:pPr>
        <w:pStyle w:val="ListBullet"/>
      </w:pPr>
      <w:r>
        <w:rPr>
          <w:b/>
        </w:rPr>
        <w:t xml:space="preserve">Pilot ownership: </w:t>
      </w:r>
      <w:r>
        <w:t>Name owners for training, feedback intake, issue triage, and go/no-go approval. The automated tests do not replace a staff rehearsal.</w:t>
      </w:r>
    </w:p>
    <w:p>
      <w:pPr>
        <w:pStyle w:val="Heading2"/>
      </w:pPr>
      <w:r>
        <w:t>What non-technical team members can contribute</w:t>
      </w:r>
    </w:p>
    <w:p>
      <w:pPr>
        <w:pStyle w:val="ListBullet"/>
      </w:pPr>
      <w:r>
        <w:t>Confirm the roles, real-world tasks, and demo scenarios staff should recognize.</w:t>
      </w:r>
    </w:p>
    <w:p>
      <w:pPr>
        <w:pStyle w:val="ListBullet"/>
      </w:pPr>
      <w:r>
        <w:t>Ask the Law Lead and registry reviewers to resolve policy/form questions before they are presented as rules.</w:t>
      </w:r>
    </w:p>
    <w:p>
      <w:pPr>
        <w:pStyle w:val="ListBullet"/>
      </w:pPr>
      <w:r>
        <w:t>Help secure written permission and define a safe data/feedback process before any live pilot.</w:t>
      </w:r>
    </w:p>
    <w:p>
      <w:pPr>
        <w:pStyle w:val="ListBullet"/>
      </w:pPr>
      <w:r>
        <w:t>Prepare a short role-based walkthrough and rehearsal using fictional accounts and cases.</w:t>
      </w:r>
    </w:p>
    <w:p>
      <w:pPr>
        <w:pStyle w:val="ListBullet"/>
      </w:pPr>
      <w:r>
        <w:t>For future pricing, identify the organizational buyer, payer, procurement path, operating costs, and value to test. Do not describe the current Court Clerk setting as a subscription.</w:t>
      </w:r>
    </w:p>
    <w:p>
      <w:pPr>
        <w:pStyle w:val="ListBullet"/>
      </w:pPr>
      <w:r>
        <w:t>Review competition materials so they clearly separate implemented code, tested behavior, simulations, and open work.</w:t>
      </w:r>
    </w:p>
    <w:p>
      <w:pPr>
        <w:pStyle w:val="Heading1"/>
      </w:pPr>
      <w:r>
        <w:t>6. Testing and what it proves</w:t>
      </w:r>
    </w:p>
    <w:p>
      <w:r>
        <w:t>The latest recorded local run passed 82 backend tests, with 10 existing deprecation warnings; the frontend security, session, PWA, and role-aware regression suites also passed. Dependency audits and syntax checks passed. These checks exercise code with isolated databases and fictional/synthetic fixtures. They do not prove legal correctness, independent security, staff usability, real-world AI accuracy, or operation on the pilot phone/printer.</w:t>
      </w:r>
    </w:p>
    <w:p>
      <w:r>
        <w:t>At the last recorded cloud check, GitHub Actions did not start any test steps because of an account billing/startup blocker. That is not a remote pass or a test failure; local test results are the evidence available until the cloud runner can start. The Docker image and hosted staging have not been accepted.</w:t>
      </w:r>
    </w:p>
    <w:p>
      <w:pPr>
        <w:pStyle w:val="Heading2"/>
      </w:pPr>
      <w:r>
        <w:t>Safe wording for presentations</w:t>
      </w:r>
    </w:p>
    <w:p>
      <w:pPr>
        <w:pStyle w:val="ListBullet"/>
      </w:pPr>
      <w:r>
        <w:t>“CourtLOG is a competition prototype exploring court-registry workflows and physical-file visibility.”</w:t>
      </w:r>
    </w:p>
    <w:p>
      <w:pPr>
        <w:pStyle w:val="ListBullet"/>
      </w:pPr>
      <w:r>
        <w:t>“Automated tests cover the implemented software paths; real-device, legal, operational, and pilot acceptance are still pending.”</w:t>
      </w:r>
    </w:p>
    <w:p>
      <w:pPr>
        <w:pStyle w:val="ListBullet"/>
      </w:pPr>
      <w:r>
        <w:t>“The delay-risk feature is experimental and has no independent real-outcome validation.”</w:t>
      </w:r>
    </w:p>
    <w:p>
      <w:pPr>
        <w:pStyle w:val="ListBullet"/>
      </w:pPr>
      <w:r>
        <w:t>“WhatsApp code exists, but live delivery has not been demonstrated.”</w:t>
      </w:r>
    </w:p>
    <w:p>
      <w:pPr>
        <w:pStyle w:val="ListBullet"/>
      </w:pPr>
      <w:r>
        <w:t>“Court Clerk can be enabled by a server entitlement; payment processing and subscriptions are not implemented.”</w:t>
      </w:r>
    </w:p>
    <w:p>
      <w:pPr>
        <w:pStyle w:val="Heading1"/>
      </w:pPr>
      <w:r>
        <w:t>Terms in plain language</w:t>
      </w:r>
    </w:p>
    <w:tbl>
      <w:tblPr>
        <w:tblStyle w:val="TableGrid"/>
        <w:tblW w:type="auto" w:w="0"/>
        <w:tblLayout w:type="fixed"/>
        <w:tblLook w:firstColumn="1" w:firstRow="1" w:lastColumn="0" w:lastRow="0" w:noHBand="0" w:noVBand="1" w:val="04A0"/>
      </w:tblPr>
      <w:tblGrid>
        <w:gridCol w:w="4933"/>
        <w:gridCol w:w="4933"/>
      </w:tblGrid>
      <w:tr>
        <w:trPr>
          <w:tblHeader w:val="true"/>
        </w:trPr>
        <w:tc>
          <w:tcPr>
            <w:tcW w:type="dxa" w:w="2381"/>
            <w:shd w:fill="163E60"/>
            <w:vAlign w:val="center"/>
            <w:tcMar>
              <w:top w:w="90" w:type="dxa"/>
              <w:start w:w="100" w:type="dxa"/>
              <w:bottom w:w="90" w:type="dxa"/>
              <w:end w:w="100" w:type="dxa"/>
            </w:tcMar>
          </w:tcPr>
          <w:p>
            <w:pPr>
              <w:spacing w:after="0"/>
            </w:pPr>
            <w:r>
              <w:rPr>
                <w:b/>
                <w:color w:val="FFFFFF"/>
                <w:sz w:val="18"/>
              </w:rPr>
              <w:t>Term</w:t>
            </w:r>
          </w:p>
        </w:tc>
        <w:tc>
          <w:tcPr>
            <w:tcW w:type="dxa" w:w="6803"/>
            <w:shd w:fill="163E60"/>
            <w:vAlign w:val="center"/>
            <w:tcMar>
              <w:top w:w="90" w:type="dxa"/>
              <w:start w:w="100" w:type="dxa"/>
              <w:bottom w:w="90" w:type="dxa"/>
              <w:end w:w="100" w:type="dxa"/>
            </w:tcMar>
          </w:tcPr>
          <w:p>
            <w:pPr>
              <w:spacing w:after="0"/>
            </w:pPr>
            <w:r>
              <w:rPr>
                <w:b/>
                <w:color w:val="FFFFFF"/>
                <w:sz w:val="18"/>
              </w:rPr>
              <w:t>Meaning</w:t>
            </w:r>
          </w:p>
        </w:tc>
      </w:tr>
      <w:tr>
        <w:tc>
          <w:tcPr>
            <w:tcW w:type="dxa" w:w="2381"/>
            <w:vAlign w:val="center"/>
            <w:tcMar>
              <w:top w:w="90" w:type="dxa"/>
              <w:start w:w="100" w:type="dxa"/>
              <w:bottom w:w="90" w:type="dxa"/>
              <w:end w:w="100" w:type="dxa"/>
            </w:tcMar>
          </w:tcPr>
          <w:p>
            <w:pPr>
              <w:spacing w:after="40"/>
            </w:pPr>
            <w:r>
              <w:rPr>
                <w:sz w:val="18"/>
              </w:rPr>
              <w:t>Prototype</w:t>
            </w:r>
          </w:p>
        </w:tc>
        <w:tc>
          <w:tcPr>
            <w:tcW w:type="dxa" w:w="6803"/>
            <w:vAlign w:val="center"/>
            <w:tcMar>
              <w:top w:w="90" w:type="dxa"/>
              <w:start w:w="100" w:type="dxa"/>
              <w:bottom w:w="90" w:type="dxa"/>
              <w:end w:w="100" w:type="dxa"/>
            </w:tcMar>
          </w:tcPr>
          <w:p>
            <w:pPr>
              <w:spacing w:after="40"/>
            </w:pPr>
            <w:r>
              <w:rPr>
                <w:sz w:val="18"/>
              </w:rPr>
              <w:t>A working model used to explore and test an idea; not automatically ready for live operations.</w:t>
            </w:r>
          </w:p>
        </w:tc>
      </w:tr>
      <w:tr>
        <w:tc>
          <w:tcPr>
            <w:tcW w:type="dxa" w:w="2381"/>
            <w:vAlign w:val="center"/>
            <w:tcMar>
              <w:top w:w="90" w:type="dxa"/>
              <w:start w:w="100" w:type="dxa"/>
              <w:bottom w:w="90" w:type="dxa"/>
              <w:end w:w="100" w:type="dxa"/>
            </w:tcMar>
          </w:tcPr>
          <w:p>
            <w:pPr>
              <w:spacing w:after="40"/>
            </w:pPr>
            <w:r>
              <w:rPr>
                <w:sz w:val="18"/>
              </w:rPr>
              <w:t>Case scope</w:t>
            </w:r>
          </w:p>
        </w:tc>
        <w:tc>
          <w:tcPr>
            <w:tcW w:type="dxa" w:w="6803"/>
            <w:vAlign w:val="center"/>
            <w:tcMar>
              <w:top w:w="90" w:type="dxa"/>
              <w:start w:w="100" w:type="dxa"/>
              <w:bottom w:w="90" w:type="dxa"/>
              <w:end w:w="100" w:type="dxa"/>
            </w:tcMar>
          </w:tcPr>
          <w:p>
            <w:pPr>
              <w:spacing w:after="40"/>
            </w:pPr>
            <w:r>
              <w:rPr>
                <w:sz w:val="18"/>
              </w:rPr>
              <w:t>The court, division, Judge assignment, or Sheriff assignment that limits which records a user may see or update.</w:t>
            </w:r>
          </w:p>
        </w:tc>
      </w:tr>
      <w:tr>
        <w:tc>
          <w:tcPr>
            <w:tcW w:type="dxa" w:w="2381"/>
            <w:vAlign w:val="center"/>
            <w:tcMar>
              <w:top w:w="90" w:type="dxa"/>
              <w:start w:w="100" w:type="dxa"/>
              <w:bottom w:w="90" w:type="dxa"/>
              <w:end w:w="100" w:type="dxa"/>
            </w:tcMar>
          </w:tcPr>
          <w:p>
            <w:pPr>
              <w:spacing w:after="40"/>
            </w:pPr>
            <w:r>
              <w:rPr>
                <w:sz w:val="18"/>
              </w:rPr>
              <w:t>Entitlement</w:t>
            </w:r>
          </w:p>
        </w:tc>
        <w:tc>
          <w:tcPr>
            <w:tcW w:type="dxa" w:w="6803"/>
            <w:vAlign w:val="center"/>
            <w:tcMar>
              <w:top w:w="90" w:type="dxa"/>
              <w:start w:w="100" w:type="dxa"/>
              <w:bottom w:w="90" w:type="dxa"/>
              <w:end w:w="100" w:type="dxa"/>
            </w:tcMar>
          </w:tcPr>
          <w:p>
            <w:pPr>
              <w:spacing w:after="40"/>
            </w:pPr>
            <w:r>
              <w:rPr>
                <w:sz w:val="18"/>
              </w:rPr>
              <w:t>A server-side setting that allows a feature to be used. It is not proof that a payment was made.</w:t>
            </w:r>
          </w:p>
        </w:tc>
      </w:tr>
      <w:tr>
        <w:tc>
          <w:tcPr>
            <w:tcW w:type="dxa" w:w="2381"/>
            <w:vAlign w:val="center"/>
            <w:tcMar>
              <w:top w:w="90" w:type="dxa"/>
              <w:start w:w="100" w:type="dxa"/>
              <w:bottom w:w="90" w:type="dxa"/>
              <w:end w:w="100" w:type="dxa"/>
            </w:tcMar>
          </w:tcPr>
          <w:p>
            <w:pPr>
              <w:spacing w:after="40"/>
            </w:pPr>
            <w:r>
              <w:rPr>
                <w:sz w:val="18"/>
              </w:rPr>
              <w:t>QR confirmation</w:t>
            </w:r>
          </w:p>
        </w:tc>
        <w:tc>
          <w:tcPr>
            <w:tcW w:type="dxa" w:w="6803"/>
            <w:vAlign w:val="center"/>
            <w:tcMar>
              <w:top w:w="90" w:type="dxa"/>
              <w:start w:w="100" w:type="dxa"/>
              <w:bottom w:w="90" w:type="dxa"/>
              <w:end w:w="100" w:type="dxa"/>
            </w:tcMar>
          </w:tcPr>
          <w:p>
            <w:pPr>
              <w:spacing w:after="40"/>
            </w:pPr>
            <w:r>
              <w:rPr>
                <w:sz w:val="18"/>
              </w:rPr>
              <w:t>A successful check-in only after the server accepts it; recognizing the printed code alone is not enough.</w:t>
            </w:r>
          </w:p>
        </w:tc>
      </w:tr>
      <w:tr>
        <w:tc>
          <w:tcPr>
            <w:tcW w:type="dxa" w:w="2381"/>
            <w:vAlign w:val="center"/>
            <w:tcMar>
              <w:top w:w="90" w:type="dxa"/>
              <w:start w:w="100" w:type="dxa"/>
              <w:bottom w:w="90" w:type="dxa"/>
              <w:end w:w="100" w:type="dxa"/>
            </w:tcMar>
          </w:tcPr>
          <w:p>
            <w:pPr>
              <w:spacing w:after="40"/>
            </w:pPr>
            <w:r>
              <w:rPr>
                <w:sz w:val="18"/>
              </w:rPr>
              <w:t>Synthetic/demo data</w:t>
            </w:r>
          </w:p>
        </w:tc>
        <w:tc>
          <w:tcPr>
            <w:tcW w:type="dxa" w:w="6803"/>
            <w:vAlign w:val="center"/>
            <w:tcMar>
              <w:top w:w="90" w:type="dxa"/>
              <w:start w:w="100" w:type="dxa"/>
              <w:bottom w:w="90" w:type="dxa"/>
              <w:end w:w="100" w:type="dxa"/>
            </w:tcMar>
          </w:tcPr>
          <w:p>
            <w:pPr>
              <w:spacing w:after="40"/>
            </w:pPr>
            <w:r>
              <w:rPr>
                <w:sz w:val="18"/>
              </w:rPr>
              <w:t>Invented test information that must not be confused with real court records.</w:t>
            </w:r>
          </w:p>
        </w:tc>
      </w:tr>
    </w:tbl>
    <w:p>
      <w:r>
        <w:rPr>
          <w:b/>
        </w:rPr>
        <w:t xml:space="preserve">Current reference documents: </w:t>
      </w:r>
      <w:r>
        <w:t>STATUS.md (verified status), COURTLOG_COMPLETION_PLAN.md (open gates), and docs/COURTLOG_ROLE_ACCESS_MATRIX.md (permissions). This brief is an internal team explainer, not legal advice, a procurement offer, or an external readiness certificate.</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77480"/>
        <w:sz w:val="16"/>
      </w:rPr>
      <w:t xml:space="preserve">Competition-team prototype • Prepared 12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77480"/>
        <w:sz w:val="16"/>
      </w:rPr>
      <w:t>COURTLOG  |  INTERNAL TEAM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B35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63E6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63E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E6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CourtLOG Project Status — Non-Technical Team Brief</dc:title>
  <dc:subject>Plain-language overview of project status, roles, current capabilities, limits, and next steps</dc:subject>
  <dc:creator>CourtLOG project team</dc:creator>
  <cp:keywords>CourtLOG, project status, team brief, pilot roles, prototype</cp:keywords>
  <dc:description>generated by python-docx</dc:description>
  <cp:lastModifiedBy/>
  <cp:revision>1</cp:revision>
  <dcterms:created xsi:type="dcterms:W3CDTF">2013-12-23T23:15:00Z</dcterms:created>
  <dcterms:modified xsi:type="dcterms:W3CDTF">2013-12-23T23:15:00Z</dcterms:modified>
  <cp:category/>
</cp:coreProperties>
</file>