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after="80"/>
      </w:pPr>
      <w:r>
        <w:rPr>
          <w:b/>
          <w:color w:val="00A884"/>
          <w:sz w:val="18"/>
        </w:rPr>
        <w:t>READINESS REVIEW  /  03 OCT 2026</w:t>
      </w:r>
    </w:p>
    <w:p>
      <w:pPr>
        <w:pStyle w:val="Title"/>
      </w:pPr>
      <w:r>
        <w:t>CourtLOG Deployment</w:t>
        <w:br/>
        <w:t>Readiness Checklist</w:t>
      </w:r>
    </w:p>
    <w:p>
      <w:pPr>
        <w:spacing w:after="240"/>
      </w:pPr>
      <w:r>
        <w:rPr>
          <w:color w:val="526174"/>
          <w:sz w:val="24"/>
        </w:rPr>
        <w:t>Remaining work for a hosted demo, usable pilot, and production-grade service</w:t>
      </w:r>
    </w:p>
    <w:tbl>
      <w:tblPr>
        <w:tblW w:type="auto" w:w="0"/>
        <w:jc w:val="center"/>
        <w:tblLook w:firstColumn="1" w:firstRow="1" w:lastColumn="0" w:lastRow="0" w:noHBand="0" w:noVBand="1" w:val="04A0"/>
      </w:tblPr>
      <w:tblGrid>
        <w:gridCol w:w="9994"/>
      </w:tblGrid>
      <w:tr>
        <w:tc>
          <w:tcPr>
            <w:tcW w:type="dxa" w:w="9994"/>
            <w:shd w:fill="FFF6DC"/>
            <w:tcMar>
              <w:top w:w="160" w:type="dxa"/>
              <w:start w:w="200" w:type="dxa"/>
              <w:bottom w:w="160" w:type="dxa"/>
              <w:end w:w="200" w:type="dxa"/>
            </w:tcMar>
          </w:tcPr>
          <w:p>
            <w:pPr>
              <w:spacing w:after="60"/>
            </w:pPr>
            <w:r>
              <w:rPr>
                <w:b/>
                <w:color w:val="0B1730"/>
              </w:rPr>
              <w:t>Current assessment: prototype, not yet deployment-ready</w:t>
            </w:r>
          </w:p>
          <w:p>
            <w:pPr>
              <w:spacing w:after="0"/>
            </w:pPr>
            <w:r>
              <w:rPr>
                <w:color w:val="526174"/>
              </w:rPr>
              <w:t>Core functionality and local regression tests are in place, but there is no deployed staging service and no acceptance on the intended phone, camera, scanner, or printer. Deployment, recovery, and end-to-end user checks remain open.</w:t>
            </w:r>
          </w:p>
        </w:tc>
      </w:tr>
    </w:tbl>
    <w:p>
      <w:pPr>
        <w:spacing w:after="20"/>
      </w:pPr>
    </w:p>
    <w:p>
      <w:pPr>
        <w:pStyle w:val="Heading1"/>
      </w:pPr>
      <w:r>
        <w:t>Readiness by target</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0B1730"/>
            <w:tcMar>
              <w:top w:w="100" w:type="dxa"/>
              <w:start w:w="120" w:type="dxa"/>
              <w:bottom w:w="100" w:type="dxa"/>
              <w:end w:w="120" w:type="dxa"/>
            </w:tcMar>
          </w:tcPr>
          <w:p>
            <w:r>
              <w:rPr>
                <w:b/>
                <w:color w:val="FFFFFF"/>
              </w:rPr>
              <w:t>Target</w:t>
            </w:r>
          </w:p>
        </w:tc>
        <w:tc>
          <w:tcPr>
            <w:tcW w:type="dxa" w:w="3331"/>
            <w:shd w:fill="0B1730"/>
            <w:tcMar>
              <w:top w:w="100" w:type="dxa"/>
              <w:start w:w="120" w:type="dxa"/>
              <w:bottom w:w="100" w:type="dxa"/>
              <w:end w:w="120" w:type="dxa"/>
            </w:tcMar>
          </w:tcPr>
          <w:p>
            <w:r>
              <w:rPr>
                <w:b/>
                <w:color w:val="FFFFFF"/>
              </w:rPr>
              <w:t>Current status</w:t>
            </w:r>
          </w:p>
        </w:tc>
        <w:tc>
          <w:tcPr>
            <w:tcW w:type="dxa" w:w="3331"/>
            <w:shd w:fill="0B1730"/>
            <w:tcMar>
              <w:top w:w="100" w:type="dxa"/>
              <w:start w:w="120" w:type="dxa"/>
              <w:bottom w:w="100" w:type="dxa"/>
              <w:end w:w="120" w:type="dxa"/>
            </w:tcMar>
          </w:tcPr>
          <w:p>
            <w:r>
              <w:rPr>
                <w:b/>
                <w:color w:val="FFFFFF"/>
              </w:rPr>
              <w:t>Main remaining gate</w:t>
            </w:r>
          </w:p>
        </w:tc>
      </w:tr>
      <w:tr>
        <w:tc>
          <w:tcPr>
            <w:tcW w:type="dxa" w:w="3331"/>
            <w:vAlign w:val="center"/>
            <w:tcMar>
              <w:top w:w="100" w:type="dxa"/>
              <w:start w:w="120" w:type="dxa"/>
              <w:bottom w:w="100" w:type="dxa"/>
              <w:end w:w="120" w:type="dxa"/>
            </w:tcMar>
            <w:shd w:fill="F4F7FA"/>
          </w:tcPr>
          <w:p>
            <w:pPr>
              <w:spacing w:after="0"/>
            </w:pPr>
            <w:r>
              <w:t>Fictional-data competition demo</w:t>
            </w:r>
          </w:p>
        </w:tc>
        <w:tc>
          <w:tcPr>
            <w:tcW w:type="dxa" w:w="3331"/>
            <w:vAlign w:val="center"/>
            <w:tcMar>
              <w:top w:w="100" w:type="dxa"/>
              <w:start w:w="120" w:type="dxa"/>
              <w:bottom w:w="100" w:type="dxa"/>
              <w:end w:w="120" w:type="dxa"/>
            </w:tcMar>
            <w:shd w:fill="F4F7FA"/>
          </w:tcPr>
          <w:p>
            <w:pPr>
              <w:spacing w:after="0"/>
            </w:pPr>
            <w:r>
              <w:t>Pre-deployment</w:t>
            </w:r>
          </w:p>
        </w:tc>
        <w:tc>
          <w:tcPr>
            <w:tcW w:type="dxa" w:w="3331"/>
            <w:vAlign w:val="center"/>
            <w:tcMar>
              <w:top w:w="100" w:type="dxa"/>
              <w:start w:w="120" w:type="dxa"/>
              <w:bottom w:w="100" w:type="dxa"/>
              <w:end w:w="120" w:type="dxa"/>
            </w:tcMar>
            <w:shd w:fill="F4F7FA"/>
          </w:tcPr>
          <w:p>
            <w:pPr>
              <w:spacing w:after="0"/>
            </w:pPr>
            <w:r>
              <w:t>Choose host; build and deploy; prove persistence, HTTPS, and restore.</w:t>
            </w:r>
          </w:p>
        </w:tc>
      </w:tr>
      <w:tr>
        <w:tc>
          <w:tcPr>
            <w:tcW w:type="dxa" w:w="3331"/>
            <w:vAlign w:val="center"/>
            <w:tcMar>
              <w:top w:w="100" w:type="dxa"/>
              <w:start w:w="120" w:type="dxa"/>
              <w:bottom w:w="100" w:type="dxa"/>
              <w:end w:w="120" w:type="dxa"/>
            </w:tcMar>
          </w:tcPr>
          <w:p>
            <w:pPr>
              <w:spacing w:after="0"/>
            </w:pPr>
            <w:r>
              <w:t>Pilot use</w:t>
            </w:r>
          </w:p>
        </w:tc>
        <w:tc>
          <w:tcPr>
            <w:tcW w:type="dxa" w:w="3331"/>
            <w:vAlign w:val="center"/>
            <w:tcMar>
              <w:top w:w="100" w:type="dxa"/>
              <w:start w:w="120" w:type="dxa"/>
              <w:bottom w:w="100" w:type="dxa"/>
              <w:end w:w="120" w:type="dxa"/>
            </w:tcMar>
          </w:tcPr>
          <w:p>
            <w:pPr>
              <w:spacing w:after="0"/>
            </w:pPr>
            <w:r>
              <w:t>Not accepted yet</w:t>
            </w:r>
          </w:p>
        </w:tc>
        <w:tc>
          <w:tcPr>
            <w:tcW w:type="dxa" w:w="3331"/>
            <w:vAlign w:val="center"/>
            <w:tcMar>
              <w:top w:w="100" w:type="dxa"/>
              <w:start w:w="120" w:type="dxa"/>
              <w:bottom w:w="100" w:type="dxa"/>
              <w:end w:w="120" w:type="dxa"/>
            </w:tcMar>
          </w:tcPr>
          <w:p>
            <w:pPr>
              <w:spacing w:after="0"/>
            </w:pPr>
            <w:r>
              <w:t>Staging plus role-based rehearsal, device acceptance, and agreed pilot scope.</w:t>
            </w:r>
          </w:p>
        </w:tc>
      </w:tr>
      <w:tr>
        <w:tc>
          <w:tcPr>
            <w:tcW w:type="dxa" w:w="3331"/>
            <w:vAlign w:val="center"/>
            <w:tcMar>
              <w:top w:w="100" w:type="dxa"/>
              <w:start w:w="120" w:type="dxa"/>
              <w:bottom w:w="100" w:type="dxa"/>
              <w:end w:w="120" w:type="dxa"/>
            </w:tcMar>
            <w:shd w:fill="F4F7FA"/>
          </w:tcPr>
          <w:p>
            <w:pPr>
              <w:spacing w:after="0"/>
            </w:pPr>
            <w:r>
              <w:t>Production / institutional service</w:t>
            </w:r>
          </w:p>
        </w:tc>
        <w:tc>
          <w:tcPr>
            <w:tcW w:type="dxa" w:w="3331"/>
            <w:vAlign w:val="center"/>
            <w:tcMar>
              <w:top w:w="100" w:type="dxa"/>
              <w:start w:w="120" w:type="dxa"/>
              <w:bottom w:w="100" w:type="dxa"/>
              <w:end w:w="120" w:type="dxa"/>
            </w:tcMar>
            <w:shd w:fill="F4F7FA"/>
          </w:tcPr>
          <w:p>
            <w:pPr>
              <w:spacing w:after="0"/>
            </w:pPr>
            <w:r>
              <w:t>Not production-certified</w:t>
            </w:r>
          </w:p>
        </w:tc>
        <w:tc>
          <w:tcPr>
            <w:tcW w:type="dxa" w:w="3331"/>
            <w:vAlign w:val="center"/>
            <w:tcMar>
              <w:top w:w="100" w:type="dxa"/>
              <w:start w:w="120" w:type="dxa"/>
              <w:bottom w:w="100" w:type="dxa"/>
              <w:end w:w="120" w:type="dxa"/>
            </w:tcMar>
            <w:shd w:fill="F4F7FA"/>
          </w:tcPr>
          <w:p>
            <w:pPr>
              <w:spacing w:after="0"/>
            </w:pPr>
            <w:r>
              <w:t>Separate security, legal/privacy, availability, recovery, and support gates.</w:t>
            </w:r>
          </w:p>
        </w:tc>
      </w:tr>
    </w:tbl>
    <w:p>
      <w:pPr>
        <w:pStyle w:val="Heading1"/>
      </w:pPr>
      <w:r>
        <w:t>What is already in place</w:t>
      </w:r>
    </w:p>
    <w:p>
      <w:pPr>
        <w:pStyle w:val="ListBullet"/>
        <w:spacing w:after="60"/>
      </w:pPr>
      <w:r>
        <w:t>Role-scoped authentication and account management, custody/QR workflows, hearing and review screens, execution/document prototypes, and a consent-gated WhatsApp adapter are implemented in code.</w:t>
      </w:r>
    </w:p>
    <w:p>
      <w:pPr>
        <w:pStyle w:val="ListBullet"/>
        <w:spacing w:after="60"/>
      </w:pPr>
      <w:r>
        <w:t>Local frontend, viewport, and backend test suites pass. The viewport tests do not replace real-device acceptance.</w:t>
      </w:r>
    </w:p>
    <w:p>
      <w:pPr>
        <w:pStyle w:val="ListBullet"/>
        <w:spacing w:after="60"/>
      </w:pPr>
      <w:r>
        <w:t>The container definition and health check exist, but the image has not been built. A paid single-instance SQLite host is the current low-change approach; the hosting comparison estimates about $7.50/month for a small Render service plus 2 GB disk, before extras. Recheck provider pricing and Abuja latency before choosing.</w:t>
      </w:r>
    </w:p>
    <w:p>
      <w:pPr>
        <w:pStyle w:val="ListBullet"/>
        <w:spacing w:after="60"/>
      </w:pPr>
      <w:r>
        <w:t>The latest GitHub Actions attempt was blocked before test steps because the GitHub account is locked due to a billing issue. This is not a failed code test; remote CI remains unverified.</w:t>
      </w:r>
    </w:p>
    <w:p>
      <w:pPr>
        <w:pStyle w:val="Heading1"/>
      </w:pPr>
      <w:r>
        <w:t>1. Before hosting a controlled demo (fictional data)</w:t>
      </w:r>
    </w:p>
    <w:p>
      <w:pPr>
        <w:spacing w:after="80"/>
        <w:ind w:left="317" w:hanging="288"/>
      </w:pPr>
      <w:r>
        <w:rPr>
          <w:rFonts w:ascii="Arial" w:hAnsi="Arial"/>
          <w:b/>
          <w:color w:val="00A884"/>
        </w:rPr>
        <w:t xml:space="preserve">☐  </w:t>
      </w:r>
      <w:r>
        <w:t>Select the provider, region, domain, and deployment owner. The existing comparison recommends a paid persistent-disk setup for SQLite; ephemeral/free storage is not suitable for durable app state.</w:t>
      </w:r>
    </w:p>
    <w:p>
      <w:pPr>
        <w:spacing w:after="80"/>
        <w:ind w:left="317" w:hanging="288"/>
      </w:pPr>
      <w:r>
        <w:rPr>
          <w:rFonts w:ascii="Arial" w:hAnsi="Arial"/>
          <w:b/>
          <w:color w:val="00A884"/>
        </w:rPr>
        <w:t xml:space="preserve">☐  </w:t>
      </w:r>
      <w:r>
        <w:t>Build and run the Docker image from a clean checkout; resolve the GitHub billing lock and get backend, frontend, and dependency-audit jobs running remotely.</w:t>
      </w:r>
    </w:p>
    <w:p>
      <w:pPr>
        <w:spacing w:after="80"/>
        <w:ind w:left="317" w:hanging="288"/>
      </w:pPr>
      <w:r>
        <w:rPr>
          <w:rFonts w:ascii="Arial" w:hAnsi="Arial"/>
          <w:b/>
          <w:color w:val="00A884"/>
        </w:rPr>
        <w:t xml:space="preserve">☐  </w:t>
      </w:r>
      <w:r>
        <w:t>Configure HTTPS, secure cookies, health checks, environment secrets, and trusted reverse-proxy/client-address handling.</w:t>
      </w:r>
    </w:p>
    <w:p>
      <w:pPr>
        <w:spacing w:after="80"/>
        <w:ind w:left="317" w:hanging="288"/>
      </w:pPr>
      <w:r>
        <w:rPr>
          <w:rFonts w:ascii="Arial" w:hAnsi="Arial"/>
          <w:b/>
          <w:color w:val="00A884"/>
        </w:rPr>
        <w:t xml:space="preserve">☐  </w:t>
      </w:r>
      <w:r>
        <w:t>Use a fresh fictional-data database on persistent storage. Keep the SQLite database and stable JWT keys on the persistent volume or managed secrets; never deploy the tracked repository database.</w:t>
      </w:r>
    </w:p>
    <w:p>
      <w:pPr>
        <w:spacing w:after="80"/>
        <w:ind w:left="317" w:hanging="288"/>
      </w:pPr>
      <w:r>
        <w:rPr>
          <w:rFonts w:ascii="Arial" w:hAnsi="Arial"/>
          <w:b/>
          <w:color w:val="00A884"/>
        </w:rPr>
        <w:t xml:space="preserve">☐  </w:t>
      </w:r>
      <w:r>
        <w:t>Keep demo mode off in hosted staging. Bootstrap one Chief Registrar through secret variables, change the bootstrap password at first login, remove bootstrap secrets, and create separate test accounts through User Management.</w:t>
      </w:r>
    </w:p>
    <w:p>
      <w:pPr>
        <w:spacing w:after="80"/>
        <w:ind w:left="317" w:hanging="288"/>
      </w:pPr>
      <w:r>
        <w:rPr>
          <w:rFonts w:ascii="Arial" w:hAnsi="Arial"/>
          <w:b/>
          <w:color w:val="00A884"/>
        </w:rPr>
        <w:t xml:space="preserve">☐  </w:t>
      </w:r>
      <w:r>
        <w:t>Verify restart/redeploy persistence, scheduled jobs, logs, monitoring, expected memory/response time, and that secrets or party data do not enter logs.</w:t>
      </w:r>
    </w:p>
    <w:p>
      <w:pPr>
        <w:spacing w:after="80"/>
        <w:ind w:left="317" w:hanging="288"/>
      </w:pPr>
      <w:r>
        <w:rPr>
          <w:rFonts w:ascii="Arial" w:hAnsi="Arial"/>
          <w:b/>
          <w:color w:val="00A884"/>
        </w:rPr>
        <w:t xml:space="preserve">☐  </w:t>
      </w:r>
      <w:r>
        <w:t>Create an off-host backup and complete a restore and rollback rehearsal against a separate staging copy before using the environment for a pilot.</w:t>
      </w:r>
    </w:p>
    <w:p>
      <w:pPr>
        <w:pStyle w:val="Heading1"/>
      </w:pPr>
      <w:r>
        <w:t>2. Before calling the pilot usable</w:t>
      </w:r>
    </w:p>
    <w:p>
      <w:pPr>
        <w:spacing w:after="80"/>
        <w:ind w:left="317" w:hanging="288"/>
      </w:pPr>
      <w:r>
        <w:rPr>
          <w:rFonts w:ascii="Arial" w:hAnsi="Arial"/>
          <w:b/>
          <w:color w:val="00A884"/>
        </w:rPr>
        <w:t xml:space="preserve">☐  </w:t>
      </w:r>
      <w:r>
        <w:t>Rehearse the whole workflow with every role: file registration → assignment/custody → hearing and DCR review → judgment → execution → reports/exports. Check permissions, error/empty/loading states, search, keyboard access, and accessibility/zoom.</w:t>
      </w:r>
    </w:p>
    <w:p>
      <w:pPr>
        <w:spacing w:after="80"/>
        <w:ind w:left="317" w:hanging="288"/>
      </w:pPr>
      <w:r>
        <w:rPr>
          <w:rFonts w:ascii="Arial" w:hAnsi="Arial"/>
          <w:b/>
          <w:color w:val="00A884"/>
        </w:rPr>
        <w:t xml:space="preserve">☐  </w:t>
      </w:r>
      <w:r>
        <w:t>Complete physical acceptance on the intended phone/browser/printer/scanner: PWA install, HTTPS, camera permission/focus, QR label printing and scans, manual fallback, network loss, and recovery. Custody scans are not queued offline.</w:t>
      </w:r>
    </w:p>
    <w:p>
      <w:pPr>
        <w:spacing w:after="80"/>
        <w:ind w:left="317" w:hanging="288"/>
      </w:pPr>
      <w:r>
        <w:rPr>
          <w:rFonts w:ascii="Arial" w:hAnsi="Arial"/>
          <w:b/>
          <w:color w:val="00A884"/>
        </w:rPr>
        <w:t xml:space="preserve">☐  </w:t>
      </w:r>
      <w:r>
        <w:t>Have the Law Lead/registry confirm hearing policy, exception authority, execution lifecycle, jurisdiction, and all four forms before presenting them as legally approved. Until signed off, preserve the rules and label prototype behavior/draft forms honestly.</w:t>
      </w:r>
    </w:p>
    <w:p>
      <w:pPr>
        <w:spacing w:after="80"/>
        <w:ind w:left="317" w:hanging="288"/>
      </w:pPr>
      <w:r>
        <w:rPr>
          <w:rFonts w:ascii="Arial" w:hAnsi="Arial"/>
          <w:b/>
          <w:color w:val="00A884"/>
        </w:rPr>
        <w:t xml:space="preserve">☐  </w:t>
      </w:r>
      <w:r>
        <w:t>Agree pilot scope, roles, courts, devices, network, support contact, named technical/legal/stakeholder owners, staff guides, feedback channel, issue triage, and incident contacts.</w:t>
      </w:r>
    </w:p>
    <w:p>
      <w:pPr>
        <w:spacing w:after="80"/>
        <w:ind w:left="317" w:hanging="288"/>
      </w:pPr>
      <w:r>
        <w:rPr>
          <w:rFonts w:ascii="Arial" w:hAnsi="Arial"/>
          <w:b/>
          <w:color w:val="00A884"/>
        </w:rPr>
        <w:t xml:space="preserve">☐  </w:t>
      </w:r>
      <w:r>
        <w:t>Use fictional data by default. Before real case or party records are used, document specific written permission plus privacy, access, retention, and incident arrangements.</w:t>
      </w:r>
    </w:p>
    <w:p>
      <w:pPr>
        <w:spacing w:after="80"/>
        <w:ind w:left="317" w:hanging="288"/>
      </w:pPr>
      <w:r>
        <w:rPr>
          <w:rFonts w:ascii="Arial" w:hAnsi="Arial"/>
          <w:b/>
          <w:color w:val="00A884"/>
        </w:rPr>
        <w:t xml:space="preserve">☐  </w:t>
      </w:r>
      <w:r>
        <w:t>Run a full staff rehearsal and record a technical/legal/pilot go/no-go; unresolved critical security or correctness defects mean no live-data pilot.</w:t>
      </w:r>
    </w:p>
    <w:p>
      <w:pPr>
        <w:pStyle w:val="Heading1"/>
      </w:pPr>
      <w:r>
        <w:t>3. Keep external features truthful</w:t>
      </w:r>
    </w:p>
    <w:p>
      <w:pPr>
        <w:pStyle w:val="Heading2"/>
      </w:pPr>
      <w:r>
        <w:t>WhatsApp</w:t>
      </w:r>
    </w:p>
    <w:p>
      <w:pPr>
        <w:pStyle w:val="ListBullet"/>
        <w:spacing w:after="60"/>
      </w:pPr>
      <w:r>
        <w:t>The adapter is implemented but disabled and not live-tested. For genuine sending, configure the Meta business account and server secrets, obtain an approved template, use a public HTTPS webhook, record the recipient’s actual opt-in, then test callbacks, delivery states, STOP/opt-out, ambiguous failures, and recovery. These are provider requirements, not government approval requirements.</w:t>
      </w:r>
    </w:p>
    <w:p>
      <w:pPr>
        <w:pStyle w:val="ListBullet"/>
        <w:spacing w:after="60"/>
      </w:pPr>
      <w:r>
        <w:t>If those prerequisites are not ready, keep sending disabled or show a clearly labeled simulation; never imply that a queued/accepted request was delivered.</w:t>
      </w:r>
    </w:p>
    <w:p>
      <w:pPr>
        <w:pStyle w:val="Heading2"/>
      </w:pPr>
      <w:r>
        <w:t>AI / delay-risk scores</w:t>
      </w:r>
    </w:p>
    <w:p>
      <w:pPr>
        <w:pStyle w:val="ListBullet"/>
        <w:spacing w:after="60"/>
      </w:pPr>
      <w:r>
        <w:t>Data provenance and independent real-world validation remain open. Until authorised data, leakage-resistant evaluation, calibration/performance evidence, and human oversight exist, identify predictions as experimental and do not use them as legal findings or claim validated accuracy.</w:t>
      </w:r>
    </w:p>
    <w:p>
      <w:pPr>
        <w:pStyle w:val="Heading1"/>
      </w:pPr>
      <w:r>
        <w:t>4. Additional gates for production or institutional use</w:t>
      </w:r>
    </w:p>
    <w:p>
      <w:pPr>
        <w:spacing w:after="80"/>
        <w:ind w:left="317" w:hanging="288"/>
      </w:pPr>
      <w:r>
        <w:rPr>
          <w:rFonts w:ascii="Arial" w:hAnsi="Arial"/>
          <w:b/>
          <w:color w:val="00A884"/>
        </w:rPr>
        <w:t xml:space="preserve">☐  </w:t>
      </w:r>
      <w:r>
        <w:t>Close remaining request/schema review and correct client-address handling behind the selected reverse proxy; triage dependency/security scanner findings.</w:t>
      </w:r>
    </w:p>
    <w:p>
      <w:pPr>
        <w:spacing w:after="80"/>
        <w:ind w:left="317" w:hanging="288"/>
      </w:pPr>
      <w:r>
        <w:rPr>
          <w:rFonts w:ascii="Arial" w:hAnsi="Arial"/>
          <w:b/>
          <w:color w:val="00A884"/>
        </w:rPr>
        <w:t xml:space="preserve">☐  </w:t>
      </w:r>
      <w:r>
        <w:t>Make business changes and audit writes atomic; add protected off-host audit retention. SQLite triggers alone are not a tamper-proof external log.</w:t>
      </w:r>
    </w:p>
    <w:p>
      <w:pPr>
        <w:spacing w:after="80"/>
        <w:ind w:left="317" w:hanging="288"/>
      </w:pPr>
      <w:r>
        <w:rPr>
          <w:rFonts w:ascii="Arial" w:hAnsi="Arial"/>
          <w:b/>
          <w:color w:val="00A884"/>
        </w:rPr>
        <w:t xml:space="preserve">☐  </w:t>
      </w:r>
      <w:r>
        <w:t>Complete an independent security review, privileged-user MFA, incident response, disaster recovery, retention/access policies, and qualified privacy/compliance review appropriate to the actual service.</w:t>
      </w:r>
    </w:p>
    <w:p>
      <w:pPr>
        <w:spacing w:after="80"/>
        <w:ind w:left="317" w:hanging="288"/>
      </w:pPr>
      <w:r>
        <w:rPr>
          <w:rFonts w:ascii="Arial" w:hAnsi="Arial"/>
          <w:b/>
          <w:color w:val="00A884"/>
        </w:rPr>
        <w:t xml:space="preserve">☐  </w:t>
      </w:r>
      <w:r>
        <w:t>Define availability/support commitments, ownership, budget, monitoring and long-term maintenance. Revisit PostgreSQL or another architecture before multi-instance/high-availability operation.</w:t>
      </w:r>
    </w:p>
    <w:tbl>
      <w:tblPr>
        <w:tblW w:type="auto" w:w="0"/>
        <w:jc w:val="center"/>
        <w:tblLook w:firstColumn="1" w:firstRow="1" w:lastColumn="0" w:lastRow="0" w:noHBand="0" w:noVBand="1" w:val="04A0"/>
      </w:tblPr>
      <w:tblGrid>
        <w:gridCol w:w="9994"/>
      </w:tblGrid>
      <w:tr>
        <w:tc>
          <w:tcPr>
            <w:tcW w:type="dxa" w:w="9994"/>
            <w:shd w:fill="EAF7F4"/>
            <w:tcMar>
              <w:top w:w="160" w:type="dxa"/>
              <w:start w:w="200" w:type="dxa"/>
              <w:bottom w:w="160" w:type="dxa"/>
              <w:end w:w="200" w:type="dxa"/>
            </w:tcMar>
          </w:tcPr>
          <w:p>
            <w:pPr>
              <w:spacing w:after="60"/>
            </w:pPr>
            <w:r>
              <w:rPr>
                <w:b/>
                <w:color w:val="0B1730"/>
              </w:rPr>
              <w:t>Approval boundary</w:t>
            </w:r>
          </w:p>
          <w:p>
            <w:pPr>
              <w:spacing w:after="0"/>
            </w:pPr>
            <w:r>
              <w:rPr>
                <w:color w:val="526174"/>
              </w:rPr>
              <w:t>Government approval is not a prerequisite for continued feature development or a synthetic-data competition rehearsal. Real court records and institutional use are separate permission and review questions. Do not change legal rules without Law Lead sign-off.</w:t>
            </w:r>
          </w:p>
        </w:tc>
      </w:tr>
    </w:tbl>
    <w:p>
      <w:pPr>
        <w:spacing w:after="20"/>
      </w:pPr>
    </w:p>
    <w:p>
      <w:pPr>
        <w:pStyle w:val="Heading1"/>
      </w:pPr>
      <w:r>
        <w:t>Recommended immediate order</w:t>
      </w:r>
    </w:p>
    <w:p>
      <w:pPr>
        <w:spacing w:after="80"/>
        <w:ind w:left="403" w:hanging="317"/>
      </w:pPr>
      <w:r>
        <w:rPr>
          <w:b/>
          <w:color w:val="00A884"/>
        </w:rPr>
        <w:t xml:space="preserve">1. </w:t>
      </w:r>
      <w:r>
        <w:t>Resolve the GitHub billing lock and verify CI; build the Docker image locally/from a clean checkout.</w:t>
      </w:r>
    </w:p>
    <w:p>
      <w:pPr>
        <w:spacing w:after="80"/>
        <w:ind w:left="403" w:hanging="317"/>
      </w:pPr>
      <w:r>
        <w:rPr>
          <w:b/>
          <w:color w:val="00A884"/>
        </w:rPr>
        <w:t xml:space="preserve">2. </w:t>
      </w:r>
      <w:r>
        <w:t>Select the host and create HTTPS staging with durable SQLite/JWT storage and a bootstrap Chief Registrar.</w:t>
      </w:r>
    </w:p>
    <w:p>
      <w:pPr>
        <w:spacing w:after="80"/>
        <w:ind w:left="403" w:hanging="317"/>
      </w:pPr>
      <w:r>
        <w:rPr>
          <w:b/>
          <w:color w:val="00A884"/>
        </w:rPr>
        <w:t xml:space="preserve">3. </w:t>
      </w:r>
      <w:r>
        <w:t>Test restart/redeploy persistence, monitoring, backup, restore, and rollback using fictional records.</w:t>
      </w:r>
    </w:p>
    <w:p>
      <w:pPr>
        <w:spacing w:after="80"/>
        <w:ind w:left="403" w:hanging="317"/>
      </w:pPr>
      <w:r>
        <w:rPr>
          <w:b/>
          <w:color w:val="00A884"/>
        </w:rPr>
        <w:t xml:space="preserve">4. </w:t>
      </w:r>
      <w:r>
        <w:t>Complete all-role workflow rehearsal and physical PWA/QR/printer acceptance; record the go/no-go.</w:t>
      </w:r>
    </w:p>
    <w:p>
      <w:pPr>
        <w:spacing w:after="80"/>
        <w:ind w:left="403" w:hanging="317"/>
      </w:pPr>
      <w:r>
        <w:rPr>
          <w:b/>
          <w:color w:val="00A884"/>
        </w:rPr>
        <w:t xml:space="preserve">5. </w:t>
      </w:r>
      <w:r>
        <w:t>Keep WhatsApp disabled or simulated and AI experimental unless their separate acceptance gates are met.</w:t>
      </w:r>
    </w:p>
    <w:tbl>
      <w:tblPr>
        <w:tblW w:type="auto" w:w="0"/>
        <w:jc w:val="center"/>
        <w:tblLook w:firstColumn="1" w:firstRow="1" w:lastColumn="0" w:lastRow="0" w:noHBand="0" w:noVBand="1" w:val="04A0"/>
      </w:tblPr>
      <w:tblGrid>
        <w:gridCol w:w="9994"/>
      </w:tblGrid>
      <w:tr>
        <w:tc>
          <w:tcPr>
            <w:tcW w:type="dxa" w:w="9994"/>
            <w:shd w:fill="F1F4F8"/>
            <w:tcMar>
              <w:top w:w="160" w:type="dxa"/>
              <w:start w:w="200" w:type="dxa"/>
              <w:bottom w:w="160" w:type="dxa"/>
              <w:end w:w="200" w:type="dxa"/>
            </w:tcMar>
          </w:tcPr>
          <w:p>
            <w:pPr>
              <w:spacing w:after="60"/>
            </w:pPr>
            <w:r>
              <w:rPr>
                <w:b/>
                <w:color w:val="0B1730"/>
              </w:rPr>
              <w:t>Schedule targets (not readiness claims)</w:t>
            </w:r>
          </w:p>
          <w:p>
            <w:pPr>
              <w:spacing w:after="0"/>
            </w:pPr>
            <w:r>
              <w:rPr>
                <w:color w:val="526174"/>
              </w:rPr>
              <w:t>The project plan targets a pilot-ready candidate on 16 October 2026, pilot rehearsal on 17–20 October, the pilot on 21 October, and the competition showcase on 5 November. From the 3 October review date, those are 13, 18, and 33 calendar days away for the candidate, pilot, and showcase respectively.</w:t>
            </w:r>
          </w:p>
        </w:tc>
      </w:tr>
    </w:tbl>
    <w:p>
      <w:pPr>
        <w:spacing w:after="20"/>
      </w:pPr>
    </w:p>
    <w:p>
      <w:pPr>
        <w:spacing w:before="160"/>
      </w:pPr>
      <w:r>
        <w:rPr>
          <w:b/>
        </w:rPr>
        <w:t xml:space="preserve">Project references: </w:t>
      </w:r>
      <w:r>
        <w:t>STATUS.md · COURTLOG_COMPLETION_PLAN.md · README.md · docs/HOSTING_COMPARISON_2026-10-01.md</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174"/>
        <w:sz w:val="16"/>
      </w:rPr>
      <w:t xml:space="preserve">Competition-team prototype  •  Reviewed 3 October 2026                                      </w:t>
    </w: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00A884"/>
        <w:sz w:val="16"/>
      </w:rPr>
      <w:t>COURTLOG  |  DEPLOYMENT READINESS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0B173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B173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0A884"/>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B173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B17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