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유스케이스 다이어그램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요구사항 정의서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DB 테이블 정의서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유스케이스 다이어그램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요구사항 정의서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 DB 테이블 정의서 - 테이블 정규화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SncpSX5hJ4ogN1seJIpvbcy6hw==">AMUW2mVu+WfkZXyi7ZJTanacnqn2eqIHP1iC1PrZEofv6w0I2DeJSDXddyqwXOlxJmEL5jljmyClcV3mcJLorlRG/CDBaut9x18jHxuKPmSex844KwJUQK8=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