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P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bookmarkStart w:id="0" w:name="_GoBack"/>
      <w:bookmarkEnd w:id="0"/>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w:t>
      </w:r>
      <w:proofErr w:type="spellStart"/>
      <w:r w:rsidRPr="00731E9E">
        <w:rPr>
          <w:i/>
        </w:rPr>
        <w:t>elif</w:t>
      </w:r>
      <w:proofErr w:type="spellEnd"/>
      <w:r w:rsidRPr="00731E9E">
        <w:rPr>
          <w:i/>
        </w:rPr>
        <w:t>, else]</w:t>
      </w:r>
      <w:r>
        <w:tab/>
        <w:t>Tests a condition for truth</w:t>
      </w:r>
      <w:r w:rsidR="002E295C">
        <w:t xml:space="preserve">iness. </w:t>
      </w:r>
      <w:r w:rsidR="002E295C">
        <w:rPr>
          <w:i/>
        </w:rPr>
        <w:t>then</w:t>
      </w:r>
      <w:r w:rsidR="002E295C">
        <w:t xml:space="preserve"> is not explicit; indented lines of code beneath the </w:t>
      </w:r>
      <w:r w:rsidR="002E295C">
        <w:rPr>
          <w:b/>
        </w:rPr>
        <w:t>if/</w:t>
      </w:r>
      <w:proofErr w:type="spellStart"/>
      <w:r w:rsidR="002E295C">
        <w:rPr>
          <w:b/>
        </w:rPr>
        <w:t>elif</w:t>
      </w:r>
      <w:proofErr w:type="spellEnd"/>
      <w:r w:rsidR="002E295C">
        <w:t xml:space="preserve"> conditional statement are run as the </w:t>
      </w:r>
      <w:r w:rsidR="002E295C">
        <w:rPr>
          <w:i/>
        </w:rPr>
        <w:t>then</w:t>
      </w:r>
      <w:r w:rsidR="002E295C">
        <w:t xml:space="preserve"> of the condition. </w:t>
      </w:r>
      <w:proofErr w:type="spellStart"/>
      <w:r w:rsidR="002E295C">
        <w:t>e</w:t>
      </w:r>
      <w:r w:rsidR="002E295C">
        <w:rPr>
          <w:i/>
        </w:rPr>
        <w:t>lif</w:t>
      </w:r>
      <w:proofErr w:type="spellEnd"/>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w:t>
      </w:r>
      <w:proofErr w:type="spellStart"/>
      <w:r w:rsidR="00CA57CD">
        <w:rPr>
          <w:b/>
        </w:rPr>
        <w:t>i</w:t>
      </w:r>
      <w:proofErr w:type="spellEnd"/>
      <w:r w:rsidR="00CA57CD">
        <w:rPr>
          <w:b/>
        </w:rPr>
        <w:t>, j)</w:t>
      </w:r>
      <w:r w:rsidR="00CA57CD">
        <w:t xml:space="preserve"> returns [</w:t>
      </w:r>
      <w:proofErr w:type="spellStart"/>
      <w:r w:rsidR="00CA57CD">
        <w:t>i</w:t>
      </w:r>
      <w:proofErr w:type="spellEnd"/>
      <w:r w:rsidR="00CA57CD">
        <w:t>, i+1, i+2, …, j-1]. s</w:t>
      </w:r>
      <w:r w:rsidR="00CA57CD">
        <w:rPr>
          <w:i/>
        </w:rPr>
        <w:t>tart</w:t>
      </w:r>
      <w:r w:rsidR="00CA57CD">
        <w:t xml:space="preserve"> defaults to zero. When </w:t>
      </w:r>
      <w:r w:rsidR="00CA57CD">
        <w:rPr>
          <w:i/>
        </w:rPr>
        <w:t>step</w:t>
      </w:r>
      <w:r w:rsidR="00CA57CD">
        <w:t xml:space="preserve"> is given, it specifies the increment/decrement.</w:t>
      </w:r>
    </w:p>
    <w:p w14:paraId="1B6280FA" w14:textId="77777777" w:rsidR="00134CE0" w:rsidRDefault="00134CE0" w:rsidP="009B5777">
      <w:pPr>
        <w:ind w:left="2880" w:hanging="2880"/>
      </w:pPr>
    </w:p>
    <w:p w14:paraId="6D46E1A5" w14:textId="2BC8FB94" w:rsidR="00DB6EF5" w:rsidRPr="00DB6EF5" w:rsidRDefault="001B440E" w:rsidP="00DB6EF5">
      <w:pPr>
        <w:ind w:left="2880" w:hanging="2880"/>
        <w:rPr>
          <w:color w:val="000000" w:themeColor="text1"/>
        </w:rPr>
      </w:pPr>
      <w:r>
        <w:rPr>
          <w:i/>
        </w:rPr>
        <w:t>W</w:t>
      </w:r>
      <w:r w:rsidR="00BA046A">
        <w:rPr>
          <w:i/>
        </w:rPr>
        <w:t>hile</w:t>
      </w:r>
      <w:r>
        <w:tab/>
        <w:t xml:space="preserve">Test the statement that follows, like an </w:t>
      </w:r>
      <w:r>
        <w:rPr>
          <w:b/>
        </w:rPr>
        <w:t>if</w:t>
      </w:r>
      <w:r>
        <w:t xml:space="preserve">-statement, but instead of running the block of code once, jump back to the “top” (where the </w:t>
      </w:r>
      <w:r>
        <w:rPr>
          <w:b/>
        </w:rPr>
        <w:t>while</w:t>
      </w:r>
      <w:r>
        <w:t xml:space="preserve"> is) and repeat as long as the condition is True. When the condition is False, the </w:t>
      </w:r>
      <w:r>
        <w:rPr>
          <w:b/>
        </w:rPr>
        <w:t>while</w:t>
      </w:r>
      <w:r>
        <w:t>-loop “fails” (</w:t>
      </w:r>
      <w:r>
        <w:rPr>
          <w:i/>
        </w:rPr>
        <w:t>i.e.</w:t>
      </w:r>
      <w:r>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217BF2"/>
    <w:rsid w:val="002E295C"/>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A0898"/>
    <w:rsid w:val="006E2BA1"/>
    <w:rsid w:val="0072416A"/>
    <w:rsid w:val="00731E9E"/>
    <w:rsid w:val="007E2C40"/>
    <w:rsid w:val="007F09AA"/>
    <w:rsid w:val="008440D1"/>
    <w:rsid w:val="008977C7"/>
    <w:rsid w:val="008A4A70"/>
    <w:rsid w:val="008E2DFE"/>
    <w:rsid w:val="008E5A58"/>
    <w:rsid w:val="008F1860"/>
    <w:rsid w:val="009350FB"/>
    <w:rsid w:val="009B5777"/>
    <w:rsid w:val="009E2D73"/>
    <w:rsid w:val="00AE0ECE"/>
    <w:rsid w:val="00B23703"/>
    <w:rsid w:val="00B51E20"/>
    <w:rsid w:val="00B744CF"/>
    <w:rsid w:val="00BA046A"/>
    <w:rsid w:val="00BE07E3"/>
    <w:rsid w:val="00C07165"/>
    <w:rsid w:val="00C235CF"/>
    <w:rsid w:val="00C62B7B"/>
    <w:rsid w:val="00CA57CD"/>
    <w:rsid w:val="00CE355E"/>
    <w:rsid w:val="00D03449"/>
    <w:rsid w:val="00D77308"/>
    <w:rsid w:val="00D81ADC"/>
    <w:rsid w:val="00DB6EF5"/>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8734C-075E-E140-B172-58897840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1515</Words>
  <Characters>8641</Characters>
  <Application>Microsoft Macintosh Word</Application>
  <DocSecurity>0</DocSecurity>
  <Lines>72</Lines>
  <Paragraphs>20</Paragraphs>
  <ScaleCrop>false</ScaleCrop>
  <Company>DmgCtrl</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34</cp:revision>
  <dcterms:created xsi:type="dcterms:W3CDTF">2013-04-23T13:22:00Z</dcterms:created>
  <dcterms:modified xsi:type="dcterms:W3CDTF">2013-04-25T14:01:00Z</dcterms:modified>
</cp:coreProperties>
</file>