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305EC1E0" w:rsidR="003625C8" w:rsidRPr="003625C8" w:rsidRDefault="003625C8" w:rsidP="00134CE0">
      <w:pPr>
        <w:ind w:left="2880" w:hanging="2880"/>
      </w:pPr>
      <w:r>
        <w:rPr>
          <w:i/>
        </w:rPr>
        <w:t>Class</w:t>
      </w:r>
      <w:r>
        <w:tab/>
        <w:t xml:space="preserve">An executable statement/block-of-code. </w:t>
      </w:r>
      <w:r w:rsidR="00C4691B">
        <w:t xml:space="preserve">One can think of a class as a “dictionary with functions.” </w:t>
      </w:r>
      <w:r>
        <w:t xml:space="preserve">Full information is available </w:t>
      </w:r>
      <w:hyperlink r:id="rId8" w:anchor="class-definitions" w:history="1">
        <w:r w:rsidRPr="003625C8">
          <w:rPr>
            <w:rStyle w:val="Hyperlink"/>
          </w:rPr>
          <w:t>here</w:t>
        </w:r>
      </w:hyperlink>
      <w:r>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2848B6F3" w14:textId="77777777" w:rsidR="009C3600" w:rsidRDefault="009C3600" w:rsidP="008977C7">
      <w:pPr>
        <w:ind w:left="2880" w:hanging="2880"/>
      </w:pPr>
    </w:p>
    <w:p w14:paraId="089F450C" w14:textId="270CF62E" w:rsidR="009C3600" w:rsidRPr="00C95284" w:rsidRDefault="009C3600" w:rsidP="008977C7">
      <w:pPr>
        <w:ind w:left="2880" w:hanging="2880"/>
      </w:pPr>
      <w:r>
        <w:rPr>
          <w:i/>
        </w:rPr>
        <w:t>Dictionaries</w:t>
      </w:r>
      <w:r>
        <w:tab/>
        <w:t xml:space="preserve">It is best to think of a dictionary as an unordered set of </w:t>
      </w:r>
      <w:r>
        <w:rPr>
          <w:i/>
        </w:rPr>
        <w:t>key: value</w:t>
      </w:r>
      <w:r>
        <w:t xml:space="preserve"> pairs</w:t>
      </w:r>
      <w:r w:rsidR="00C95284">
        <w:t xml:space="preserve">, with the requirement that the keys are unique (within one dictionary). A pair of </w:t>
      </w:r>
      <w:r w:rsidR="00C95284">
        <w:lastRenderedPageBreak/>
        <w:t xml:space="preserve">braces creates an empty dictionary:{}. Placing a comma-separated list of </w:t>
      </w:r>
      <w:r w:rsidR="00C95284">
        <w:rPr>
          <w:i/>
        </w:rPr>
        <w:t>key: value</w:t>
      </w:r>
      <w:r w:rsidR="00C95284">
        <w:t xml:space="preserve"> pairs within the braces adds initial pairs to the dictionary; this is also the way dictionaries are written on output. A full discussion is </w:t>
      </w:r>
      <w:hyperlink r:id="rId9" w:anchor="dictionaries" w:history="1">
        <w:r w:rsidR="00C95284" w:rsidRPr="00C95284">
          <w:rPr>
            <w:rStyle w:val="Hyperlink"/>
          </w:rPr>
          <w:t>here</w:t>
        </w:r>
      </w:hyperlink>
      <w:r w:rsidR="00C95284">
        <w:t>.</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10"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1"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2"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3"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4"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5"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6"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7"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8"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9" w:anchor="compound-statements" w:history="1">
        <w:r w:rsidRPr="006C6935">
          <w:rPr>
            <w:rStyle w:val="Hyperlink"/>
          </w:rPr>
          <w:t>compound statement</w:t>
        </w:r>
      </w:hyperlink>
      <w:r>
        <w:t>:</w:t>
      </w:r>
    </w:p>
    <w:p w14:paraId="785E6B13" w14:textId="26B55F9B" w:rsidR="009C3600" w:rsidRDefault="006C6935" w:rsidP="009C3600">
      <w:pPr>
        <w:ind w:left="2880" w:hanging="2880"/>
      </w:pPr>
      <w:r>
        <w:tab/>
      </w:r>
      <w:r>
        <w:tab/>
      </w:r>
      <w:r w:rsidR="009C3600">
        <w:rPr>
          <w:b/>
        </w:rPr>
        <w:t>if test1 : if test2 : print x</w:t>
      </w:r>
    </w:p>
    <w:p w14:paraId="17218EC2" w14:textId="5AF1FCAD" w:rsidR="009C3600" w:rsidRPr="009C3600" w:rsidRDefault="009C3600" w:rsidP="009C3600">
      <w:pPr>
        <w:pStyle w:val="ListParagraph"/>
        <w:numPr>
          <w:ilvl w:val="0"/>
          <w:numId w:val="9"/>
        </w:numPr>
      </w:pPr>
      <w:r>
        <w:t xml:space="preserve">separates the </w:t>
      </w:r>
      <w:r>
        <w:rPr>
          <w:i/>
        </w:rPr>
        <w:t>key</w:t>
      </w:r>
      <w:r>
        <w:t xml:space="preserve"> from its corresponding </w:t>
      </w:r>
      <w:r>
        <w:rPr>
          <w:i/>
        </w:rPr>
        <w:t>value</w:t>
      </w:r>
      <w:r>
        <w:t xml:space="preserve"> in a dictionary</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20"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1"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2" w:history="1">
        <w:r w:rsidR="00217BF2" w:rsidRPr="00217BF2">
          <w:rPr>
            <w:rStyle w:val="Hyperlink"/>
          </w:rPr>
          <w:t>here</w:t>
        </w:r>
      </w:hyperlink>
      <w:r w:rsidR="00217BF2">
        <w:t xml:space="preserve"> or</w:t>
      </w:r>
      <w:r w:rsidR="003C7A1E">
        <w:t xml:space="preserve"> </w:t>
      </w:r>
      <w:hyperlink r:id="rId23"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4"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5"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BA68AE" w14:textId="214E89BE" w:rsidR="005A0103" w:rsidRDefault="005A0103">
      <w:r>
        <w:br w:type="page"/>
      </w:r>
    </w:p>
    <w:p w14:paraId="5D071025" w14:textId="5D92D7A7" w:rsidR="005A0103" w:rsidRDefault="005A0103" w:rsidP="005A0103">
      <w:pPr>
        <w:pStyle w:val="Title"/>
        <w:jc w:val="center"/>
      </w:pPr>
      <w:r>
        <w:t>Style Manual</w:t>
      </w:r>
    </w:p>
    <w:p w14:paraId="73033846" w14:textId="07F83D54" w:rsidR="005A0103" w:rsidRDefault="00676527" w:rsidP="00676527">
      <w:pPr>
        <w:pStyle w:val="Heading1"/>
      </w:pPr>
      <w:r>
        <w:t>Function Style</w:t>
      </w:r>
    </w:p>
    <w:p w14:paraId="43114105" w14:textId="77777777" w:rsidR="00676527" w:rsidRDefault="00676527" w:rsidP="00676527"/>
    <w:p w14:paraId="59557131" w14:textId="035B2624" w:rsidR="00676527" w:rsidRDefault="00676527" w:rsidP="00676527">
      <w:pPr>
        <w:pStyle w:val="ListParagraph"/>
        <w:numPr>
          <w:ilvl w:val="0"/>
          <w:numId w:val="16"/>
        </w:numPr>
      </w:pPr>
      <w:r>
        <w:t xml:space="preserve">Programmers call </w:t>
      </w:r>
      <w:r>
        <w:rPr>
          <w:i/>
        </w:rPr>
        <w:t>functions</w:t>
      </w:r>
      <w:r>
        <w:t xml:space="preserve"> that are part of classes </w:t>
      </w:r>
      <w:r>
        <w:rPr>
          <w:i/>
        </w:rPr>
        <w:t>modules</w:t>
      </w:r>
      <w:r>
        <w:t>.</w:t>
      </w:r>
    </w:p>
    <w:p w14:paraId="5B55BDB1" w14:textId="4F5CBC2C" w:rsidR="00676527" w:rsidRDefault="00676527" w:rsidP="00676527">
      <w:pPr>
        <w:pStyle w:val="ListParagraph"/>
        <w:numPr>
          <w:ilvl w:val="0"/>
          <w:numId w:val="16"/>
        </w:numPr>
      </w:pPr>
      <w:r>
        <w:t xml:space="preserve">When you work with classes, much of your time is spent talking about making the class “do things.” Instead of naming your functions after what the function does, name it as if it’s a command you are giving to the class. Same as </w:t>
      </w:r>
      <w:r>
        <w:rPr>
          <w:b/>
        </w:rPr>
        <w:t>pop</w:t>
      </w:r>
      <w:r>
        <w:t xml:space="preserve"> is saying, “Hey, list </w:t>
      </w:r>
      <w:r>
        <w:rPr>
          <w:b/>
        </w:rPr>
        <w:t>pop</w:t>
      </w:r>
      <w:r>
        <w:t xml:space="preserve"> this off.” It isn’t called </w:t>
      </w:r>
      <w:proofErr w:type="spellStart"/>
      <w:r>
        <w:rPr>
          <w:b/>
        </w:rPr>
        <w:t>remove_from_end_of_list</w:t>
      </w:r>
      <w:proofErr w:type="spellEnd"/>
      <w:r>
        <w:t xml:space="preserve"> because even though that’s what it does, that’s not a </w:t>
      </w:r>
      <w:r>
        <w:rPr>
          <w:i/>
        </w:rPr>
        <w:t>command</w:t>
      </w:r>
      <w:r>
        <w:t xml:space="preserve"> to a list.</w:t>
      </w:r>
    </w:p>
    <w:p w14:paraId="72D0CD31" w14:textId="4C74C723" w:rsidR="00676527" w:rsidRDefault="00676527" w:rsidP="00676527">
      <w:pPr>
        <w:pStyle w:val="ListParagraph"/>
        <w:numPr>
          <w:ilvl w:val="0"/>
          <w:numId w:val="16"/>
        </w:numPr>
      </w:pPr>
      <w:r>
        <w:t>Keep your functions small and simple. For some reason when people start learning classes, they forget this.</w:t>
      </w:r>
    </w:p>
    <w:p w14:paraId="0F806A25" w14:textId="77777777" w:rsidR="00676527" w:rsidRDefault="00676527" w:rsidP="00676527"/>
    <w:p w14:paraId="65CA1C03" w14:textId="4BDC7385" w:rsidR="00676527" w:rsidRDefault="00676527" w:rsidP="00676527">
      <w:pPr>
        <w:pStyle w:val="Heading1"/>
      </w:pPr>
      <w:r>
        <w:t>Class Style</w:t>
      </w:r>
    </w:p>
    <w:p w14:paraId="49D357CF" w14:textId="09B44B1C" w:rsidR="00676527" w:rsidRDefault="00676527" w:rsidP="00676527">
      <w:pPr>
        <w:pStyle w:val="ListParagraph"/>
        <w:numPr>
          <w:ilvl w:val="0"/>
          <w:numId w:val="17"/>
        </w:numPr>
      </w:pPr>
      <w:r>
        <w:t xml:space="preserve">Your class should use “camel case,” like </w:t>
      </w:r>
      <w:proofErr w:type="spellStart"/>
      <w:r>
        <w:rPr>
          <w:b/>
        </w:rPr>
        <w:t>SuperGoldFactory</w:t>
      </w:r>
      <w:proofErr w:type="spellEnd"/>
      <w:r>
        <w:t xml:space="preserve"> rather than </w:t>
      </w:r>
      <w:proofErr w:type="spellStart"/>
      <w:r>
        <w:rPr>
          <w:b/>
        </w:rPr>
        <w:t>super_gold_factory</w:t>
      </w:r>
      <w:proofErr w:type="spellEnd"/>
      <w:r>
        <w:t>.</w:t>
      </w:r>
    </w:p>
    <w:p w14:paraId="4548821C" w14:textId="6145E13D" w:rsidR="00676527" w:rsidRDefault="00676527" w:rsidP="00676527">
      <w:pPr>
        <w:pStyle w:val="ListParagraph"/>
        <w:numPr>
          <w:ilvl w:val="0"/>
          <w:numId w:val="17"/>
        </w:numPr>
      </w:pPr>
      <w:r>
        <w:t xml:space="preserve">Try not to do too much in your </w:t>
      </w:r>
      <w:r>
        <w:rPr>
          <w:b/>
        </w:rPr>
        <w:t>__</w:t>
      </w:r>
      <w:proofErr w:type="spellStart"/>
      <w:r>
        <w:rPr>
          <w:b/>
        </w:rPr>
        <w:t>init</w:t>
      </w:r>
      <w:proofErr w:type="spellEnd"/>
      <w:r>
        <w:rPr>
          <w:b/>
        </w:rPr>
        <w:t>__</w:t>
      </w:r>
      <w:r>
        <w:t xml:space="preserve"> functions. It makes them harder to use.</w:t>
      </w:r>
    </w:p>
    <w:p w14:paraId="16233F73" w14:textId="7F613A33" w:rsidR="00676527" w:rsidRDefault="00676527" w:rsidP="00676527">
      <w:pPr>
        <w:pStyle w:val="ListParagraph"/>
        <w:numPr>
          <w:ilvl w:val="0"/>
          <w:numId w:val="17"/>
        </w:numPr>
      </w:pPr>
      <w:r>
        <w:t>Your other functions should use “underscore format</w:t>
      </w:r>
      <w:r w:rsidR="00824D81">
        <w:t>,</w:t>
      </w:r>
      <w:r>
        <w:t>”</w:t>
      </w:r>
      <w:r w:rsidR="00824D81">
        <w:t xml:space="preserve"> so use </w:t>
      </w:r>
      <w:proofErr w:type="spellStart"/>
      <w:r w:rsidR="00824D81">
        <w:rPr>
          <w:b/>
        </w:rPr>
        <w:t>my_awesome_hair</w:t>
      </w:r>
      <w:proofErr w:type="spellEnd"/>
      <w:r w:rsidR="00824D81">
        <w:t xml:space="preserve"> and not </w:t>
      </w:r>
      <w:proofErr w:type="spellStart"/>
      <w:r w:rsidR="00824D81">
        <w:rPr>
          <w:b/>
        </w:rPr>
        <w:t>myawesomehair</w:t>
      </w:r>
      <w:proofErr w:type="spellEnd"/>
      <w:r w:rsidR="00824D81">
        <w:t xml:space="preserve"> or </w:t>
      </w:r>
      <w:proofErr w:type="spellStart"/>
      <w:r w:rsidR="00824D81">
        <w:rPr>
          <w:b/>
        </w:rPr>
        <w:t>MyAwesomeHair</w:t>
      </w:r>
      <w:proofErr w:type="spellEnd"/>
      <w:r w:rsidR="00824D81">
        <w:t>.</w:t>
      </w:r>
    </w:p>
    <w:p w14:paraId="1E2B54CF" w14:textId="21A5E7C7" w:rsidR="00824D81" w:rsidRDefault="00824D81" w:rsidP="00676527">
      <w:pPr>
        <w:pStyle w:val="ListParagraph"/>
        <w:numPr>
          <w:ilvl w:val="0"/>
          <w:numId w:val="17"/>
        </w:numPr>
      </w:pPr>
      <w:r>
        <w:t xml:space="preserve">Be consistent in how you organize your function arguments. If your class has to deal with users, dogs, and cats, keep that order throughout, unless it really doesn’t make sense. If you have one function that takes </w:t>
      </w:r>
      <w:r>
        <w:rPr>
          <w:b/>
        </w:rPr>
        <w:t>(dog, cat, user)</w:t>
      </w:r>
      <w:r>
        <w:t xml:space="preserve">, and the other takes </w:t>
      </w:r>
      <w:r>
        <w:rPr>
          <w:b/>
        </w:rPr>
        <w:t>(user, cat, dog)</w:t>
      </w:r>
      <w:r>
        <w:t>, it’ll be hard to use.</w:t>
      </w:r>
    </w:p>
    <w:p w14:paraId="194FB380" w14:textId="0E386CEA" w:rsidR="00824D81" w:rsidRDefault="00824D81" w:rsidP="00676527">
      <w:pPr>
        <w:pStyle w:val="ListParagraph"/>
        <w:numPr>
          <w:ilvl w:val="0"/>
          <w:numId w:val="17"/>
        </w:numPr>
      </w:pPr>
      <w:r>
        <w:t xml:space="preserve">Try not to use variables that come from the module of </w:t>
      </w:r>
      <w:proofErr w:type="spellStart"/>
      <w:r>
        <w:t>globals</w:t>
      </w:r>
      <w:proofErr w:type="spellEnd"/>
      <w:r>
        <w:t>. They should be fairly self-contained.</w:t>
      </w:r>
    </w:p>
    <w:p w14:paraId="74B9928F" w14:textId="549A8667" w:rsidR="00824D81" w:rsidRDefault="00824D81" w:rsidP="00676527">
      <w:pPr>
        <w:pStyle w:val="ListParagraph"/>
        <w:numPr>
          <w:ilvl w:val="0"/>
          <w:numId w:val="17"/>
        </w:numPr>
      </w:pPr>
      <w:r>
        <w:t>A foolish consistency is the hobgoblin of little minds. Consistency is good, but foolishly following some idiotic mantra “because everyone else does” is bad style. Think for yourself.</w:t>
      </w:r>
    </w:p>
    <w:p w14:paraId="2ADBFD8B" w14:textId="7FCA26C3" w:rsidR="00824D81" w:rsidRPr="00676527" w:rsidRDefault="00824D81" w:rsidP="00676527">
      <w:pPr>
        <w:pStyle w:val="ListParagraph"/>
        <w:numPr>
          <w:ilvl w:val="0"/>
          <w:numId w:val="17"/>
        </w:numPr>
      </w:pPr>
      <w:r>
        <w:t xml:space="preserve">Always, </w:t>
      </w:r>
      <w:r>
        <w:rPr>
          <w:b/>
          <w:i/>
        </w:rPr>
        <w:t>always</w:t>
      </w:r>
      <w:r>
        <w:t xml:space="preserve"> have </w:t>
      </w:r>
      <w:r>
        <w:rPr>
          <w:b/>
        </w:rPr>
        <w:t xml:space="preserve">class </w:t>
      </w:r>
      <w:proofErr w:type="spellStart"/>
      <w:r>
        <w:rPr>
          <w:b/>
        </w:rPr>
        <w:t>CamelStyleName</w:t>
      </w:r>
      <w:proofErr w:type="spellEnd"/>
      <w:r>
        <w:rPr>
          <w:b/>
        </w:rPr>
        <w:t>(object)</w:t>
      </w:r>
      <w:r>
        <w:t xml:space="preserve"> format, or else you will be in big trouble.</w:t>
      </w:r>
      <w:bookmarkStart w:id="0" w:name="_GoBack"/>
      <w:bookmarkEnd w:id="0"/>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50877DBE" w14:textId="77777777" w:rsidR="005A0103" w:rsidRDefault="005A0103" w:rsidP="005A0103">
      <w:pPr>
        <w:pStyle w:val="Title"/>
        <w:jc w:val="center"/>
      </w:pPr>
      <w:r>
        <w:t>Style Manual</w:t>
      </w:r>
    </w:p>
    <w:p w14:paraId="55E7593F" w14:textId="77777777" w:rsidR="005A0103" w:rsidRDefault="005A0103" w:rsidP="005A0103">
      <w:pPr>
        <w:pStyle w:val="Heading1"/>
      </w:pPr>
      <w:r>
        <w:t>Function Style</w:t>
      </w:r>
    </w:p>
    <w:p w14:paraId="2AE43FBF" w14:textId="27579D8E" w:rsidR="005A0103" w:rsidRPr="005A0103" w:rsidRDefault="005A0103" w:rsidP="005A0103">
      <w:pPr>
        <w:pStyle w:val="ListParagraph"/>
        <w:numPr>
          <w:ilvl w:val="0"/>
          <w:numId w:val="15"/>
        </w:numPr>
        <w:rPr>
          <w:color w:val="4F81BD" w:themeColor="accent1"/>
          <w:sz w:val="26"/>
          <w:szCs w:val="26"/>
        </w:rPr>
      </w:pPr>
      <w:r>
        <w:br w:type="page"/>
      </w:r>
    </w:p>
    <w:p w14:paraId="712E51A5" w14:textId="6EE0387F"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821AC69" w14:textId="77777777" w:rsidR="005A0103" w:rsidRPr="005A0103" w:rsidRDefault="005A0103" w:rsidP="005A0103">
      <w:pPr>
        <w:rPr>
          <w:i/>
          <w:u w:val="single"/>
        </w:rPr>
      </w:pP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D59DD"/>
    <w:multiLevelType w:val="hybridMultilevel"/>
    <w:tmpl w:val="8166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05672D8"/>
    <w:multiLevelType w:val="hybridMultilevel"/>
    <w:tmpl w:val="4FEA2B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A68E8"/>
    <w:multiLevelType w:val="hybridMultilevel"/>
    <w:tmpl w:val="B2366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3DE37AB8"/>
    <w:multiLevelType w:val="hybridMultilevel"/>
    <w:tmpl w:val="6D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0646B"/>
    <w:multiLevelType w:val="hybridMultilevel"/>
    <w:tmpl w:val="53BA94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483156F"/>
    <w:multiLevelType w:val="hybridMultilevel"/>
    <w:tmpl w:val="13342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3477190"/>
    <w:multiLevelType w:val="hybridMultilevel"/>
    <w:tmpl w:val="004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433A58"/>
    <w:multiLevelType w:val="hybridMultilevel"/>
    <w:tmpl w:val="1CAA0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76821BF0"/>
    <w:multiLevelType w:val="hybridMultilevel"/>
    <w:tmpl w:val="D7625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2"/>
  </w:num>
  <w:num w:numId="2">
    <w:abstractNumId w:val="15"/>
  </w:num>
  <w:num w:numId="3">
    <w:abstractNumId w:val="3"/>
  </w:num>
  <w:num w:numId="4">
    <w:abstractNumId w:val="9"/>
  </w:num>
  <w:num w:numId="5">
    <w:abstractNumId w:val="6"/>
  </w:num>
  <w:num w:numId="6">
    <w:abstractNumId w:val="4"/>
  </w:num>
  <w:num w:numId="7">
    <w:abstractNumId w:val="0"/>
  </w:num>
  <w:num w:numId="8">
    <w:abstractNumId w:val="5"/>
  </w:num>
  <w:num w:numId="9">
    <w:abstractNumId w:val="2"/>
  </w:num>
  <w:num w:numId="10">
    <w:abstractNumId w:val="14"/>
  </w:num>
  <w:num w:numId="11">
    <w:abstractNumId w:val="7"/>
  </w:num>
  <w:num w:numId="12">
    <w:abstractNumId w:val="11"/>
  </w:num>
  <w:num w:numId="13">
    <w:abstractNumId w:val="16"/>
  </w:num>
  <w:num w:numId="14">
    <w:abstractNumId w:val="10"/>
  </w:num>
  <w:num w:numId="15">
    <w:abstractNumId w:val="1"/>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E295C"/>
    <w:rsid w:val="00323AD1"/>
    <w:rsid w:val="0032784C"/>
    <w:rsid w:val="0034382C"/>
    <w:rsid w:val="003625C8"/>
    <w:rsid w:val="003C1580"/>
    <w:rsid w:val="003C7A1E"/>
    <w:rsid w:val="003D5B38"/>
    <w:rsid w:val="004060E8"/>
    <w:rsid w:val="00426CD1"/>
    <w:rsid w:val="00436C90"/>
    <w:rsid w:val="00451AD1"/>
    <w:rsid w:val="00456508"/>
    <w:rsid w:val="00476CCC"/>
    <w:rsid w:val="00481608"/>
    <w:rsid w:val="00495B8E"/>
    <w:rsid w:val="004B34D0"/>
    <w:rsid w:val="005075FC"/>
    <w:rsid w:val="00554972"/>
    <w:rsid w:val="00555759"/>
    <w:rsid w:val="00567833"/>
    <w:rsid w:val="00575B53"/>
    <w:rsid w:val="00576C7A"/>
    <w:rsid w:val="00581474"/>
    <w:rsid w:val="005A0103"/>
    <w:rsid w:val="005C4450"/>
    <w:rsid w:val="005C70C2"/>
    <w:rsid w:val="005D282F"/>
    <w:rsid w:val="005E4D78"/>
    <w:rsid w:val="00601F8F"/>
    <w:rsid w:val="00605F46"/>
    <w:rsid w:val="00607A92"/>
    <w:rsid w:val="00645DD8"/>
    <w:rsid w:val="00661530"/>
    <w:rsid w:val="0067499A"/>
    <w:rsid w:val="00676527"/>
    <w:rsid w:val="00677080"/>
    <w:rsid w:val="00693CE9"/>
    <w:rsid w:val="006A0898"/>
    <w:rsid w:val="006C6935"/>
    <w:rsid w:val="006E2BA1"/>
    <w:rsid w:val="006F0E8C"/>
    <w:rsid w:val="00704D62"/>
    <w:rsid w:val="0072416A"/>
    <w:rsid w:val="00731E9E"/>
    <w:rsid w:val="007A5C8A"/>
    <w:rsid w:val="007D2F16"/>
    <w:rsid w:val="007E2C40"/>
    <w:rsid w:val="007F09AA"/>
    <w:rsid w:val="00824D81"/>
    <w:rsid w:val="008440D1"/>
    <w:rsid w:val="0089463B"/>
    <w:rsid w:val="008977C7"/>
    <w:rsid w:val="008A4A70"/>
    <w:rsid w:val="008E2DFE"/>
    <w:rsid w:val="008E5A58"/>
    <w:rsid w:val="008F1860"/>
    <w:rsid w:val="009350FB"/>
    <w:rsid w:val="00983231"/>
    <w:rsid w:val="009B5777"/>
    <w:rsid w:val="009C3600"/>
    <w:rsid w:val="009E2D73"/>
    <w:rsid w:val="00AE0ECE"/>
    <w:rsid w:val="00B23703"/>
    <w:rsid w:val="00B307E5"/>
    <w:rsid w:val="00B51E20"/>
    <w:rsid w:val="00B56743"/>
    <w:rsid w:val="00B744CF"/>
    <w:rsid w:val="00B80DC0"/>
    <w:rsid w:val="00B84434"/>
    <w:rsid w:val="00BA046A"/>
    <w:rsid w:val="00BE07E3"/>
    <w:rsid w:val="00C07165"/>
    <w:rsid w:val="00C235CF"/>
    <w:rsid w:val="00C27ECD"/>
    <w:rsid w:val="00C43B56"/>
    <w:rsid w:val="00C4691B"/>
    <w:rsid w:val="00C62B7B"/>
    <w:rsid w:val="00C95284"/>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tutorial/datastructures.html" TargetMode="External"/><Relationship Id="rId20" Type="http://schemas.openxmlformats.org/officeDocument/2006/relationships/hyperlink" Target="http://docs.python.org/2/reference/compound_stmts.html" TargetMode="External"/><Relationship Id="rId21" Type="http://schemas.openxmlformats.org/officeDocument/2006/relationships/hyperlink" Target="http://python4astronomers.github.io/python/objects.html" TargetMode="External"/><Relationship Id="rId22" Type="http://schemas.openxmlformats.org/officeDocument/2006/relationships/hyperlink" Target="http://docs.python.org/release/2.5.2/lib/typesseq-strings.html" TargetMode="External"/><Relationship Id="rId23" Type="http://schemas.openxmlformats.org/officeDocument/2006/relationships/hyperlink" Target="http://docs.python.org/2/library/string.html" TargetMode="External"/><Relationship Id="rId24" Type="http://schemas.openxmlformats.org/officeDocument/2006/relationships/hyperlink" Target="http://docs.python.org/2/reference/lexical_analysis.html" TargetMode="External"/><Relationship Id="rId25" Type="http://schemas.openxmlformats.org/officeDocument/2006/relationships/hyperlink" Target="http://wiki.python.org/moin/PythonDecorator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ocs.python.org/2/reference/simple_stmts.html" TargetMode="External"/><Relationship Id="rId11" Type="http://schemas.openxmlformats.org/officeDocument/2006/relationships/hyperlink" Target="http://effbot.org/zone/python-with-statement.htm" TargetMode="External"/><Relationship Id="rId12" Type="http://schemas.openxmlformats.org/officeDocument/2006/relationships/hyperlink" Target="http://docs.python.org/2/reference/simple_stmts.html" TargetMode="External"/><Relationship Id="rId13" Type="http://schemas.openxmlformats.org/officeDocument/2006/relationships/hyperlink" Target="http://docs.python.org/2/reference/expression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simple_stmts.html" TargetMode="External"/><Relationship Id="rId16" Type="http://schemas.openxmlformats.org/officeDocument/2006/relationships/hyperlink" Target="http://docs.python.org/2/reference/compound_stmts.html" TargetMode="External"/><Relationship Id="rId17" Type="http://schemas.openxmlformats.org/officeDocument/2006/relationships/hyperlink" Target="http://docs.python.org/release/2.5.2/ref/exec.html" TargetMode="External"/><Relationship Id="rId18" Type="http://schemas.openxmlformats.org/officeDocument/2006/relationships/hyperlink" Target="http://docs.python.org/2/reference/simple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E2C05-03E1-3C41-ACA0-160EF22D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15</Pages>
  <Words>3079</Words>
  <Characters>17551</Characters>
  <Application>Microsoft Macintosh Word</Application>
  <DocSecurity>0</DocSecurity>
  <Lines>146</Lines>
  <Paragraphs>41</Paragraphs>
  <ScaleCrop>false</ScaleCrop>
  <Company>DmgCtrl</Company>
  <LinksUpToDate>false</LinksUpToDate>
  <CharactersWithSpaces>20589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58</cp:revision>
  <dcterms:created xsi:type="dcterms:W3CDTF">2013-04-23T13:22:00Z</dcterms:created>
  <dcterms:modified xsi:type="dcterms:W3CDTF">2013-04-29T22:03:00Z</dcterms:modified>
</cp:coreProperties>
</file>