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24"/>
        </w:rPr>
        <w:t>LOANS4INDIA</w:t>
      </w:r>
    </w:p>
    <w:p>
      <w:pPr>
        <w:pStyle w:val="Title"/>
        <w:jc w:val="center"/>
      </w:pPr>
      <w:r>
        <w:t>End-to-End User &amp; Admin Flow</w:t>
      </w:r>
    </w:p>
    <w:p>
      <w:pPr>
        <w:jc w:val="center"/>
      </w:pPr>
      <w:r>
        <w:rPr>
          <w:i/>
          <w:sz w:val="22"/>
        </w:rPr>
        <w:t>Virtual Corporate DSA Layer | MVP1 Foundation and Post-Agreement Operations</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6"/>
              </w:rPr>
              <w:t>Document control</w:t>
            </w:r>
          </w:p>
        </w:tc>
        <w:tc>
          <w:tcPr>
            <w:tcW w:type="dxa" w:w="5083"/>
            <w:vAlign w:val="center"/>
            <w:shd w:fill="12304A"/>
          </w:tcPr>
          <w:p>
            <w:pPr>
              <w:spacing w:after="20"/>
            </w:pPr>
            <w:r/>
            <w:r>
              <w:rPr>
                <w:rFonts w:ascii="Aptos" w:hAnsi="Aptos"/>
                <w:b/>
                <w:color w:val="FFFFFF"/>
                <w:sz w:val="16"/>
              </w:rPr>
              <w:t>Details</w:t>
            </w:r>
          </w:p>
        </w:tc>
      </w:tr>
      <w:tr>
        <w:tc>
          <w:tcPr>
            <w:tcW w:type="dxa" w:w="5083"/>
            <w:vAlign w:val="center"/>
          </w:tcPr>
          <w:p>
            <w:pPr>
              <w:spacing w:after="20"/>
            </w:pPr>
            <w:r/>
            <w:r>
              <w:rPr>
                <w:rFonts w:ascii="Aptos" w:hAnsi="Aptos"/>
                <w:b w:val="0"/>
                <w:sz w:val="16"/>
              </w:rPr>
              <w:t>Model baseline</w:t>
            </w:r>
          </w:p>
        </w:tc>
        <w:tc>
          <w:tcPr>
            <w:tcW w:type="dxa" w:w="5083"/>
            <w:vAlign w:val="center"/>
          </w:tcPr>
          <w:p>
            <w:pPr>
              <w:spacing w:after="20"/>
            </w:pPr>
            <w:r/>
            <w:r>
              <w:rPr>
                <w:rFonts w:ascii="Aptos" w:hAnsi="Aptos"/>
                <w:b w:val="0"/>
                <w:sz w:val="16"/>
              </w:rPr>
              <w:t>Revised Virtual Corporate DSA Layer (JP, 2 Oct 2026)</w:t>
            </w:r>
          </w:p>
        </w:tc>
      </w:tr>
      <w:tr>
        <w:tc>
          <w:tcPr>
            <w:tcW w:type="dxa" w:w="5083"/>
            <w:vAlign w:val="center"/>
            <w:shd w:fill="F2F6F8"/>
          </w:tcPr>
          <w:p>
            <w:pPr>
              <w:spacing w:after="20"/>
            </w:pPr>
            <w:r/>
            <w:r>
              <w:rPr>
                <w:rFonts w:ascii="Aptos" w:hAnsi="Aptos"/>
                <w:b w:val="0"/>
                <w:sz w:val="16"/>
              </w:rPr>
              <w:t>Purpose</w:t>
            </w:r>
          </w:p>
        </w:tc>
        <w:tc>
          <w:tcPr>
            <w:tcW w:type="dxa" w:w="5083"/>
            <w:vAlign w:val="center"/>
            <w:shd w:fill="F2F6F8"/>
          </w:tcPr>
          <w:p>
            <w:pPr>
              <w:spacing w:after="20"/>
            </w:pPr>
            <w:r/>
            <w:r>
              <w:rPr>
                <w:rFonts w:ascii="Aptos" w:hAnsi="Aptos"/>
                <w:b w:val="0"/>
                <w:sz w:val="16"/>
              </w:rPr>
              <w:t>Define borrower-facing journey, internal administration, bank handoff, exception handling and operational controls.</w:t>
            </w:r>
          </w:p>
        </w:tc>
      </w:tr>
      <w:tr>
        <w:tc>
          <w:tcPr>
            <w:tcW w:type="dxa" w:w="5083"/>
            <w:vAlign w:val="center"/>
          </w:tcPr>
          <w:p>
            <w:pPr>
              <w:spacing w:after="20"/>
            </w:pPr>
            <w:r/>
            <w:r>
              <w:rPr>
                <w:rFonts w:ascii="Aptos" w:hAnsi="Aptos"/>
                <w:b w:val="0"/>
                <w:sz w:val="16"/>
              </w:rPr>
              <w:t>Operating boundary</w:t>
            </w:r>
          </w:p>
        </w:tc>
        <w:tc>
          <w:tcPr>
            <w:tcW w:type="dxa" w:w="5083"/>
            <w:vAlign w:val="center"/>
          </w:tcPr>
          <w:p>
            <w:pPr>
              <w:spacing w:after="20"/>
            </w:pPr>
            <w:r/>
            <w:r>
              <w:rPr>
                <w:rFonts w:ascii="Aptos" w:hAnsi="Aptos"/>
                <w:b w:val="0"/>
                <w:sz w:val="16"/>
              </w:rPr>
              <w:t>Loans4India sources and prepares applications and tracks available outcomes. Banks/NBFCs retain lending decisions and regulated lending responsibilities.</w:t>
            </w:r>
          </w:p>
        </w:tc>
      </w:tr>
      <w:tr>
        <w:tc>
          <w:tcPr>
            <w:tcW w:type="dxa" w:w="5083"/>
            <w:vAlign w:val="center"/>
            <w:shd w:fill="F2F6F8"/>
          </w:tcPr>
          <w:p>
            <w:pPr>
              <w:spacing w:after="20"/>
            </w:pPr>
            <w:r/>
            <w:r>
              <w:rPr>
                <w:rFonts w:ascii="Aptos" w:hAnsi="Aptos"/>
                <w:b w:val="0"/>
                <w:sz w:val="16"/>
              </w:rPr>
              <w:t>MVP1 data posture</w:t>
            </w:r>
          </w:p>
        </w:tc>
        <w:tc>
          <w:tcPr>
            <w:tcW w:type="dxa" w:w="5083"/>
            <w:vAlign w:val="center"/>
            <w:shd w:fill="F2F6F8"/>
          </w:tcPr>
          <w:p>
            <w:pPr>
              <w:spacing w:after="20"/>
            </w:pPr>
            <w:r/>
            <w:r>
              <w:rPr>
                <w:rFonts w:ascii="Aptos" w:hAnsi="Aptos"/>
                <w:b w:val="0"/>
                <w:sz w:val="16"/>
              </w:rPr>
              <w:t>Synthetic/test data until the required bank agreement, purpose, notices, controls and operational readiness are established.</w:t>
            </w:r>
          </w:p>
        </w:tc>
      </w:tr>
      <w:tr>
        <w:tc>
          <w:tcPr>
            <w:tcW w:type="dxa" w:w="5083"/>
            <w:vAlign w:val="center"/>
          </w:tcPr>
          <w:p>
            <w:pPr>
              <w:spacing w:after="20"/>
            </w:pPr>
            <w:r/>
            <w:r>
              <w:rPr>
                <w:rFonts w:ascii="Aptos" w:hAnsi="Aptos"/>
                <w:b w:val="0"/>
                <w:sz w:val="16"/>
              </w:rPr>
              <w:t>Status</w:t>
            </w:r>
          </w:p>
        </w:tc>
        <w:tc>
          <w:tcPr>
            <w:tcW w:type="dxa" w:w="5083"/>
            <w:vAlign w:val="center"/>
          </w:tcPr>
          <w:p>
            <w:pPr>
              <w:spacing w:after="20"/>
            </w:pPr>
            <w:r/>
            <w:r>
              <w:rPr>
                <w:rFonts w:ascii="Aptos" w:hAnsi="Aptos"/>
                <w:b w:val="0"/>
                <w:sz w:val="16"/>
              </w:rPr>
              <w:t>Product / workflow design baseline; validate legal, regulatory, security and bank-specific requirements before live operation.</w:t>
            </w:r>
          </w:p>
        </w:tc>
      </w:tr>
    </w:tbl>
    <w:p>
      <w:pPr>
        <w:spacing w:after="0"/>
      </w:pPr>
    </w:p>
    <w:p>
      <w:pPr>
        <w:pStyle w:val="Heading1"/>
      </w:pPr>
      <w:r>
        <w:t>1. Executive Summary</w:t>
      </w:r>
    </w:p>
    <w:p>
      <w:r>
        <w:t>Loans4India is a digital sourcing and application-preparation layer between borrowers and banks/NBFCs. The platform digitises acquisition, onboarding, consent capture, secure applicant and document management, permitted data-quality checks, application preparation, controlled handoff and DSA-side tracking/reconciliation.</w:t>
      </w:r>
    </w:p>
    <w:p>
      <w:r>
        <w:t>Loans4India does not underwrite, sanction, disburse or service loans. A bank or NBFC performs its own KYC and due diligence, credit assessment, underwriting, approval/rejection, sanction, agreement, disbursement and servicing. Internal checks by Loans4India improve application quality but do not replace lender checks.</w:t>
      </w:r>
    </w:p>
    <w:p>
      <w:r>
        <w:t>MVP1 is a secure operational foundation, not a live multi-bank automated marketplace. It should reach an auditable “Ready for Bank Handoff” state using synthetic data and configurable bank requirements. Bank-specific handoff capabilities are activated only after formal agreement and authorised access.</w:t>
      </w:r>
    </w:p>
    <w:p>
      <w:pPr>
        <w:pStyle w:val="Heading1"/>
      </w:pPr>
      <w:r>
        <w:t>2. Product Principles &amp; Scope Boundaries</w:t>
      </w:r>
    </w:p>
    <w:p>
      <w:pPr>
        <w:pStyle w:val="ListBullet"/>
        <w:spacing w:after="40"/>
      </w:pPr>
      <w:r>
        <w:t>DSA-led application management: every record is managed as a Loan Application from the first form; internal stages may include Enquiry, Profile, Documents and Ready for Bank.</w:t>
      </w:r>
    </w:p>
    <w:p>
      <w:pPr>
        <w:pStyle w:val="ListBullet"/>
        <w:spacing w:after="40"/>
      </w:pPr>
      <w:r>
        <w:t>No lender impersonation: customer-facing language must not imply that Loans4India itself provides loans or makes credit decisions.</w:t>
      </w:r>
    </w:p>
    <w:p>
      <w:pPr>
        <w:pStyle w:val="ListBullet"/>
        <w:spacing w:after="40"/>
      </w:pPr>
      <w:r>
        <w:t>Consent-led data handling: capture the purpose, notice/version, scope, timestamp and evidence of consent; support expiry/revocation handling.</w:t>
      </w:r>
    </w:p>
    <w:p>
      <w:pPr>
        <w:pStyle w:val="ListBullet"/>
        <w:spacing w:after="40"/>
      </w:pPr>
      <w:r>
        <w:t>Minimum necessary data: collect only information needed for the stated purpose and permitted workflow; apply configurable retention and purge rules.</w:t>
      </w:r>
    </w:p>
    <w:p>
      <w:pPr>
        <w:pStyle w:val="ListBullet"/>
        <w:spacing w:after="40"/>
      </w:pPr>
      <w:r>
        <w:t>Internal verification is limited: completeness, consistency, expiry and permitted identity/document pre-checks only.</w:t>
      </w:r>
    </w:p>
    <w:p>
      <w:pPr>
        <w:pStyle w:val="ListBullet"/>
        <w:spacing w:after="40"/>
      </w:pPr>
      <w:r>
        <w:t>Bank-specific execution: portal, authorised manual entry, bulk upload or API are selected per bank agreement and approved process.</w:t>
      </w:r>
    </w:p>
    <w:p>
      <w:pPr>
        <w:pStyle w:val="ListBullet"/>
        <w:spacing w:after="40"/>
      </w:pPr>
      <w:r>
        <w:t>Evidence-based statuses: “Submitted to Bank” requires a bank reference/acknowledgement or authorised operator confirmation; approval/disbursal require bank confirmation.</w:t>
      </w:r>
    </w:p>
    <w:p>
      <w:pPr>
        <w:pStyle w:val="ListBullet"/>
        <w:spacing w:after="40"/>
      </w:pPr>
      <w:r>
        <w:t>Progressive automation: manual handling remains a controlled fallback; automation is enabled per bank and approved process.</w:t>
      </w:r>
    </w:p>
    <w:p>
      <w:pPr>
        <w:pStyle w:val="ListBullet"/>
        <w:spacing w:after="40"/>
      </w:pPr>
      <w:r>
        <w:t>Commercial terms are configurable: commissions, payout timing, clawbacks and permitted charges come from executed agreements, never hardcoded assumptions.</w:t>
      </w:r>
    </w:p>
    <w:p>
      <w:pPr>
        <w:pStyle w:val="Heading2"/>
      </w:pPr>
      <w:r>
        <w:t>Out of scope for Loans4India</w:t>
      </w:r>
    </w:p>
    <w:p>
      <w:pPr>
        <w:pStyle w:val="ListBullet"/>
        <w:spacing w:after="40"/>
      </w:pPr>
      <w:r>
        <w:t>Credit underwriting or independent sanction decisions.</w:t>
      </w:r>
    </w:p>
    <w:p>
      <w:pPr>
        <w:pStyle w:val="ListBullet"/>
        <w:spacing w:after="40"/>
      </w:pPr>
      <w:r>
        <w:t>Disbursing or servicing loans, collecting EMIs or acting as the lender.</w:t>
      </w:r>
    </w:p>
    <w:p>
      <w:pPr>
        <w:pStyle w:val="ListBullet"/>
        <w:spacing w:after="40"/>
      </w:pPr>
      <w:r>
        <w:t>Representing internal eligibility/data-quality outcomes as bank approval or completed KYC.</w:t>
      </w:r>
    </w:p>
    <w:p>
      <w:pPr>
        <w:pStyle w:val="ListBullet"/>
        <w:spacing w:after="40"/>
      </w:pPr>
      <w:r>
        <w:t>Unapproved portal automation, pooled bank credentials or assumed API access.</w:t>
      </w:r>
    </w:p>
    <w:p>
      <w:pPr>
        <w:pStyle w:val="ListBullet"/>
        <w:spacing w:after="40"/>
      </w:pPr>
      <w:r>
        <w:t>Live customer PII in MVP1 before the relevant lawful purpose, agreement and controls are in place.</w:t>
      </w:r>
    </w:p>
    <w:p>
      <w:pPr>
        <w:pStyle w:val="Heading1"/>
      </w:pPr>
      <w:r>
        <w:t>3. Actors &amp; Responsibilities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6"/>
              </w:rPr>
              <w:t>Actor / role</w:t>
            </w:r>
          </w:p>
        </w:tc>
        <w:tc>
          <w:tcPr>
            <w:tcW w:type="dxa" w:w="3389"/>
            <w:vAlign w:val="center"/>
            <w:shd w:fill="12304A"/>
          </w:tcPr>
          <w:p>
            <w:pPr>
              <w:spacing w:after="20"/>
            </w:pPr>
            <w:r/>
            <w:r>
              <w:rPr>
                <w:rFonts w:ascii="Aptos" w:hAnsi="Aptos"/>
                <w:b/>
                <w:color w:val="FFFFFF"/>
                <w:sz w:val="16"/>
              </w:rPr>
              <w:t>Primary responsibilities</w:t>
            </w:r>
          </w:p>
        </w:tc>
        <w:tc>
          <w:tcPr>
            <w:tcW w:type="dxa" w:w="3389"/>
            <w:vAlign w:val="center"/>
            <w:shd w:fill="12304A"/>
          </w:tcPr>
          <w:p>
            <w:pPr>
              <w:spacing w:after="20"/>
            </w:pPr>
            <w:r/>
            <w:r>
              <w:rPr>
                <w:rFonts w:ascii="Aptos" w:hAnsi="Aptos"/>
                <w:b/>
                <w:color w:val="FFFFFF"/>
                <w:sz w:val="16"/>
              </w:rPr>
              <w:t>Key restrictions / controls</w:t>
            </w:r>
          </w:p>
        </w:tc>
      </w:tr>
      <w:tr>
        <w:tc>
          <w:tcPr>
            <w:tcW w:type="dxa" w:w="3389"/>
            <w:vAlign w:val="center"/>
          </w:tcPr>
          <w:p>
            <w:pPr>
              <w:spacing w:after="20"/>
            </w:pPr>
            <w:r/>
            <w:r>
              <w:rPr>
                <w:rFonts w:ascii="Aptos" w:hAnsi="Aptos"/>
                <w:b w:val="0"/>
                <w:sz w:val="16"/>
              </w:rPr>
              <w:t>Borrower / Applicant</w:t>
            </w:r>
          </w:p>
        </w:tc>
        <w:tc>
          <w:tcPr>
            <w:tcW w:type="dxa" w:w="3389"/>
            <w:vAlign w:val="center"/>
          </w:tcPr>
          <w:p>
            <w:pPr>
              <w:spacing w:after="20"/>
            </w:pPr>
            <w:r/>
            <w:r>
              <w:rPr>
                <w:rFonts w:ascii="Aptos" w:hAnsi="Aptos"/>
                <w:b w:val="0"/>
                <w:sz w:val="16"/>
              </w:rPr>
              <w:t>Provide information, consent, documents; review and correct details; respond to queries; choose whether to proceed with a bank offer.</w:t>
            </w:r>
          </w:p>
        </w:tc>
        <w:tc>
          <w:tcPr>
            <w:tcW w:type="dxa" w:w="3389"/>
            <w:vAlign w:val="center"/>
          </w:tcPr>
          <w:p>
            <w:pPr>
              <w:spacing w:after="20"/>
            </w:pPr>
            <w:r/>
            <w:r>
              <w:rPr>
                <w:rFonts w:ascii="Aptos" w:hAnsi="Aptos"/>
                <w:b w:val="0"/>
                <w:sz w:val="16"/>
              </w:rPr>
              <w:t>Can access only own application and documents; may revoke consent/withdraw subject to applicable process.</w:t>
            </w:r>
          </w:p>
        </w:tc>
      </w:tr>
      <w:tr>
        <w:tc>
          <w:tcPr>
            <w:tcW w:type="dxa" w:w="3389"/>
            <w:vAlign w:val="center"/>
            <w:shd w:fill="F2F6F8"/>
          </w:tcPr>
          <w:p>
            <w:pPr>
              <w:spacing w:after="20"/>
            </w:pPr>
            <w:r/>
            <w:r>
              <w:rPr>
                <w:rFonts w:ascii="Aptos" w:hAnsi="Aptos"/>
                <w:b w:val="0"/>
                <w:sz w:val="16"/>
              </w:rPr>
              <w:t>Acquisition / Channel Manager</w:t>
            </w:r>
          </w:p>
        </w:tc>
        <w:tc>
          <w:tcPr>
            <w:tcW w:type="dxa" w:w="3389"/>
            <w:vAlign w:val="center"/>
            <w:shd w:fill="F2F6F8"/>
          </w:tcPr>
          <w:p>
            <w:pPr>
              <w:spacing w:after="20"/>
            </w:pPr>
            <w:r/>
            <w:r>
              <w:rPr>
                <w:rFonts w:ascii="Aptos" w:hAnsi="Aptos"/>
                <w:b w:val="0"/>
                <w:sz w:val="16"/>
              </w:rPr>
              <w:t>Manage campaigns, referrals, affiliates and approved sourcing channels; maintain attribution.</w:t>
            </w:r>
          </w:p>
        </w:tc>
        <w:tc>
          <w:tcPr>
            <w:tcW w:type="dxa" w:w="3389"/>
            <w:vAlign w:val="center"/>
            <w:shd w:fill="F2F6F8"/>
          </w:tcPr>
          <w:p>
            <w:pPr>
              <w:spacing w:after="20"/>
            </w:pPr>
            <w:r/>
            <w:r>
              <w:rPr>
                <w:rFonts w:ascii="Aptos" w:hAnsi="Aptos"/>
                <w:b w:val="0"/>
                <w:sz w:val="16"/>
              </w:rPr>
              <w:t>Use approved claims/channels; no unauthorised sharing or promises.</w:t>
            </w:r>
          </w:p>
        </w:tc>
      </w:tr>
      <w:tr>
        <w:tc>
          <w:tcPr>
            <w:tcW w:type="dxa" w:w="3389"/>
            <w:vAlign w:val="center"/>
          </w:tcPr>
          <w:p>
            <w:pPr>
              <w:spacing w:after="20"/>
            </w:pPr>
            <w:r/>
            <w:r>
              <w:rPr>
                <w:rFonts w:ascii="Aptos" w:hAnsi="Aptos"/>
                <w:b w:val="0"/>
                <w:sz w:val="16"/>
              </w:rPr>
              <w:t>Application Operations Executive</w:t>
            </w:r>
          </w:p>
        </w:tc>
        <w:tc>
          <w:tcPr>
            <w:tcW w:type="dxa" w:w="3389"/>
            <w:vAlign w:val="center"/>
          </w:tcPr>
          <w:p>
            <w:pPr>
              <w:spacing w:after="20"/>
            </w:pPr>
            <w:r/>
            <w:r>
              <w:rPr>
                <w:rFonts w:ascii="Aptos" w:hAnsi="Aptos"/>
                <w:b w:val="0"/>
                <w:sz w:val="16"/>
              </w:rPr>
              <w:t>Create/maintain application records, check completeness, coordinate follow-ups, prepare applications and manage queues.</w:t>
            </w:r>
          </w:p>
        </w:tc>
        <w:tc>
          <w:tcPr>
            <w:tcW w:type="dxa" w:w="3389"/>
            <w:vAlign w:val="center"/>
          </w:tcPr>
          <w:p>
            <w:pPr>
              <w:spacing w:after="20"/>
            </w:pPr>
            <w:r/>
            <w:r>
              <w:rPr>
                <w:rFonts w:ascii="Aptos" w:hAnsi="Aptos"/>
                <w:b w:val="0"/>
                <w:sz w:val="16"/>
              </w:rPr>
              <w:t>No underwriting or bank decision; access limited by RBAC.</w:t>
            </w:r>
          </w:p>
        </w:tc>
      </w:tr>
      <w:tr>
        <w:tc>
          <w:tcPr>
            <w:tcW w:type="dxa" w:w="3389"/>
            <w:vAlign w:val="center"/>
            <w:shd w:fill="F2F6F8"/>
          </w:tcPr>
          <w:p>
            <w:pPr>
              <w:spacing w:after="20"/>
            </w:pPr>
            <w:r/>
            <w:r>
              <w:rPr>
                <w:rFonts w:ascii="Aptos" w:hAnsi="Aptos"/>
                <w:b w:val="0"/>
                <w:sz w:val="16"/>
              </w:rPr>
              <w:t>Document / Data Reviewer</w:t>
            </w:r>
          </w:p>
        </w:tc>
        <w:tc>
          <w:tcPr>
            <w:tcW w:type="dxa" w:w="3389"/>
            <w:vAlign w:val="center"/>
            <w:shd w:fill="F2F6F8"/>
          </w:tcPr>
          <w:p>
            <w:pPr>
              <w:spacing w:after="20"/>
            </w:pPr>
            <w:r/>
            <w:r>
              <w:rPr>
                <w:rFonts w:ascii="Aptos" w:hAnsi="Aptos"/>
                <w:b w:val="0"/>
                <w:sz w:val="16"/>
              </w:rPr>
              <w:t>Perform permitted pre-checks: readability, completeness, expiry, consistency and documented exception reasons.</w:t>
            </w:r>
          </w:p>
        </w:tc>
        <w:tc>
          <w:tcPr>
            <w:tcW w:type="dxa" w:w="3389"/>
            <w:vAlign w:val="center"/>
            <w:shd w:fill="F2F6F8"/>
          </w:tcPr>
          <w:p>
            <w:pPr>
              <w:spacing w:after="20"/>
            </w:pPr>
            <w:r/>
            <w:r>
              <w:rPr>
                <w:rFonts w:ascii="Aptos" w:hAnsi="Aptos"/>
                <w:b w:val="0"/>
                <w:sz w:val="16"/>
              </w:rPr>
              <w:t>Does not perform or claim to complete bank KYC; sensitive-data access logged.</w:t>
            </w:r>
          </w:p>
        </w:tc>
      </w:tr>
      <w:tr>
        <w:tc>
          <w:tcPr>
            <w:tcW w:type="dxa" w:w="3389"/>
            <w:vAlign w:val="center"/>
          </w:tcPr>
          <w:p>
            <w:pPr>
              <w:spacing w:after="20"/>
            </w:pPr>
            <w:r/>
            <w:r>
              <w:rPr>
                <w:rFonts w:ascii="Aptos" w:hAnsi="Aptos"/>
                <w:b w:val="0"/>
                <w:sz w:val="16"/>
              </w:rPr>
              <w:t>Operations Lead / Manager</w:t>
            </w:r>
          </w:p>
        </w:tc>
        <w:tc>
          <w:tcPr>
            <w:tcW w:type="dxa" w:w="3389"/>
            <w:vAlign w:val="center"/>
          </w:tcPr>
          <w:p>
            <w:pPr>
              <w:spacing w:after="20"/>
            </w:pPr>
            <w:r/>
            <w:r>
              <w:rPr>
                <w:rFonts w:ascii="Aptos" w:hAnsi="Aptos"/>
                <w:b w:val="0"/>
                <w:sz w:val="16"/>
              </w:rPr>
              <w:t>Queue allocation, SLA oversight, quality checks, escalations, exception resolution and operational reporting.</w:t>
            </w:r>
          </w:p>
        </w:tc>
        <w:tc>
          <w:tcPr>
            <w:tcW w:type="dxa" w:w="3389"/>
            <w:vAlign w:val="center"/>
          </w:tcPr>
          <w:p>
            <w:pPr>
              <w:spacing w:after="20"/>
            </w:pPr>
            <w:r/>
            <w:r>
              <w:rPr>
                <w:rFonts w:ascii="Aptos" w:hAnsi="Aptos"/>
                <w:b w:val="0"/>
                <w:sz w:val="16"/>
              </w:rPr>
              <w:t>Cannot override lender decisions; privileged actions audited.</w:t>
            </w:r>
          </w:p>
        </w:tc>
      </w:tr>
      <w:tr>
        <w:tc>
          <w:tcPr>
            <w:tcW w:type="dxa" w:w="3389"/>
            <w:vAlign w:val="center"/>
            <w:shd w:fill="F2F6F8"/>
          </w:tcPr>
          <w:p>
            <w:pPr>
              <w:spacing w:after="20"/>
            </w:pPr>
            <w:r/>
            <w:r>
              <w:rPr>
                <w:rFonts w:ascii="Aptos" w:hAnsi="Aptos"/>
                <w:b w:val="0"/>
                <w:sz w:val="16"/>
              </w:rPr>
              <w:t>Bank / Partner Manager</w:t>
            </w:r>
          </w:p>
        </w:tc>
        <w:tc>
          <w:tcPr>
            <w:tcW w:type="dxa" w:w="3389"/>
            <w:vAlign w:val="center"/>
            <w:shd w:fill="F2F6F8"/>
          </w:tcPr>
          <w:p>
            <w:pPr>
              <w:spacing w:after="20"/>
            </w:pPr>
            <w:r/>
            <w:r>
              <w:rPr>
                <w:rFonts w:ascii="Aptos" w:hAnsi="Aptos"/>
                <w:b w:val="0"/>
                <w:sz w:val="16"/>
              </w:rPr>
              <w:t>Maintain bank/product configuration, templates, requirements, handoff channels and bank contact/escalation records.</w:t>
            </w:r>
          </w:p>
        </w:tc>
        <w:tc>
          <w:tcPr>
            <w:tcW w:type="dxa" w:w="3389"/>
            <w:vAlign w:val="center"/>
            <w:shd w:fill="F2F6F8"/>
          </w:tcPr>
          <w:p>
            <w:pPr>
              <w:spacing w:after="20"/>
            </w:pPr>
            <w:r/>
            <w:r>
              <w:rPr>
                <w:rFonts w:ascii="Aptos" w:hAnsi="Aptos"/>
                <w:b w:val="0"/>
                <w:sz w:val="16"/>
              </w:rPr>
              <w:t>Activate bank-specific workflows only after agreement and authorised access.</w:t>
            </w:r>
          </w:p>
        </w:tc>
      </w:tr>
      <w:tr>
        <w:tc>
          <w:tcPr>
            <w:tcW w:type="dxa" w:w="3389"/>
            <w:vAlign w:val="center"/>
          </w:tcPr>
          <w:p>
            <w:pPr>
              <w:spacing w:after="20"/>
            </w:pPr>
            <w:r/>
            <w:r>
              <w:rPr>
                <w:rFonts w:ascii="Aptos" w:hAnsi="Aptos"/>
                <w:b w:val="0"/>
                <w:sz w:val="16"/>
              </w:rPr>
              <w:t>Authorised DSA Operator</w:t>
            </w:r>
          </w:p>
        </w:tc>
        <w:tc>
          <w:tcPr>
            <w:tcW w:type="dxa" w:w="3389"/>
            <w:vAlign w:val="center"/>
          </w:tcPr>
          <w:p>
            <w:pPr>
              <w:spacing w:after="20"/>
            </w:pPr>
            <w:r/>
            <w:r>
              <w:rPr>
                <w:rFonts w:ascii="Aptos" w:hAnsi="Aptos"/>
                <w:b w:val="0"/>
                <w:sz w:val="16"/>
              </w:rPr>
              <w:t>Use individually assigned, bank-authorised credentials/process to enter or transmit application data where permitted; record evidence/reference.</w:t>
            </w:r>
          </w:p>
        </w:tc>
        <w:tc>
          <w:tcPr>
            <w:tcW w:type="dxa" w:w="3389"/>
            <w:vAlign w:val="center"/>
          </w:tcPr>
          <w:p>
            <w:pPr>
              <w:spacing w:after="20"/>
            </w:pPr>
            <w:r/>
            <w:r>
              <w:rPr>
                <w:rFonts w:ascii="Aptos" w:hAnsi="Aptos"/>
                <w:b w:val="0"/>
                <w:sz w:val="16"/>
              </w:rPr>
              <w:t>No shared credentials; no RPA/scripted portal entry without written approval; actions attributable to named operator.</w:t>
            </w:r>
          </w:p>
        </w:tc>
      </w:tr>
      <w:tr>
        <w:tc>
          <w:tcPr>
            <w:tcW w:type="dxa" w:w="3389"/>
            <w:vAlign w:val="center"/>
            <w:shd w:fill="F2F6F8"/>
          </w:tcPr>
          <w:p>
            <w:pPr>
              <w:spacing w:after="20"/>
            </w:pPr>
            <w:r/>
            <w:r>
              <w:rPr>
                <w:rFonts w:ascii="Aptos" w:hAnsi="Aptos"/>
                <w:b w:val="0"/>
                <w:sz w:val="16"/>
              </w:rPr>
              <w:t>Compliance / Privacy Owner</w:t>
            </w:r>
          </w:p>
        </w:tc>
        <w:tc>
          <w:tcPr>
            <w:tcW w:type="dxa" w:w="3389"/>
            <w:vAlign w:val="center"/>
            <w:shd w:fill="F2F6F8"/>
          </w:tcPr>
          <w:p>
            <w:pPr>
              <w:spacing w:after="20"/>
            </w:pPr>
            <w:r/>
            <w:r>
              <w:rPr>
                <w:rFonts w:ascii="Aptos" w:hAnsi="Aptos"/>
                <w:b w:val="0"/>
                <w:sz w:val="16"/>
              </w:rPr>
              <w:t>Review notices, consent, disclosures, retention, grievance processes, access and compliance evidence.</w:t>
            </w:r>
          </w:p>
        </w:tc>
        <w:tc>
          <w:tcPr>
            <w:tcW w:type="dxa" w:w="3389"/>
            <w:vAlign w:val="center"/>
            <w:shd w:fill="F2F6F8"/>
          </w:tcPr>
          <w:p>
            <w:pPr>
              <w:spacing w:after="20"/>
            </w:pPr>
            <w:r/>
            <w:r>
              <w:rPr>
                <w:rFonts w:ascii="Aptos" w:hAnsi="Aptos"/>
                <w:b w:val="0"/>
                <w:sz w:val="16"/>
              </w:rPr>
              <w:t>Independent review/approval gates as defined by governance.</w:t>
            </w:r>
          </w:p>
        </w:tc>
      </w:tr>
      <w:tr>
        <w:tc>
          <w:tcPr>
            <w:tcW w:type="dxa" w:w="3389"/>
            <w:vAlign w:val="center"/>
          </w:tcPr>
          <w:p>
            <w:pPr>
              <w:spacing w:after="20"/>
            </w:pPr>
            <w:r/>
            <w:r>
              <w:rPr>
                <w:rFonts w:ascii="Aptos" w:hAnsi="Aptos"/>
                <w:b w:val="0"/>
                <w:sz w:val="16"/>
              </w:rPr>
              <w:t>Fraud / Risk Operations (if enabled)</w:t>
            </w:r>
          </w:p>
        </w:tc>
        <w:tc>
          <w:tcPr>
            <w:tcW w:type="dxa" w:w="3389"/>
            <w:vAlign w:val="center"/>
          </w:tcPr>
          <w:p>
            <w:pPr>
              <w:spacing w:after="20"/>
            </w:pPr>
            <w:r/>
            <w:r>
              <w:rPr>
                <w:rFonts w:ascii="Aptos" w:hAnsi="Aptos"/>
                <w:b w:val="0"/>
                <w:sz w:val="16"/>
              </w:rPr>
              <w:t>Flag anomalies and route cases for review under documented rules.</w:t>
            </w:r>
          </w:p>
        </w:tc>
        <w:tc>
          <w:tcPr>
            <w:tcW w:type="dxa" w:w="3389"/>
            <w:vAlign w:val="center"/>
          </w:tcPr>
          <w:p>
            <w:pPr>
              <w:spacing w:after="20"/>
            </w:pPr>
            <w:r/>
            <w:r>
              <w:rPr>
                <w:rFonts w:ascii="Aptos" w:hAnsi="Aptos"/>
                <w:b w:val="0"/>
                <w:sz w:val="16"/>
              </w:rPr>
              <w:t>Flags are not lender underwriting decisions; avoid unsupported automated rejection.</w:t>
            </w:r>
          </w:p>
        </w:tc>
      </w:tr>
      <w:tr>
        <w:tc>
          <w:tcPr>
            <w:tcW w:type="dxa" w:w="3389"/>
            <w:vAlign w:val="center"/>
            <w:shd w:fill="F2F6F8"/>
          </w:tcPr>
          <w:p>
            <w:pPr>
              <w:spacing w:after="20"/>
            </w:pPr>
            <w:r/>
            <w:r>
              <w:rPr>
                <w:rFonts w:ascii="Aptos" w:hAnsi="Aptos"/>
                <w:b w:val="0"/>
                <w:sz w:val="16"/>
              </w:rPr>
              <w:t>Finance / Reconciliation</w:t>
            </w:r>
          </w:p>
        </w:tc>
        <w:tc>
          <w:tcPr>
            <w:tcW w:type="dxa" w:w="3389"/>
            <w:vAlign w:val="center"/>
            <w:shd w:fill="F2F6F8"/>
          </w:tcPr>
          <w:p>
            <w:pPr>
              <w:spacing w:after="20"/>
            </w:pPr>
            <w:r/>
            <w:r>
              <w:rPr>
                <w:rFonts w:ascii="Aptos" w:hAnsi="Aptos"/>
                <w:b w:val="0"/>
                <w:sz w:val="16"/>
              </w:rPr>
              <w:t>Import bank MIS/payout files, match disbursals and commissions, manage discrepancies, taxes and reversals as applicable.</w:t>
            </w:r>
          </w:p>
        </w:tc>
        <w:tc>
          <w:tcPr>
            <w:tcW w:type="dxa" w:w="3389"/>
            <w:vAlign w:val="center"/>
            <w:shd w:fill="F2F6F8"/>
          </w:tcPr>
          <w:p>
            <w:pPr>
              <w:spacing w:after="20"/>
            </w:pPr>
            <w:r/>
            <w:r>
              <w:rPr>
                <w:rFonts w:ascii="Aptos" w:hAnsi="Aptos"/>
                <w:b w:val="0"/>
                <w:sz w:val="16"/>
              </w:rPr>
              <w:t>Cannot alter bank-confirmed outcomes without evidence; financial changes audited.</w:t>
            </w:r>
          </w:p>
        </w:tc>
      </w:tr>
      <w:tr>
        <w:tc>
          <w:tcPr>
            <w:tcW w:type="dxa" w:w="3389"/>
            <w:vAlign w:val="center"/>
          </w:tcPr>
          <w:p>
            <w:pPr>
              <w:spacing w:after="20"/>
            </w:pPr>
            <w:r/>
            <w:r>
              <w:rPr>
                <w:rFonts w:ascii="Aptos" w:hAnsi="Aptos"/>
                <w:b w:val="0"/>
                <w:sz w:val="16"/>
              </w:rPr>
              <w:t>Customer Support</w:t>
            </w:r>
          </w:p>
        </w:tc>
        <w:tc>
          <w:tcPr>
            <w:tcW w:type="dxa" w:w="3389"/>
            <w:vAlign w:val="center"/>
          </w:tcPr>
          <w:p>
            <w:pPr>
              <w:spacing w:after="20"/>
            </w:pPr>
            <w:r/>
            <w:r>
              <w:rPr>
                <w:rFonts w:ascii="Aptos" w:hAnsi="Aptos"/>
                <w:b w:val="0"/>
                <w:sz w:val="16"/>
              </w:rPr>
              <w:t>Respond to applicant queries, explain process/status and route complaints or operational blockers.</w:t>
            </w:r>
          </w:p>
        </w:tc>
        <w:tc>
          <w:tcPr>
            <w:tcW w:type="dxa" w:w="3389"/>
            <w:vAlign w:val="center"/>
          </w:tcPr>
          <w:p>
            <w:pPr>
              <w:spacing w:after="20"/>
            </w:pPr>
            <w:r/>
            <w:r>
              <w:rPr>
                <w:rFonts w:ascii="Aptos" w:hAnsi="Aptos"/>
                <w:b w:val="0"/>
                <w:sz w:val="16"/>
              </w:rPr>
              <w:t>No approval promises; identity verification before disclosing application details.</w:t>
            </w:r>
          </w:p>
        </w:tc>
      </w:tr>
      <w:tr>
        <w:tc>
          <w:tcPr>
            <w:tcW w:type="dxa" w:w="3389"/>
            <w:vAlign w:val="center"/>
            <w:shd w:fill="F2F6F8"/>
          </w:tcPr>
          <w:p>
            <w:pPr>
              <w:spacing w:after="20"/>
            </w:pPr>
            <w:r/>
            <w:r>
              <w:rPr>
                <w:rFonts w:ascii="Aptos" w:hAnsi="Aptos"/>
                <w:b w:val="0"/>
                <w:sz w:val="16"/>
              </w:rPr>
              <w:t>System Administrator / PAM Owner</w:t>
            </w:r>
          </w:p>
        </w:tc>
        <w:tc>
          <w:tcPr>
            <w:tcW w:type="dxa" w:w="3389"/>
            <w:vAlign w:val="center"/>
            <w:shd w:fill="F2F6F8"/>
          </w:tcPr>
          <w:p>
            <w:pPr>
              <w:spacing w:after="20"/>
            </w:pPr>
            <w:r/>
            <w:r>
              <w:rPr>
                <w:rFonts w:ascii="Aptos" w:hAnsi="Aptos"/>
                <w:b w:val="0"/>
                <w:sz w:val="16"/>
              </w:rPr>
              <w:t>Manage users, roles, authentication, access reviews, configuration and security operations.</w:t>
            </w:r>
          </w:p>
        </w:tc>
        <w:tc>
          <w:tcPr>
            <w:tcW w:type="dxa" w:w="3389"/>
            <w:vAlign w:val="center"/>
            <w:shd w:fill="F2F6F8"/>
          </w:tcPr>
          <w:p>
            <w:pPr>
              <w:spacing w:after="20"/>
            </w:pPr>
            <w:r/>
            <w:r>
              <w:rPr>
                <w:rFonts w:ascii="Aptos" w:hAnsi="Aptos"/>
                <w:b w:val="0"/>
                <w:sz w:val="16"/>
              </w:rPr>
              <w:t>Least privilege, MFA where configured, separation of duties, audited privileged access.</w:t>
            </w:r>
          </w:p>
        </w:tc>
      </w:tr>
      <w:tr>
        <w:tc>
          <w:tcPr>
            <w:tcW w:type="dxa" w:w="3389"/>
            <w:vAlign w:val="center"/>
          </w:tcPr>
          <w:p>
            <w:pPr>
              <w:spacing w:after="20"/>
            </w:pPr>
            <w:r/>
            <w:r>
              <w:rPr>
                <w:rFonts w:ascii="Aptos" w:hAnsi="Aptos"/>
                <w:b w:val="0"/>
                <w:sz w:val="16"/>
              </w:rPr>
              <w:t>Bank / NBFC</w:t>
            </w:r>
          </w:p>
        </w:tc>
        <w:tc>
          <w:tcPr>
            <w:tcW w:type="dxa" w:w="3389"/>
            <w:vAlign w:val="center"/>
          </w:tcPr>
          <w:p>
            <w:pPr>
              <w:spacing w:after="20"/>
            </w:pPr>
            <w:r/>
            <w:r>
              <w:rPr>
                <w:rFonts w:ascii="Aptos" w:hAnsi="Aptos"/>
                <w:b w:val="0"/>
                <w:sz w:val="16"/>
              </w:rPr>
              <w:t>Own required KYC/due diligence, credit assessment, underwriting, decision, sanction, agreement, disbursement and servicing.</w:t>
            </w:r>
          </w:p>
        </w:tc>
        <w:tc>
          <w:tcPr>
            <w:tcW w:type="dxa" w:w="3389"/>
            <w:vAlign w:val="center"/>
          </w:tcPr>
          <w:p>
            <w:pPr>
              <w:spacing w:after="20"/>
            </w:pPr>
            <w:r/>
            <w:r>
              <w:rPr>
                <w:rFonts w:ascii="Aptos" w:hAnsi="Aptos"/>
                <w:b w:val="0"/>
                <w:sz w:val="16"/>
              </w:rPr>
              <w:t>Provides status and evidence through agreed channels.</w:t>
            </w:r>
          </w:p>
        </w:tc>
      </w:tr>
    </w:tbl>
    <w:p>
      <w:pPr>
        <w:spacing w:after="0"/>
      </w:pPr>
    </w:p>
    <w:p>
      <w:pPr>
        <w:pStyle w:val="Heading1"/>
      </w:pPr>
      <w:r>
        <w:t>4. End-to-End Borrower Journey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Aptos" w:hAnsi="Aptos"/>
                <w:b/>
                <w:color w:val="FFFFFF"/>
                <w:sz w:val="16"/>
              </w:rPr>
              <w:t>Step</w:t>
            </w:r>
          </w:p>
        </w:tc>
        <w:tc>
          <w:tcPr>
            <w:tcW w:type="dxa" w:w="2541"/>
            <w:vAlign w:val="center"/>
            <w:shd w:fill="12304A"/>
          </w:tcPr>
          <w:p>
            <w:pPr>
              <w:spacing w:after="20"/>
            </w:pPr>
            <w:r/>
            <w:r>
              <w:rPr>
                <w:rFonts w:ascii="Aptos" w:hAnsi="Aptos"/>
                <w:b/>
                <w:color w:val="FFFFFF"/>
                <w:sz w:val="16"/>
              </w:rPr>
              <w:t>Borrower experience / action</w:t>
            </w:r>
          </w:p>
        </w:tc>
        <w:tc>
          <w:tcPr>
            <w:tcW w:type="dxa" w:w="2541"/>
            <w:vAlign w:val="center"/>
            <w:shd w:fill="12304A"/>
          </w:tcPr>
          <w:p>
            <w:pPr>
              <w:spacing w:after="20"/>
            </w:pPr>
            <w:r/>
            <w:r>
              <w:rPr>
                <w:rFonts w:ascii="Aptos" w:hAnsi="Aptos"/>
                <w:b/>
                <w:color w:val="FFFFFF"/>
                <w:sz w:val="16"/>
              </w:rPr>
              <w:t>Platform behaviour</w:t>
            </w:r>
          </w:p>
        </w:tc>
        <w:tc>
          <w:tcPr>
            <w:tcW w:type="dxa" w:w="2541"/>
            <w:vAlign w:val="center"/>
            <w:shd w:fill="12304A"/>
          </w:tcPr>
          <w:p>
            <w:pPr>
              <w:spacing w:after="20"/>
            </w:pPr>
            <w:r/>
            <w:r>
              <w:rPr>
                <w:rFonts w:ascii="Aptos" w:hAnsi="Aptos"/>
                <w:b/>
                <w:color w:val="FFFFFF"/>
                <w:sz w:val="16"/>
              </w:rPr>
              <w:t>Outcome / control</w:t>
            </w:r>
          </w:p>
        </w:tc>
      </w:tr>
      <w:tr>
        <w:tc>
          <w:tcPr>
            <w:tcW w:type="dxa" w:w="2541"/>
            <w:vAlign w:val="center"/>
          </w:tcPr>
          <w:p>
            <w:pPr>
              <w:spacing w:after="20"/>
            </w:pPr>
            <w:r/>
            <w:r>
              <w:rPr>
                <w:rFonts w:ascii="Aptos" w:hAnsi="Aptos"/>
                <w:b w:val="0"/>
                <w:sz w:val="16"/>
              </w:rPr>
              <w:t>1. Discover Loans4India</w:t>
            </w:r>
          </w:p>
        </w:tc>
        <w:tc>
          <w:tcPr>
            <w:tcW w:type="dxa" w:w="2541"/>
            <w:vAlign w:val="center"/>
          </w:tcPr>
          <w:p>
            <w:pPr>
              <w:spacing w:after="20"/>
            </w:pPr>
            <w:r/>
            <w:r>
              <w:rPr>
                <w:rFonts w:ascii="Aptos" w:hAnsi="Aptos"/>
                <w:b w:val="0"/>
                <w:sz w:val="16"/>
              </w:rPr>
              <w:t>Arrives through website, campaign, referral, affiliate or approved channel.</w:t>
            </w:r>
          </w:p>
        </w:tc>
        <w:tc>
          <w:tcPr>
            <w:tcW w:type="dxa" w:w="2541"/>
            <w:vAlign w:val="center"/>
          </w:tcPr>
          <w:p>
            <w:pPr>
              <w:spacing w:after="20"/>
            </w:pPr>
            <w:r/>
            <w:r>
              <w:rPr>
                <w:rFonts w:ascii="Aptos" w:hAnsi="Aptos"/>
                <w:b w:val="0"/>
                <w:sz w:val="16"/>
              </w:rPr>
              <w:t>Displays accurate service description, product information, privacy notice and applicable disclosures; captures source attribution.</w:t>
            </w:r>
          </w:p>
        </w:tc>
        <w:tc>
          <w:tcPr>
            <w:tcW w:type="dxa" w:w="2541"/>
            <w:vAlign w:val="center"/>
          </w:tcPr>
          <w:p>
            <w:pPr>
              <w:spacing w:after="20"/>
            </w:pPr>
            <w:r/>
            <w:r>
              <w:rPr>
                <w:rFonts w:ascii="Aptos" w:hAnsi="Aptos"/>
                <w:b w:val="0"/>
                <w:sz w:val="16"/>
              </w:rPr>
              <w:t>No claim that Loans4India is a lender or guarantees approval.</w:t>
            </w:r>
          </w:p>
        </w:tc>
      </w:tr>
      <w:tr>
        <w:tc>
          <w:tcPr>
            <w:tcW w:type="dxa" w:w="2541"/>
            <w:vAlign w:val="center"/>
            <w:shd w:fill="F2F6F8"/>
          </w:tcPr>
          <w:p>
            <w:pPr>
              <w:spacing w:after="20"/>
            </w:pPr>
            <w:r/>
            <w:r>
              <w:rPr>
                <w:rFonts w:ascii="Aptos" w:hAnsi="Aptos"/>
                <w:b w:val="0"/>
                <w:sz w:val="16"/>
              </w:rPr>
              <w:t>2. Start application</w:t>
            </w:r>
          </w:p>
        </w:tc>
        <w:tc>
          <w:tcPr>
            <w:tcW w:type="dxa" w:w="2541"/>
            <w:vAlign w:val="center"/>
            <w:shd w:fill="F2F6F8"/>
          </w:tcPr>
          <w:p>
            <w:pPr>
              <w:spacing w:after="20"/>
            </w:pPr>
            <w:r/>
            <w:r>
              <w:rPr>
                <w:rFonts w:ascii="Aptos" w:hAnsi="Aptos"/>
                <w:b w:val="0"/>
                <w:sz w:val="16"/>
              </w:rPr>
              <w:t>Selects loan type and enters initial requirement (e.g., amount, purpose, location).</w:t>
            </w:r>
          </w:p>
        </w:tc>
        <w:tc>
          <w:tcPr>
            <w:tcW w:type="dxa" w:w="2541"/>
            <w:vAlign w:val="center"/>
            <w:shd w:fill="F2F6F8"/>
          </w:tcPr>
          <w:p>
            <w:pPr>
              <w:spacing w:after="20"/>
            </w:pPr>
            <w:r/>
            <w:r>
              <w:rPr>
                <w:rFonts w:ascii="Aptos" w:hAnsi="Aptos"/>
                <w:b w:val="0"/>
                <w:sz w:val="16"/>
              </w:rPr>
              <w:t>Creates an application/enquiry record with a unique application ID and initial status; checks for likely duplicates.</w:t>
            </w:r>
          </w:p>
        </w:tc>
        <w:tc>
          <w:tcPr>
            <w:tcW w:type="dxa" w:w="2541"/>
            <w:vAlign w:val="center"/>
            <w:shd w:fill="F2F6F8"/>
          </w:tcPr>
          <w:p>
            <w:pPr>
              <w:spacing w:after="20"/>
            </w:pPr>
            <w:r/>
            <w:r>
              <w:rPr>
                <w:rFonts w:ascii="Aptos" w:hAnsi="Aptos"/>
                <w:b w:val="0"/>
                <w:sz w:val="16"/>
              </w:rPr>
              <w:t>Before live intake, confirm lawful purpose and bank/DSA operational readiness. MVP1 uses synthetic data.</w:t>
            </w:r>
          </w:p>
        </w:tc>
      </w:tr>
      <w:tr>
        <w:tc>
          <w:tcPr>
            <w:tcW w:type="dxa" w:w="2541"/>
            <w:vAlign w:val="center"/>
          </w:tcPr>
          <w:p>
            <w:pPr>
              <w:spacing w:after="20"/>
            </w:pPr>
            <w:r/>
            <w:r>
              <w:rPr>
                <w:rFonts w:ascii="Aptos" w:hAnsi="Aptos"/>
                <w:b w:val="0"/>
                <w:sz w:val="16"/>
              </w:rPr>
              <w:t>3. Understand data use</w:t>
            </w:r>
          </w:p>
        </w:tc>
        <w:tc>
          <w:tcPr>
            <w:tcW w:type="dxa" w:w="2541"/>
            <w:vAlign w:val="center"/>
          </w:tcPr>
          <w:p>
            <w:pPr>
              <w:spacing w:after="20"/>
            </w:pPr>
            <w:r/>
            <w:r>
              <w:rPr>
                <w:rFonts w:ascii="Aptos" w:hAnsi="Aptos"/>
                <w:b w:val="0"/>
                <w:sz w:val="16"/>
              </w:rPr>
              <w:t>Reviews the notice and provides required consent before relevant personal data is processed/shared.</w:t>
            </w:r>
          </w:p>
        </w:tc>
        <w:tc>
          <w:tcPr>
            <w:tcW w:type="dxa" w:w="2541"/>
            <w:vAlign w:val="center"/>
          </w:tcPr>
          <w:p>
            <w:pPr>
              <w:spacing w:after="20"/>
            </w:pPr>
            <w:r/>
            <w:r>
              <w:rPr>
                <w:rFonts w:ascii="Aptos" w:hAnsi="Aptos"/>
                <w:b w:val="0"/>
                <w:sz w:val="16"/>
              </w:rPr>
              <w:t>Records consent scope, purpose, notice version, timestamp, channel and evidence; blocks gated processing if consent is absent/invalid.</w:t>
            </w:r>
          </w:p>
        </w:tc>
        <w:tc>
          <w:tcPr>
            <w:tcW w:type="dxa" w:w="2541"/>
            <w:vAlign w:val="center"/>
          </w:tcPr>
          <w:p>
            <w:pPr>
              <w:spacing w:after="20"/>
            </w:pPr>
            <w:r/>
            <w:r>
              <w:rPr>
                <w:rFonts w:ascii="Aptos" w:hAnsi="Aptos"/>
                <w:b w:val="0"/>
                <w:sz w:val="16"/>
              </w:rPr>
              <w:t>Consent is specific, traceable and revocable where applicable.</w:t>
            </w:r>
          </w:p>
        </w:tc>
      </w:tr>
      <w:tr>
        <w:tc>
          <w:tcPr>
            <w:tcW w:type="dxa" w:w="2541"/>
            <w:vAlign w:val="center"/>
            <w:shd w:fill="F2F6F8"/>
          </w:tcPr>
          <w:p>
            <w:pPr>
              <w:spacing w:after="20"/>
            </w:pPr>
            <w:r/>
            <w:r>
              <w:rPr>
                <w:rFonts w:ascii="Aptos" w:hAnsi="Aptos"/>
                <w:b w:val="0"/>
                <w:sz w:val="16"/>
              </w:rPr>
              <w:t>4. Complete profile</w:t>
            </w:r>
          </w:p>
        </w:tc>
        <w:tc>
          <w:tcPr>
            <w:tcW w:type="dxa" w:w="2541"/>
            <w:vAlign w:val="center"/>
            <w:shd w:fill="F2F6F8"/>
          </w:tcPr>
          <w:p>
            <w:pPr>
              <w:spacing w:after="20"/>
            </w:pPr>
            <w:r/>
            <w:r>
              <w:rPr>
                <w:rFonts w:ascii="Aptos" w:hAnsi="Aptos"/>
                <w:b w:val="0"/>
                <w:sz w:val="16"/>
              </w:rPr>
              <w:t>Provides personal, contact, employment, income, obligation and loan requirement details as requested.</w:t>
            </w:r>
          </w:p>
        </w:tc>
        <w:tc>
          <w:tcPr>
            <w:tcW w:type="dxa" w:w="2541"/>
            <w:vAlign w:val="center"/>
            <w:shd w:fill="F2F6F8"/>
          </w:tcPr>
          <w:p>
            <w:pPr>
              <w:spacing w:after="20"/>
            </w:pPr>
            <w:r/>
            <w:r>
              <w:rPr>
                <w:rFonts w:ascii="Aptos" w:hAnsi="Aptos"/>
                <w:b w:val="0"/>
                <w:sz w:val="16"/>
              </w:rPr>
              <w:t>Saves structured canonical applicant/application data; validates formats and required fields; records changes.</w:t>
            </w:r>
          </w:p>
        </w:tc>
        <w:tc>
          <w:tcPr>
            <w:tcW w:type="dxa" w:w="2541"/>
            <w:vAlign w:val="center"/>
            <w:shd w:fill="F2F6F8"/>
          </w:tcPr>
          <w:p>
            <w:pPr>
              <w:spacing w:after="20"/>
            </w:pPr>
            <w:r/>
            <w:r>
              <w:rPr>
                <w:rFonts w:ascii="Aptos" w:hAnsi="Aptos"/>
                <w:b w:val="0"/>
                <w:sz w:val="16"/>
              </w:rPr>
              <w:t>Collect minimum necessary data; avoid repeated entry.</w:t>
            </w:r>
          </w:p>
        </w:tc>
      </w:tr>
      <w:tr>
        <w:tc>
          <w:tcPr>
            <w:tcW w:type="dxa" w:w="2541"/>
            <w:vAlign w:val="center"/>
          </w:tcPr>
          <w:p>
            <w:pPr>
              <w:spacing w:after="20"/>
            </w:pPr>
            <w:r/>
            <w:r>
              <w:rPr>
                <w:rFonts w:ascii="Aptos" w:hAnsi="Aptos"/>
                <w:b w:val="0"/>
                <w:sz w:val="16"/>
              </w:rPr>
              <w:t>5. Provide identity/document information</w:t>
            </w:r>
          </w:p>
        </w:tc>
        <w:tc>
          <w:tcPr>
            <w:tcW w:type="dxa" w:w="2541"/>
            <w:vAlign w:val="center"/>
          </w:tcPr>
          <w:p>
            <w:pPr>
              <w:spacing w:after="20"/>
            </w:pPr>
            <w:r/>
            <w:r>
              <w:rPr>
                <w:rFonts w:ascii="Aptos" w:hAnsi="Aptos"/>
                <w:b w:val="0"/>
                <w:sz w:val="16"/>
              </w:rPr>
              <w:t>Supplies only documents and identifiers required for the permitted DSA workflow.</w:t>
            </w:r>
          </w:p>
        </w:tc>
        <w:tc>
          <w:tcPr>
            <w:tcW w:type="dxa" w:w="2541"/>
            <w:vAlign w:val="center"/>
          </w:tcPr>
          <w:p>
            <w:pPr>
              <w:spacing w:after="20"/>
            </w:pPr>
            <w:r/>
            <w:r>
              <w:rPr>
                <w:rFonts w:ascii="Aptos" w:hAnsi="Aptos"/>
                <w:b w:val="0"/>
                <w:sz w:val="16"/>
              </w:rPr>
              <w:t>Secure upload; file type/size validation; malware scanning where configured; private storage; versioning and access logging.</w:t>
            </w:r>
          </w:p>
        </w:tc>
        <w:tc>
          <w:tcPr>
            <w:tcW w:type="dxa" w:w="2541"/>
            <w:vAlign w:val="center"/>
          </w:tcPr>
          <w:p>
            <w:pPr>
              <w:spacing w:after="20"/>
            </w:pPr>
            <w:r/>
            <w:r>
              <w:rPr>
                <w:rFonts w:ascii="Aptos" w:hAnsi="Aptos"/>
                <w:b w:val="0"/>
                <w:sz w:val="16"/>
              </w:rPr>
              <w:t>No unauthorised Aadhaar authentication; mask/restrict sensitive identifiers according to approved policy.</w:t>
            </w:r>
          </w:p>
        </w:tc>
      </w:tr>
      <w:tr>
        <w:tc>
          <w:tcPr>
            <w:tcW w:type="dxa" w:w="2541"/>
            <w:vAlign w:val="center"/>
            <w:shd w:fill="F2F6F8"/>
          </w:tcPr>
          <w:p>
            <w:pPr>
              <w:spacing w:after="20"/>
            </w:pPr>
            <w:r/>
            <w:r>
              <w:rPr>
                <w:rFonts w:ascii="Aptos" w:hAnsi="Aptos"/>
                <w:b w:val="0"/>
                <w:sz w:val="16"/>
              </w:rPr>
              <w:t>6. Review completeness</w:t>
            </w:r>
          </w:p>
        </w:tc>
        <w:tc>
          <w:tcPr>
            <w:tcW w:type="dxa" w:w="2541"/>
            <w:vAlign w:val="center"/>
            <w:shd w:fill="F2F6F8"/>
          </w:tcPr>
          <w:p>
            <w:pPr>
              <w:spacing w:after="20"/>
            </w:pPr>
            <w:r/>
            <w:r>
              <w:rPr>
                <w:rFonts w:ascii="Aptos" w:hAnsi="Aptos"/>
                <w:b w:val="0"/>
                <w:sz w:val="16"/>
              </w:rPr>
              <w:t>Sees missing, unclear, expired or inconsistent information and guidance to correct it.</w:t>
            </w:r>
          </w:p>
        </w:tc>
        <w:tc>
          <w:tcPr>
            <w:tcW w:type="dxa" w:w="2541"/>
            <w:vAlign w:val="center"/>
            <w:shd w:fill="F2F6F8"/>
          </w:tcPr>
          <w:p>
            <w:pPr>
              <w:spacing w:after="20"/>
            </w:pPr>
            <w:r/>
            <w:r>
              <w:rPr>
                <w:rFonts w:ascii="Aptos" w:hAnsi="Aptos"/>
                <w:b w:val="0"/>
                <w:sz w:val="16"/>
              </w:rPr>
              <w:t>Runs deterministic completeness and data-quality checks; creates structured issues and requests replacement/clarification if needed.</w:t>
            </w:r>
          </w:p>
        </w:tc>
        <w:tc>
          <w:tcPr>
            <w:tcW w:type="dxa" w:w="2541"/>
            <w:vAlign w:val="center"/>
            <w:shd w:fill="F2F6F8"/>
          </w:tcPr>
          <w:p>
            <w:pPr>
              <w:spacing w:after="20"/>
            </w:pPr>
            <w:r/>
            <w:r>
              <w:rPr>
                <w:rFonts w:ascii="Aptos" w:hAnsi="Aptos"/>
                <w:b w:val="0"/>
                <w:sz w:val="16"/>
              </w:rPr>
              <w:t>A pass means internally complete/consistent only—not lender KYC or eligibility approval.</w:t>
            </w:r>
          </w:p>
        </w:tc>
      </w:tr>
      <w:tr>
        <w:tc>
          <w:tcPr>
            <w:tcW w:type="dxa" w:w="2541"/>
            <w:vAlign w:val="center"/>
          </w:tcPr>
          <w:p>
            <w:pPr>
              <w:spacing w:after="20"/>
            </w:pPr>
            <w:r/>
            <w:r>
              <w:rPr>
                <w:rFonts w:ascii="Aptos" w:hAnsi="Aptos"/>
                <w:b w:val="0"/>
                <w:sz w:val="16"/>
              </w:rPr>
              <w:t>7. Submit for internal review</w:t>
            </w:r>
          </w:p>
        </w:tc>
        <w:tc>
          <w:tcPr>
            <w:tcW w:type="dxa" w:w="2541"/>
            <w:vAlign w:val="center"/>
          </w:tcPr>
          <w:p>
            <w:pPr>
              <w:spacing w:after="20"/>
            </w:pPr>
            <w:r/>
            <w:r>
              <w:rPr>
                <w:rFonts w:ascii="Aptos" w:hAnsi="Aptos"/>
                <w:b w:val="0"/>
                <w:sz w:val="16"/>
              </w:rPr>
              <w:t>Confirms details and submits the application for Loans4India review.</w:t>
            </w:r>
          </w:p>
        </w:tc>
        <w:tc>
          <w:tcPr>
            <w:tcW w:type="dxa" w:w="2541"/>
            <w:vAlign w:val="center"/>
          </w:tcPr>
          <w:p>
            <w:pPr>
              <w:spacing w:after="20"/>
            </w:pPr>
            <w:r/>
            <w:r>
              <w:rPr>
                <w:rFonts w:ascii="Aptos" w:hAnsi="Aptos"/>
                <w:b w:val="0"/>
                <w:sz w:val="16"/>
              </w:rPr>
              <w:t>Freezes a review snapshot/version; records submission event; places case in operations queue.</w:t>
            </w:r>
          </w:p>
        </w:tc>
        <w:tc>
          <w:tcPr>
            <w:tcW w:type="dxa" w:w="2541"/>
            <w:vAlign w:val="center"/>
          </w:tcPr>
          <w:p>
            <w:pPr>
              <w:spacing w:after="20"/>
            </w:pPr>
            <w:r/>
            <w:r>
              <w:rPr>
                <w:rFonts w:ascii="Aptos" w:hAnsi="Aptos"/>
                <w:b w:val="0"/>
                <w:sz w:val="16"/>
              </w:rPr>
              <w:t>Customer sees an internal review status, not a bank-submitted status.</w:t>
            </w:r>
          </w:p>
        </w:tc>
      </w:tr>
      <w:tr>
        <w:tc>
          <w:tcPr>
            <w:tcW w:type="dxa" w:w="2541"/>
            <w:vAlign w:val="center"/>
            <w:shd w:fill="F2F6F8"/>
          </w:tcPr>
          <w:p>
            <w:pPr>
              <w:spacing w:after="20"/>
            </w:pPr>
            <w:r/>
            <w:r>
              <w:rPr>
                <w:rFonts w:ascii="Aptos" w:hAnsi="Aptos"/>
                <w:b w:val="0"/>
                <w:sz w:val="16"/>
              </w:rPr>
              <w:t>8. Respond to action request</w:t>
            </w:r>
          </w:p>
        </w:tc>
        <w:tc>
          <w:tcPr>
            <w:tcW w:type="dxa" w:w="2541"/>
            <w:vAlign w:val="center"/>
            <w:shd w:fill="F2F6F8"/>
          </w:tcPr>
          <w:p>
            <w:pPr>
              <w:spacing w:after="20"/>
            </w:pPr>
            <w:r/>
            <w:r>
              <w:rPr>
                <w:rFonts w:ascii="Aptos" w:hAnsi="Aptos"/>
                <w:b w:val="0"/>
                <w:sz w:val="16"/>
              </w:rPr>
              <w:t>Receives a request for missing/unclear information and uploads correction or responds.</w:t>
            </w:r>
          </w:p>
        </w:tc>
        <w:tc>
          <w:tcPr>
            <w:tcW w:type="dxa" w:w="2541"/>
            <w:vAlign w:val="center"/>
            <w:shd w:fill="F2F6F8"/>
          </w:tcPr>
          <w:p>
            <w:pPr>
              <w:spacing w:after="20"/>
            </w:pPr>
            <w:r/>
            <w:r>
              <w:rPr>
                <w:rFonts w:ascii="Aptos" w:hAnsi="Aptos"/>
                <w:b w:val="0"/>
                <w:sz w:val="16"/>
              </w:rPr>
              <w:t>Links response to the open issue; retains prior versions; returns case to reviewer queue.</w:t>
            </w:r>
          </w:p>
        </w:tc>
        <w:tc>
          <w:tcPr>
            <w:tcW w:type="dxa" w:w="2541"/>
            <w:vAlign w:val="center"/>
            <w:shd w:fill="F2F6F8"/>
          </w:tcPr>
          <w:p>
            <w:pPr>
              <w:spacing w:after="20"/>
            </w:pPr>
            <w:r/>
            <w:r>
              <w:rPr>
                <w:rFonts w:ascii="Aptos" w:hAnsi="Aptos"/>
                <w:b w:val="0"/>
                <w:sz w:val="16"/>
              </w:rPr>
              <w:t>All requests, responses and versions are timestamped.</w:t>
            </w:r>
          </w:p>
        </w:tc>
      </w:tr>
      <w:tr>
        <w:tc>
          <w:tcPr>
            <w:tcW w:type="dxa" w:w="2541"/>
            <w:vAlign w:val="center"/>
          </w:tcPr>
          <w:p>
            <w:pPr>
              <w:spacing w:after="20"/>
            </w:pPr>
            <w:r/>
            <w:r>
              <w:rPr>
                <w:rFonts w:ascii="Aptos" w:hAnsi="Aptos"/>
                <w:b w:val="0"/>
                <w:sz w:val="16"/>
              </w:rPr>
              <w:t>9. Review prepared application</w:t>
            </w:r>
          </w:p>
        </w:tc>
        <w:tc>
          <w:tcPr>
            <w:tcW w:type="dxa" w:w="2541"/>
            <w:vAlign w:val="center"/>
          </w:tcPr>
          <w:p>
            <w:pPr>
              <w:spacing w:after="20"/>
            </w:pPr>
            <w:r/>
            <w:r>
              <w:rPr>
                <w:rFonts w:ascii="Aptos" w:hAnsi="Aptos"/>
                <w:b w:val="0"/>
                <w:sz w:val="16"/>
              </w:rPr>
              <w:t>May be asked to confirm corrected details or provide additional consent where purpose/scope changes.</w:t>
            </w:r>
          </w:p>
        </w:tc>
        <w:tc>
          <w:tcPr>
            <w:tcW w:type="dxa" w:w="2541"/>
            <w:vAlign w:val="center"/>
          </w:tcPr>
          <w:p>
            <w:pPr>
              <w:spacing w:after="20"/>
            </w:pPr>
            <w:r/>
            <w:r>
              <w:rPr>
                <w:rFonts w:ascii="Aptos" w:hAnsi="Aptos"/>
                <w:b w:val="0"/>
                <w:sz w:val="16"/>
              </w:rPr>
              <w:t>Prepares bank-format fields and checklist; performs internal review and marks handoff readiness when requirements pass.</w:t>
            </w:r>
          </w:p>
        </w:tc>
        <w:tc>
          <w:tcPr>
            <w:tcW w:type="dxa" w:w="2541"/>
            <w:vAlign w:val="center"/>
          </w:tcPr>
          <w:p>
            <w:pPr>
              <w:spacing w:after="20"/>
            </w:pPr>
            <w:r/>
            <w:r>
              <w:rPr>
                <w:rFonts w:ascii="Aptos" w:hAnsi="Aptos"/>
                <w:b w:val="0"/>
                <w:sz w:val="16"/>
              </w:rPr>
              <w:t>Readiness is an internal state only.</w:t>
            </w:r>
          </w:p>
        </w:tc>
      </w:tr>
      <w:tr>
        <w:tc>
          <w:tcPr>
            <w:tcW w:type="dxa" w:w="2541"/>
            <w:vAlign w:val="center"/>
            <w:shd w:fill="F2F6F8"/>
          </w:tcPr>
          <w:p>
            <w:pPr>
              <w:spacing w:after="20"/>
            </w:pPr>
            <w:r/>
            <w:r>
              <w:rPr>
                <w:rFonts w:ascii="Aptos" w:hAnsi="Aptos"/>
                <w:b w:val="0"/>
                <w:sz w:val="16"/>
              </w:rPr>
              <w:t>10. Bank handoff</w:t>
            </w:r>
          </w:p>
        </w:tc>
        <w:tc>
          <w:tcPr>
            <w:tcW w:type="dxa" w:w="2541"/>
            <w:vAlign w:val="center"/>
            <w:shd w:fill="F2F6F8"/>
          </w:tcPr>
          <w:p>
            <w:pPr>
              <w:spacing w:after="20"/>
            </w:pPr>
            <w:r/>
            <w:r>
              <w:rPr>
                <w:rFonts w:ascii="Aptos" w:hAnsi="Aptos"/>
                <w:b w:val="0"/>
                <w:sz w:val="16"/>
              </w:rPr>
              <w:t>Is informed when the application is actually submitted to a named bank through an authorised process.</w:t>
            </w:r>
          </w:p>
        </w:tc>
        <w:tc>
          <w:tcPr>
            <w:tcW w:type="dxa" w:w="2541"/>
            <w:vAlign w:val="center"/>
            <w:shd w:fill="F2F6F8"/>
          </w:tcPr>
          <w:p>
            <w:pPr>
              <w:spacing w:after="20"/>
            </w:pPr>
            <w:r/>
            <w:r>
              <w:rPr>
                <w:rFonts w:ascii="Aptos" w:hAnsi="Aptos"/>
                <w:b w:val="0"/>
                <w:sz w:val="16"/>
              </w:rPr>
              <w:t>After agreement/access exists, authorised operator uses approved portal/manual/file/API channel and records bank reference/ack or operator evidence.</w:t>
            </w:r>
          </w:p>
        </w:tc>
        <w:tc>
          <w:tcPr>
            <w:tcW w:type="dxa" w:w="2541"/>
            <w:vAlign w:val="center"/>
            <w:shd w:fill="F2F6F8"/>
          </w:tcPr>
          <w:p>
            <w:pPr>
              <w:spacing w:after="20"/>
            </w:pPr>
            <w:r/>
            <w:r>
              <w:rPr>
                <w:rFonts w:ascii="Aptos" w:hAnsi="Aptos"/>
                <w:b w:val="0"/>
                <w:sz w:val="16"/>
              </w:rPr>
              <w:t>Only then may status become Submitted to Bank.</w:t>
            </w:r>
          </w:p>
        </w:tc>
      </w:tr>
      <w:tr>
        <w:tc>
          <w:tcPr>
            <w:tcW w:type="dxa" w:w="2541"/>
            <w:vAlign w:val="center"/>
          </w:tcPr>
          <w:p>
            <w:pPr>
              <w:spacing w:after="20"/>
            </w:pPr>
            <w:r/>
            <w:r>
              <w:rPr>
                <w:rFonts w:ascii="Aptos" w:hAnsi="Aptos"/>
                <w:b w:val="0"/>
                <w:sz w:val="16"/>
              </w:rPr>
              <w:t>11. Bank processing</w:t>
            </w:r>
          </w:p>
        </w:tc>
        <w:tc>
          <w:tcPr>
            <w:tcW w:type="dxa" w:w="2541"/>
            <w:vAlign w:val="center"/>
          </w:tcPr>
          <w:p>
            <w:pPr>
              <w:spacing w:after="20"/>
            </w:pPr>
            <w:r/>
            <w:r>
              <w:rPr>
                <w:rFonts w:ascii="Aptos" w:hAnsi="Aptos"/>
                <w:b w:val="0"/>
                <w:sz w:val="16"/>
              </w:rPr>
              <w:t>Receives updates or requests for additional information, subject to available bank reporting.</w:t>
            </w:r>
          </w:p>
        </w:tc>
        <w:tc>
          <w:tcPr>
            <w:tcW w:type="dxa" w:w="2541"/>
            <w:vAlign w:val="center"/>
          </w:tcPr>
          <w:p>
            <w:pPr>
              <w:spacing w:after="20"/>
            </w:pPr>
            <w:r/>
            <w:r>
              <w:rPr>
                <w:rFonts w:ascii="Aptos" w:hAnsi="Aptos"/>
                <w:b w:val="0"/>
                <w:sz w:val="16"/>
              </w:rPr>
              <w:t>Records bank-confirmed status, bank queries, due dates and customer action requests; follows up through agreed channel.</w:t>
            </w:r>
          </w:p>
        </w:tc>
        <w:tc>
          <w:tcPr>
            <w:tcW w:type="dxa" w:w="2541"/>
            <w:vAlign w:val="center"/>
          </w:tcPr>
          <w:p>
            <w:pPr>
              <w:spacing w:after="20"/>
            </w:pPr>
            <w:r/>
            <w:r>
              <w:rPr>
                <w:rFonts w:ascii="Aptos" w:hAnsi="Aptos"/>
                <w:b w:val="0"/>
                <w:sz w:val="16"/>
              </w:rPr>
              <w:t>Bank controls processing and decision.</w:t>
            </w:r>
          </w:p>
        </w:tc>
      </w:tr>
      <w:tr>
        <w:tc>
          <w:tcPr>
            <w:tcW w:type="dxa" w:w="2541"/>
            <w:vAlign w:val="center"/>
            <w:shd w:fill="F2F6F8"/>
          </w:tcPr>
          <w:p>
            <w:pPr>
              <w:spacing w:after="20"/>
            </w:pPr>
            <w:r/>
            <w:r>
              <w:rPr>
                <w:rFonts w:ascii="Aptos" w:hAnsi="Aptos"/>
                <w:b w:val="0"/>
                <w:sz w:val="16"/>
              </w:rPr>
              <w:t>12. Bank decision / offer</w:t>
            </w:r>
          </w:p>
        </w:tc>
        <w:tc>
          <w:tcPr>
            <w:tcW w:type="dxa" w:w="2541"/>
            <w:vAlign w:val="center"/>
            <w:shd w:fill="F2F6F8"/>
          </w:tcPr>
          <w:p>
            <w:pPr>
              <w:spacing w:after="20"/>
            </w:pPr>
            <w:r/>
            <w:r>
              <w:rPr>
                <w:rFonts w:ascii="Aptos" w:hAnsi="Aptos"/>
                <w:b w:val="0"/>
                <w:sz w:val="16"/>
              </w:rPr>
              <w:t>Receives the verified bank decision and any offer terms made available by the bank.</w:t>
            </w:r>
          </w:p>
        </w:tc>
        <w:tc>
          <w:tcPr>
            <w:tcW w:type="dxa" w:w="2541"/>
            <w:vAlign w:val="center"/>
            <w:shd w:fill="F2F6F8"/>
          </w:tcPr>
          <w:p>
            <w:pPr>
              <w:spacing w:after="20"/>
            </w:pPr>
            <w:r/>
            <w:r>
              <w:rPr>
                <w:rFonts w:ascii="Aptos" w:hAnsi="Aptos"/>
                <w:b w:val="0"/>
                <w:sz w:val="16"/>
              </w:rPr>
              <w:t>Records outcome and evidence; communicates only confirmed information and next steps.</w:t>
            </w:r>
          </w:p>
        </w:tc>
        <w:tc>
          <w:tcPr>
            <w:tcW w:type="dxa" w:w="2541"/>
            <w:vAlign w:val="center"/>
            <w:shd w:fill="F2F6F8"/>
          </w:tcPr>
          <w:p>
            <w:pPr>
              <w:spacing w:after="20"/>
            </w:pPr>
            <w:r/>
            <w:r>
              <w:rPr>
                <w:rFonts w:ascii="Aptos" w:hAnsi="Aptos"/>
                <w:b w:val="0"/>
                <w:sz w:val="16"/>
              </w:rPr>
              <w:t>Do not relabel conditional/in-principle status as final sanction.</w:t>
            </w:r>
          </w:p>
        </w:tc>
      </w:tr>
      <w:tr>
        <w:tc>
          <w:tcPr>
            <w:tcW w:type="dxa" w:w="2541"/>
            <w:vAlign w:val="center"/>
          </w:tcPr>
          <w:p>
            <w:pPr>
              <w:spacing w:after="20"/>
            </w:pPr>
            <w:r/>
            <w:r>
              <w:rPr>
                <w:rFonts w:ascii="Aptos" w:hAnsi="Aptos"/>
                <w:b w:val="0"/>
                <w:sz w:val="16"/>
              </w:rPr>
              <w:t>13. Agreement and disbursement</w:t>
            </w:r>
          </w:p>
        </w:tc>
        <w:tc>
          <w:tcPr>
            <w:tcW w:type="dxa" w:w="2541"/>
            <w:vAlign w:val="center"/>
          </w:tcPr>
          <w:p>
            <w:pPr>
              <w:spacing w:after="20"/>
            </w:pPr>
            <w:r/>
            <w:r>
              <w:rPr>
                <w:rFonts w:ascii="Aptos" w:hAnsi="Aptos"/>
                <w:b w:val="0"/>
                <w:sz w:val="16"/>
              </w:rPr>
              <w:t>If proceeding, completes bank-directed agreement and fulfilment steps with the bank.</w:t>
            </w:r>
          </w:p>
        </w:tc>
        <w:tc>
          <w:tcPr>
            <w:tcW w:type="dxa" w:w="2541"/>
            <w:vAlign w:val="center"/>
          </w:tcPr>
          <w:p>
            <w:pPr>
              <w:spacing w:after="20"/>
            </w:pPr>
            <w:r/>
            <w:r>
              <w:rPr>
                <w:rFonts w:ascii="Aptos" w:hAnsi="Aptos"/>
                <w:b w:val="0"/>
                <w:sz w:val="16"/>
              </w:rPr>
              <w:t>Tracks available milestones and confirmation evidence; does not execute lender duties on the bank’s behalf.</w:t>
            </w:r>
          </w:p>
        </w:tc>
        <w:tc>
          <w:tcPr>
            <w:tcW w:type="dxa" w:w="2541"/>
            <w:vAlign w:val="center"/>
          </w:tcPr>
          <w:p>
            <w:pPr>
              <w:spacing w:after="20"/>
            </w:pPr>
            <w:r/>
            <w:r>
              <w:rPr>
                <w:rFonts w:ascii="Aptos" w:hAnsi="Aptos"/>
                <w:b w:val="0"/>
                <w:sz w:val="16"/>
              </w:rPr>
              <w:t>Bank owns agreement, disbursement and servicing.</w:t>
            </w:r>
          </w:p>
        </w:tc>
      </w:tr>
      <w:tr>
        <w:tc>
          <w:tcPr>
            <w:tcW w:type="dxa" w:w="2541"/>
            <w:vAlign w:val="center"/>
            <w:shd w:fill="F2F6F8"/>
          </w:tcPr>
          <w:p>
            <w:pPr>
              <w:spacing w:after="20"/>
            </w:pPr>
            <w:r/>
            <w:r>
              <w:rPr>
                <w:rFonts w:ascii="Aptos" w:hAnsi="Aptos"/>
                <w:b w:val="0"/>
                <w:sz w:val="16"/>
              </w:rPr>
              <w:t>14. Post-outcome support</w:t>
            </w:r>
          </w:p>
        </w:tc>
        <w:tc>
          <w:tcPr>
            <w:tcW w:type="dxa" w:w="2541"/>
            <w:vAlign w:val="center"/>
            <w:shd w:fill="F2F6F8"/>
          </w:tcPr>
          <w:p>
            <w:pPr>
              <w:spacing w:after="20"/>
            </w:pPr>
            <w:r/>
            <w:r>
              <w:rPr>
                <w:rFonts w:ascii="Aptos" w:hAnsi="Aptos"/>
                <w:b w:val="0"/>
                <w:sz w:val="16"/>
              </w:rPr>
              <w:t>Can ask about process, status, complaint route or next steps.</w:t>
            </w:r>
          </w:p>
        </w:tc>
        <w:tc>
          <w:tcPr>
            <w:tcW w:type="dxa" w:w="2541"/>
            <w:vAlign w:val="center"/>
            <w:shd w:fill="F2F6F8"/>
          </w:tcPr>
          <w:p>
            <w:pPr>
              <w:spacing w:after="20"/>
            </w:pPr>
            <w:r/>
            <w:r>
              <w:rPr>
                <w:rFonts w:ascii="Aptos" w:hAnsi="Aptos"/>
                <w:b w:val="0"/>
                <w:sz w:val="16"/>
              </w:rPr>
              <w:t>Provides support, status visibility and appropriate closure; records complaints and resolutions.</w:t>
            </w:r>
          </w:p>
        </w:tc>
        <w:tc>
          <w:tcPr>
            <w:tcW w:type="dxa" w:w="2541"/>
            <w:vAlign w:val="center"/>
            <w:shd w:fill="F2F6F8"/>
          </w:tcPr>
          <w:p>
            <w:pPr>
              <w:spacing w:after="20"/>
            </w:pPr>
            <w:r/>
            <w:r>
              <w:rPr>
                <w:rFonts w:ascii="Aptos" w:hAnsi="Aptos"/>
                <w:b w:val="0"/>
                <w:sz w:val="16"/>
              </w:rPr>
              <w:t>No loan servicing or EMI collection unless separately authorised and legally validated.</w:t>
            </w:r>
          </w:p>
        </w:tc>
      </w:tr>
      <w:tr>
        <w:tc>
          <w:tcPr>
            <w:tcW w:type="dxa" w:w="2541"/>
            <w:vAlign w:val="center"/>
          </w:tcPr>
          <w:p>
            <w:pPr>
              <w:spacing w:after="20"/>
            </w:pPr>
            <w:r/>
            <w:r>
              <w:rPr>
                <w:rFonts w:ascii="Aptos" w:hAnsi="Aptos"/>
                <w:b w:val="0"/>
                <w:sz w:val="16"/>
              </w:rPr>
              <w:t>15. DSA commission reconciliation (not borrower action)</w:t>
            </w:r>
          </w:p>
        </w:tc>
        <w:tc>
          <w:tcPr>
            <w:tcW w:type="dxa" w:w="2541"/>
            <w:vAlign w:val="center"/>
          </w:tcPr>
          <w:p>
            <w:pPr>
              <w:spacing w:after="20"/>
            </w:pPr>
            <w:r/>
            <w:r>
              <w:rPr>
                <w:rFonts w:ascii="Aptos" w:hAnsi="Aptos"/>
                <w:b w:val="0"/>
                <w:sz w:val="16"/>
              </w:rPr>
              <w:t>No action unless clarification is required and permitted.</w:t>
            </w:r>
          </w:p>
        </w:tc>
        <w:tc>
          <w:tcPr>
            <w:tcW w:type="dxa" w:w="2541"/>
            <w:vAlign w:val="center"/>
          </w:tcPr>
          <w:p>
            <w:pPr>
              <w:spacing w:after="20"/>
            </w:pPr>
            <w:r/>
            <w:r>
              <w:rPr>
                <w:rFonts w:ascii="Aptos" w:hAnsi="Aptos"/>
                <w:b w:val="0"/>
                <w:sz w:val="16"/>
              </w:rPr>
              <w:t>Matches bank MIS/payout evidence to application attribution and bank reference; tracks expected, received, outstanding, dispute and reversal.</w:t>
            </w:r>
          </w:p>
        </w:tc>
        <w:tc>
          <w:tcPr>
            <w:tcW w:type="dxa" w:w="2541"/>
            <w:vAlign w:val="center"/>
          </w:tcPr>
          <w:p>
            <w:pPr>
              <w:spacing w:after="20"/>
            </w:pPr>
            <w:r/>
            <w:r>
              <w:rPr>
                <w:rFonts w:ascii="Aptos" w:hAnsi="Aptos"/>
                <w:b w:val="0"/>
                <w:sz w:val="16"/>
              </w:rPr>
              <w:t>Commission is based on executed agreement and verified events.</w:t>
            </w:r>
          </w:p>
        </w:tc>
      </w:tr>
    </w:tbl>
    <w:p>
      <w:pPr>
        <w:spacing w:after="0"/>
      </w:pPr>
    </w:p>
    <w:p>
      <w:pPr>
        <w:pStyle w:val="Heading1"/>
      </w:pPr>
      <w:r>
        <w:t>5. Admin Back Office Flow</w:t>
      </w:r>
    </w:p>
    <w:p>
      <w:pPr>
        <w:pStyle w:val="Heading2"/>
      </w:pPr>
      <w:r>
        <w:t>5.1 Intake, queueing and assignment</w:t>
      </w:r>
    </w:p>
    <w:p>
      <w:pPr>
        <w:pStyle w:val="ListNumber"/>
        <w:spacing w:after="40"/>
      </w:pPr>
      <w:r>
        <w:t>Application enters the internal queue after the borrower completes the required consent and submits the application for review.</w:t>
      </w:r>
    </w:p>
    <w:p>
      <w:pPr>
        <w:pStyle w:val="ListNumber"/>
        <w:spacing w:after="40"/>
      </w:pPr>
      <w:r>
        <w:t>System checks duplicate indicators, required fields, consent validity and document inventory; it does not silently merge records.</w:t>
      </w:r>
    </w:p>
    <w:p>
      <w:pPr>
        <w:pStyle w:val="ListNumber"/>
        <w:spacing w:after="40"/>
      </w:pPr>
      <w:r>
        <w:t>Queue displays application ID, product, source attribution, created/updated time, current internal status, assigned owner, priority and outstanding action.</w:t>
      </w:r>
    </w:p>
    <w:p>
      <w:pPr>
        <w:pStyle w:val="ListNumber"/>
        <w:spacing w:after="40"/>
      </w:pPr>
      <w:r>
        <w:t>Operations Lead assigns or reassigns the case based on workload, skills, access scope and SLA; assignment history is retained.</w:t>
      </w:r>
    </w:p>
    <w:p>
      <w:pPr>
        <w:pStyle w:val="ListNumber"/>
        <w:spacing w:after="40"/>
      </w:pPr>
      <w:r>
        <w:t>The assigned operator opens the application workspace and reviews the applicant summary, consent evidence, data history, documents, issues and activity timeline.</w:t>
      </w:r>
    </w:p>
    <w:p>
      <w:pPr>
        <w:pStyle w:val="Heading2"/>
      </w:pPr>
      <w:r>
        <w:t>5.2 Document and data-quality review</w:t>
      </w:r>
    </w:p>
    <w:p>
      <w:pPr>
        <w:pStyle w:val="ListNumber"/>
        <w:spacing w:after="40"/>
      </w:pPr>
      <w:r>
        <w:t>Reviewer checks document presence, legibility, completeness, expiry and consistency against submitted fields, within the permitted DSA scope.</w:t>
      </w:r>
    </w:p>
    <w:p>
      <w:pPr>
        <w:pStyle w:val="ListNumber"/>
        <w:spacing w:after="40"/>
      </w:pPr>
      <w:r>
        <w:t>Reviewer selects Accept for internal preparation, Reject with a structured reason, or Request Replacement/Clarification.</w:t>
      </w:r>
    </w:p>
    <w:p>
      <w:pPr>
        <w:pStyle w:val="ListNumber"/>
        <w:spacing w:after="40"/>
      </w:pPr>
      <w:r>
        <w:t>Rejected or replaced files remain in version history; only the currently accepted version can be included in the preparation package.</w:t>
      </w:r>
    </w:p>
    <w:p>
      <w:pPr>
        <w:pStyle w:val="ListNumber"/>
        <w:spacing w:after="40"/>
      </w:pPr>
      <w:r>
        <w:t>The platform records reviewer identity, timestamp, decision, reason, comments and document version.</w:t>
      </w:r>
    </w:p>
    <w:p>
      <w:pPr>
        <w:pStyle w:val="ListNumber"/>
        <w:spacing w:after="40"/>
      </w:pPr>
      <w:r>
        <w:t>The case returns to the queue when the applicant responds; review resumes against the new version.</w:t>
      </w:r>
    </w:p>
    <w:p>
      <w:pPr>
        <w:pStyle w:val="ListNumber"/>
        <w:spacing w:after="40"/>
      </w:pPr>
      <w:r>
        <w:t>The reviewer cannot mark the application as bank-KYC-complete or credit-approved.</w:t>
      </w:r>
    </w:p>
    <w:p>
      <w:pPr>
        <w:pStyle w:val="Heading2"/>
      </w:pPr>
      <w:r>
        <w:t>5.3 Application preparation and internal quality gate</w:t>
      </w:r>
    </w:p>
    <w:p>
      <w:pPr>
        <w:pStyle w:val="ListNumber"/>
        <w:spacing w:after="40"/>
      </w:pPr>
      <w:r>
        <w:t>Map canonical applicant/application fields to the configured bank template and product requirements.</w:t>
      </w:r>
    </w:p>
    <w:p>
      <w:pPr>
        <w:pStyle w:val="ListNumber"/>
        <w:spacing w:after="40"/>
      </w:pPr>
      <w:r>
        <w:t>Run required-field, format, document checklist and consistency validations.</w:t>
      </w:r>
    </w:p>
    <w:p>
      <w:pPr>
        <w:pStyle w:val="ListNumber"/>
        <w:spacing w:after="40"/>
      </w:pPr>
      <w:r>
        <w:t>Resolve internal exceptions or return them to the applicant with clear instructions.</w:t>
      </w:r>
    </w:p>
    <w:p>
      <w:pPr>
        <w:pStyle w:val="ListNumber"/>
        <w:spacing w:after="40"/>
      </w:pPr>
      <w:r>
        <w:t>Operations Lead or designated reviewer performs a second-level check where configured.</w:t>
      </w:r>
    </w:p>
    <w:p>
      <w:pPr>
        <w:pStyle w:val="ListNumber"/>
        <w:spacing w:after="40"/>
      </w:pPr>
      <w:r>
        <w:t>When all configured requirements pass, move the application to Ready for Bank Handoff and generate a versioned preparation package/checklist.</w:t>
      </w:r>
    </w:p>
    <w:p>
      <w:pPr>
        <w:pStyle w:val="ListNumber"/>
        <w:spacing w:after="40"/>
      </w:pPr>
      <w:r>
        <w:t>Record the exact template/configuration version used so the package can be reproduced and audited.</w:t>
      </w:r>
    </w:p>
    <w:p>
      <w:pPr>
        <w:pStyle w:val="Heading2"/>
      </w:pPr>
      <w:r>
        <w:t>5.4 Bank-specific handoff</w:t>
      </w:r>
    </w:p>
    <w:p>
      <w:pPr>
        <w:pStyle w:val="ListNumber"/>
        <w:spacing w:after="40"/>
      </w:pPr>
      <w:r>
        <w:t>Bank Manager confirms an executed agreement, active DSA code/relationship, approved product, authorised users, permitted data fields, channel, credential policy and operating instructions.</w:t>
      </w:r>
    </w:p>
    <w:p>
      <w:pPr>
        <w:pStyle w:val="ListNumber"/>
        <w:spacing w:after="40"/>
      </w:pPr>
      <w:r>
        <w:t>Select the bank/product and validate that the case is within the agreement and sourcing criteria.</w:t>
      </w:r>
    </w:p>
    <w:p>
      <w:pPr>
        <w:pStyle w:val="ListNumber"/>
        <w:spacing w:after="40"/>
      </w:pPr>
      <w:r>
        <w:t>An individually authorised operator performs the approved handoff: portal entry, authorised manual entry, bulk upload or enabled API.</w:t>
      </w:r>
    </w:p>
    <w:p>
      <w:pPr>
        <w:pStyle w:val="ListNumber"/>
        <w:spacing w:after="40"/>
      </w:pPr>
      <w:r>
        <w:t>Capture submission timestamp, named operator/system adapter, channel, bank reference/application number, acknowledgement or other permitted evidence.</w:t>
      </w:r>
    </w:p>
    <w:p>
      <w:pPr>
        <w:pStyle w:val="ListNumber"/>
        <w:spacing w:after="40"/>
      </w:pPr>
      <w:r>
        <w:t>Only after evidence is recorded, transition to Submitted to Bank; otherwise retain Ready for Bank Handoff or mark Handoff Failed/Returned as appropriate.</w:t>
      </w:r>
    </w:p>
    <w:p>
      <w:pPr>
        <w:pStyle w:val="ListNumber"/>
        <w:spacing w:after="40"/>
      </w:pPr>
      <w:r>
        <w:t>For API/file automation, implement acknowledgements, retries, idempotency, error queues and reconciliation before production activation.</w:t>
      </w:r>
    </w:p>
    <w:p>
      <w:pPr>
        <w:pStyle w:val="Heading2"/>
      </w:pPr>
      <w:r>
        <w:t>5.5 Bank status tracking and query handling</w:t>
      </w:r>
    </w:p>
    <w:p>
      <w:pPr>
        <w:pStyle w:val="ListNumber"/>
        <w:spacing w:after="40"/>
      </w:pPr>
      <w:r>
        <w:t>Import or enter only bank-provided status information through the agreed process.</w:t>
      </w:r>
    </w:p>
    <w:p>
      <w:pPr>
        <w:pStyle w:val="ListNumber"/>
        <w:spacing w:after="40"/>
      </w:pPr>
      <w:r>
        <w:t>Record source, received timestamp, bank reference, status, supporting file/message and operator.</w:t>
      </w:r>
    </w:p>
    <w:p>
      <w:pPr>
        <w:pStyle w:val="ListNumber"/>
        <w:spacing w:after="40"/>
      </w:pPr>
      <w:r>
        <w:t>For Bank Query/Action Required, create a query record with exact requested information, responsible owner and due date.</w:t>
      </w:r>
    </w:p>
    <w:p>
      <w:pPr>
        <w:pStyle w:val="ListNumber"/>
        <w:spacing w:after="40"/>
      </w:pPr>
      <w:r>
        <w:t>If borrower action is required, send a purpose-limited request and securely collect the response.</w:t>
      </w:r>
    </w:p>
    <w:p>
      <w:pPr>
        <w:pStyle w:val="ListNumber"/>
        <w:spacing w:after="40"/>
      </w:pPr>
      <w:r>
        <w:t>Authorised DSA staff forward the response through the bank-approved channel and record evidence; update the query status based on bank confirmation.</w:t>
      </w:r>
    </w:p>
    <w:p>
      <w:pPr>
        <w:pStyle w:val="ListNumber"/>
        <w:spacing w:after="40"/>
      </w:pPr>
      <w:r>
        <w:t>Escalate overdue, ambiguous, returned or failed handoffs to the Bank Manager and Operations Lead.</w:t>
      </w:r>
    </w:p>
    <w:p>
      <w:pPr>
        <w:pStyle w:val="Heading2"/>
      </w:pPr>
      <w:r>
        <w:t>5.6 Outcome, commission and closure</w:t>
      </w:r>
    </w:p>
    <w:p>
      <w:pPr>
        <w:pStyle w:val="ListNumber"/>
        <w:spacing w:after="40"/>
      </w:pPr>
      <w:r>
        <w:t>Record bank-confirmed decision as provided: approved/sanctioned, rejected, withdrawn, expired or another explicitly mapped bank status.</w:t>
      </w:r>
    </w:p>
    <w:p>
      <w:pPr>
        <w:pStyle w:val="ListNumber"/>
        <w:spacing w:after="40"/>
      </w:pPr>
      <w:r>
        <w:t>Store sanction/decision evidence and key terms only where permitted and necessary; distinguish conditional approval from final sanction.</w:t>
      </w:r>
    </w:p>
    <w:p>
      <w:pPr>
        <w:pStyle w:val="ListNumber"/>
        <w:spacing w:after="40"/>
      </w:pPr>
      <w:r>
        <w:t>Record bank-confirmed disbursement details when available, including amount, date, bank reference and supporting MIS/evidence.</w:t>
      </w:r>
    </w:p>
    <w:p>
      <w:pPr>
        <w:pStyle w:val="ListNumber"/>
        <w:spacing w:after="40"/>
      </w:pPr>
      <w:r>
        <w:t>Calculate expected commission using the effective bank/product agreement version and qualifying event; preserve the rule snapshot.</w:t>
      </w:r>
    </w:p>
    <w:p>
      <w:pPr>
        <w:pStyle w:val="ListNumber"/>
        <w:spacing w:after="40"/>
      </w:pPr>
      <w:r>
        <w:t>Import bank MIS/payout files and match using bank reference, application ID, attribution and agreed reconciliation keys.</w:t>
      </w:r>
    </w:p>
    <w:p>
      <w:pPr>
        <w:pStyle w:val="ListNumber"/>
        <w:spacing w:after="40"/>
      </w:pPr>
      <w:r>
        <w:t>Route unmatched amounts, short payments, clawbacks, duplicate lines and missing evidence to a Finance exception queue.</w:t>
      </w:r>
    </w:p>
    <w:p>
      <w:pPr>
        <w:pStyle w:val="ListNumber"/>
        <w:spacing w:after="40"/>
      </w:pPr>
      <w:r>
        <w:t>Mark commission as received/reconciled only when supported by bank payout evidence; retain adjustments and reversals as ledger events.</w:t>
      </w:r>
    </w:p>
    <w:p>
      <w:pPr>
        <w:pStyle w:val="ListNumber"/>
        <w:spacing w:after="40"/>
      </w:pPr>
      <w:r>
        <w:t>Close the operational case when required actions are complete, while retaining records only for the approved retention period.</w:t>
      </w:r>
    </w:p>
    <w:p>
      <w:pPr>
        <w:pStyle w:val="Heading1"/>
      </w:pPr>
      <w:r>
        <w:t>6. Internal Status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6"/>
              </w:rPr>
              <w:t>Status</w:t>
            </w:r>
          </w:p>
        </w:tc>
        <w:tc>
          <w:tcPr>
            <w:tcW w:type="dxa" w:w="3389"/>
            <w:vAlign w:val="center"/>
            <w:shd w:fill="12304A"/>
          </w:tcPr>
          <w:p>
            <w:pPr>
              <w:spacing w:after="20"/>
            </w:pPr>
            <w:r/>
            <w:r>
              <w:rPr>
                <w:rFonts w:ascii="Aptos" w:hAnsi="Aptos"/>
                <w:b/>
                <w:color w:val="FFFFFF"/>
                <w:sz w:val="16"/>
              </w:rPr>
              <w:t>Meaning</w:t>
            </w:r>
          </w:p>
        </w:tc>
        <w:tc>
          <w:tcPr>
            <w:tcW w:type="dxa" w:w="3389"/>
            <w:vAlign w:val="center"/>
            <w:shd w:fill="12304A"/>
          </w:tcPr>
          <w:p>
            <w:pPr>
              <w:spacing w:after="20"/>
            </w:pPr>
            <w:r/>
            <w:r>
              <w:rPr>
                <w:rFonts w:ascii="Aptos" w:hAnsi="Aptos"/>
                <w:b/>
                <w:color w:val="FFFFFF"/>
                <w:sz w:val="16"/>
              </w:rPr>
              <w:t>Permitted transition / exit</w:t>
            </w:r>
          </w:p>
        </w:tc>
      </w:tr>
      <w:tr>
        <w:tc>
          <w:tcPr>
            <w:tcW w:type="dxa" w:w="3389"/>
            <w:vAlign w:val="center"/>
          </w:tcPr>
          <w:p>
            <w:pPr>
              <w:spacing w:after="20"/>
            </w:pPr>
            <w:r/>
            <w:r>
              <w:rPr>
                <w:rFonts w:ascii="Aptos" w:hAnsi="Aptos"/>
                <w:b w:val="0"/>
                <w:sz w:val="16"/>
              </w:rPr>
              <w:t>Enquiry Created</w:t>
            </w:r>
          </w:p>
        </w:tc>
        <w:tc>
          <w:tcPr>
            <w:tcW w:type="dxa" w:w="3389"/>
            <w:vAlign w:val="center"/>
          </w:tcPr>
          <w:p>
            <w:pPr>
              <w:spacing w:after="20"/>
            </w:pPr>
            <w:r/>
            <w:r>
              <w:rPr>
                <w:rFonts w:ascii="Aptos" w:hAnsi="Aptos"/>
                <w:b w:val="0"/>
                <w:sz w:val="16"/>
              </w:rPr>
              <w:t>Initial application record created.</w:t>
            </w:r>
          </w:p>
        </w:tc>
        <w:tc>
          <w:tcPr>
            <w:tcW w:type="dxa" w:w="3389"/>
            <w:vAlign w:val="center"/>
          </w:tcPr>
          <w:p>
            <w:pPr>
              <w:spacing w:after="20"/>
            </w:pPr>
            <w:r/>
            <w:r>
              <w:rPr>
                <w:rFonts w:ascii="Aptos" w:hAnsi="Aptos"/>
                <w:b w:val="0"/>
                <w:sz w:val="16"/>
              </w:rPr>
              <w:t>Consent/data collection or duplicate/internal rejection/withdrawal.</w:t>
            </w:r>
          </w:p>
        </w:tc>
      </w:tr>
      <w:tr>
        <w:tc>
          <w:tcPr>
            <w:tcW w:type="dxa" w:w="3389"/>
            <w:vAlign w:val="center"/>
            <w:shd w:fill="F2F6F8"/>
          </w:tcPr>
          <w:p>
            <w:pPr>
              <w:spacing w:after="20"/>
            </w:pPr>
            <w:r/>
            <w:r>
              <w:rPr>
                <w:rFonts w:ascii="Aptos" w:hAnsi="Aptos"/>
                <w:b w:val="0"/>
                <w:sz w:val="16"/>
              </w:rPr>
              <w:t>Consent Captured</w:t>
            </w:r>
          </w:p>
        </w:tc>
        <w:tc>
          <w:tcPr>
            <w:tcW w:type="dxa" w:w="3389"/>
            <w:vAlign w:val="center"/>
            <w:shd w:fill="F2F6F8"/>
          </w:tcPr>
          <w:p>
            <w:pPr>
              <w:spacing w:after="20"/>
            </w:pPr>
            <w:r/>
            <w:r>
              <w:rPr>
                <w:rFonts w:ascii="Aptos" w:hAnsi="Aptos"/>
                <w:b w:val="0"/>
                <w:sz w:val="16"/>
              </w:rPr>
              <w:t>Required consent recorded for the defined purpose.</w:t>
            </w:r>
          </w:p>
        </w:tc>
        <w:tc>
          <w:tcPr>
            <w:tcW w:type="dxa" w:w="3389"/>
            <w:vAlign w:val="center"/>
            <w:shd w:fill="F2F6F8"/>
          </w:tcPr>
          <w:p>
            <w:pPr>
              <w:spacing w:after="20"/>
            </w:pPr>
            <w:r/>
            <w:r>
              <w:rPr>
                <w:rFonts w:ascii="Aptos" w:hAnsi="Aptos"/>
                <w:b w:val="0"/>
                <w:sz w:val="16"/>
              </w:rPr>
              <w:t>Data collection; consent expiry/revocation handling.</w:t>
            </w:r>
          </w:p>
        </w:tc>
      </w:tr>
      <w:tr>
        <w:tc>
          <w:tcPr>
            <w:tcW w:type="dxa" w:w="3389"/>
            <w:vAlign w:val="center"/>
          </w:tcPr>
          <w:p>
            <w:pPr>
              <w:spacing w:after="20"/>
            </w:pPr>
            <w:r/>
            <w:r>
              <w:rPr>
                <w:rFonts w:ascii="Aptos" w:hAnsi="Aptos"/>
                <w:b w:val="0"/>
                <w:sz w:val="16"/>
              </w:rPr>
              <w:t>Data Collection</w:t>
            </w:r>
          </w:p>
        </w:tc>
        <w:tc>
          <w:tcPr>
            <w:tcW w:type="dxa" w:w="3389"/>
            <w:vAlign w:val="center"/>
          </w:tcPr>
          <w:p>
            <w:pPr>
              <w:spacing w:after="20"/>
            </w:pPr>
            <w:r/>
            <w:r>
              <w:rPr>
                <w:rFonts w:ascii="Aptos" w:hAnsi="Aptos"/>
                <w:b w:val="0"/>
                <w:sz w:val="16"/>
              </w:rPr>
              <w:t>Applicant is completing required fields/documents.</w:t>
            </w:r>
          </w:p>
        </w:tc>
        <w:tc>
          <w:tcPr>
            <w:tcW w:type="dxa" w:w="3389"/>
            <w:vAlign w:val="center"/>
          </w:tcPr>
          <w:p>
            <w:pPr>
              <w:spacing w:after="20"/>
            </w:pPr>
            <w:r/>
            <w:r>
              <w:rPr>
                <w:rFonts w:ascii="Aptos" w:hAnsi="Aptos"/>
                <w:b w:val="0"/>
                <w:sz w:val="16"/>
              </w:rPr>
              <w:t>Verification Review, Customer Withdrawn, Consent Expired/Revoked.</w:t>
            </w:r>
          </w:p>
        </w:tc>
      </w:tr>
      <w:tr>
        <w:tc>
          <w:tcPr>
            <w:tcW w:type="dxa" w:w="3389"/>
            <w:vAlign w:val="center"/>
            <w:shd w:fill="F2F6F8"/>
          </w:tcPr>
          <w:p>
            <w:pPr>
              <w:spacing w:after="20"/>
            </w:pPr>
            <w:r/>
            <w:r>
              <w:rPr>
                <w:rFonts w:ascii="Aptos" w:hAnsi="Aptos"/>
                <w:b w:val="0"/>
                <w:sz w:val="16"/>
              </w:rPr>
              <w:t>Verification Review</w:t>
            </w:r>
          </w:p>
        </w:tc>
        <w:tc>
          <w:tcPr>
            <w:tcW w:type="dxa" w:w="3389"/>
            <w:vAlign w:val="center"/>
            <w:shd w:fill="F2F6F8"/>
          </w:tcPr>
          <w:p>
            <w:pPr>
              <w:spacing w:after="20"/>
            </w:pPr>
            <w:r/>
            <w:r>
              <w:rPr>
                <w:rFonts w:ascii="Aptos" w:hAnsi="Aptos"/>
                <w:b w:val="0"/>
                <w:sz w:val="16"/>
              </w:rPr>
              <w:t>Internal permitted data/document checks underway.</w:t>
            </w:r>
          </w:p>
        </w:tc>
        <w:tc>
          <w:tcPr>
            <w:tcW w:type="dxa" w:w="3389"/>
            <w:vAlign w:val="center"/>
            <w:shd w:fill="F2F6F8"/>
          </w:tcPr>
          <w:p>
            <w:pPr>
              <w:spacing w:after="20"/>
            </w:pPr>
            <w:r/>
            <w:r>
              <w:rPr>
                <w:rFonts w:ascii="Aptos" w:hAnsi="Aptos"/>
                <w:b w:val="0"/>
                <w:sz w:val="16"/>
              </w:rPr>
              <w:t>Application Preparation, Action Required, Duplicate/Rejected Internally, Withdrawn.</w:t>
            </w:r>
          </w:p>
        </w:tc>
      </w:tr>
      <w:tr>
        <w:tc>
          <w:tcPr>
            <w:tcW w:type="dxa" w:w="3389"/>
            <w:vAlign w:val="center"/>
          </w:tcPr>
          <w:p>
            <w:pPr>
              <w:spacing w:after="20"/>
            </w:pPr>
            <w:r/>
            <w:r>
              <w:rPr>
                <w:rFonts w:ascii="Aptos" w:hAnsi="Aptos"/>
                <w:b w:val="0"/>
                <w:sz w:val="16"/>
              </w:rPr>
              <w:t>Action Required</w:t>
            </w:r>
          </w:p>
        </w:tc>
        <w:tc>
          <w:tcPr>
            <w:tcW w:type="dxa" w:w="3389"/>
            <w:vAlign w:val="center"/>
          </w:tcPr>
          <w:p>
            <w:pPr>
              <w:spacing w:after="20"/>
            </w:pPr>
            <w:r/>
            <w:r>
              <w:rPr>
                <w:rFonts w:ascii="Aptos" w:hAnsi="Aptos"/>
                <w:b w:val="0"/>
                <w:sz w:val="16"/>
              </w:rPr>
              <w:t>Applicant must correct or provide information.</w:t>
            </w:r>
          </w:p>
        </w:tc>
        <w:tc>
          <w:tcPr>
            <w:tcW w:type="dxa" w:w="3389"/>
            <w:vAlign w:val="center"/>
          </w:tcPr>
          <w:p>
            <w:pPr>
              <w:spacing w:after="20"/>
            </w:pPr>
            <w:r/>
            <w:r>
              <w:rPr>
                <w:rFonts w:ascii="Aptos" w:hAnsi="Aptos"/>
                <w:b w:val="0"/>
                <w:sz w:val="16"/>
              </w:rPr>
              <w:t>Back to Verification Review after response; withdrawal/consent expiry as applicable.</w:t>
            </w:r>
          </w:p>
        </w:tc>
      </w:tr>
      <w:tr>
        <w:tc>
          <w:tcPr>
            <w:tcW w:type="dxa" w:w="3389"/>
            <w:vAlign w:val="center"/>
            <w:shd w:fill="F2F6F8"/>
          </w:tcPr>
          <w:p>
            <w:pPr>
              <w:spacing w:after="20"/>
            </w:pPr>
            <w:r/>
            <w:r>
              <w:rPr>
                <w:rFonts w:ascii="Aptos" w:hAnsi="Aptos"/>
                <w:b w:val="0"/>
                <w:sz w:val="16"/>
              </w:rPr>
              <w:t>Application Preparation</w:t>
            </w:r>
          </w:p>
        </w:tc>
        <w:tc>
          <w:tcPr>
            <w:tcW w:type="dxa" w:w="3389"/>
            <w:vAlign w:val="center"/>
            <w:shd w:fill="F2F6F8"/>
          </w:tcPr>
          <w:p>
            <w:pPr>
              <w:spacing w:after="20"/>
            </w:pPr>
            <w:r/>
            <w:r>
              <w:rPr>
                <w:rFonts w:ascii="Aptos" w:hAnsi="Aptos"/>
                <w:b w:val="0"/>
                <w:sz w:val="16"/>
              </w:rPr>
              <w:t>Canonical data mapped to configured bank template; completeness checks underway.</w:t>
            </w:r>
          </w:p>
        </w:tc>
        <w:tc>
          <w:tcPr>
            <w:tcW w:type="dxa" w:w="3389"/>
            <w:vAlign w:val="center"/>
            <w:shd w:fill="F2F6F8"/>
          </w:tcPr>
          <w:p>
            <w:pPr>
              <w:spacing w:after="20"/>
            </w:pPr>
            <w:r/>
            <w:r>
              <w:rPr>
                <w:rFonts w:ascii="Aptos" w:hAnsi="Aptos"/>
                <w:b w:val="0"/>
                <w:sz w:val="16"/>
              </w:rPr>
              <w:t>Internal Review or Action Required.</w:t>
            </w:r>
          </w:p>
        </w:tc>
      </w:tr>
      <w:tr>
        <w:tc>
          <w:tcPr>
            <w:tcW w:type="dxa" w:w="3389"/>
            <w:vAlign w:val="center"/>
          </w:tcPr>
          <w:p>
            <w:pPr>
              <w:spacing w:after="20"/>
            </w:pPr>
            <w:r/>
            <w:r>
              <w:rPr>
                <w:rFonts w:ascii="Aptos" w:hAnsi="Aptos"/>
                <w:b w:val="0"/>
                <w:sz w:val="16"/>
              </w:rPr>
              <w:t>Internal Review</w:t>
            </w:r>
          </w:p>
        </w:tc>
        <w:tc>
          <w:tcPr>
            <w:tcW w:type="dxa" w:w="3389"/>
            <w:vAlign w:val="center"/>
          </w:tcPr>
          <w:p>
            <w:pPr>
              <w:spacing w:after="20"/>
            </w:pPr>
            <w:r/>
            <w:r>
              <w:rPr>
                <w:rFonts w:ascii="Aptos" w:hAnsi="Aptos"/>
                <w:b w:val="0"/>
                <w:sz w:val="16"/>
              </w:rPr>
              <w:t>Quality gate and exception review.</w:t>
            </w:r>
          </w:p>
        </w:tc>
        <w:tc>
          <w:tcPr>
            <w:tcW w:type="dxa" w:w="3389"/>
            <w:vAlign w:val="center"/>
          </w:tcPr>
          <w:p>
            <w:pPr>
              <w:spacing w:after="20"/>
            </w:pPr>
            <w:r/>
            <w:r>
              <w:rPr>
                <w:rFonts w:ascii="Aptos" w:hAnsi="Aptos"/>
                <w:b w:val="0"/>
                <w:sz w:val="16"/>
              </w:rPr>
              <w:t>Ready for Bank Handoff or Action Required/Rejected Internally.</w:t>
            </w:r>
          </w:p>
        </w:tc>
      </w:tr>
      <w:tr>
        <w:tc>
          <w:tcPr>
            <w:tcW w:type="dxa" w:w="3389"/>
            <w:vAlign w:val="center"/>
            <w:shd w:fill="F2F6F8"/>
          </w:tcPr>
          <w:p>
            <w:pPr>
              <w:spacing w:after="20"/>
            </w:pPr>
            <w:r/>
            <w:r>
              <w:rPr>
                <w:rFonts w:ascii="Aptos" w:hAnsi="Aptos"/>
                <w:b w:val="0"/>
                <w:sz w:val="16"/>
              </w:rPr>
              <w:t>Ready for Bank Handoff</w:t>
            </w:r>
          </w:p>
        </w:tc>
        <w:tc>
          <w:tcPr>
            <w:tcW w:type="dxa" w:w="3389"/>
            <w:vAlign w:val="center"/>
            <w:shd w:fill="F2F6F8"/>
          </w:tcPr>
          <w:p>
            <w:pPr>
              <w:spacing w:after="20"/>
            </w:pPr>
            <w:r/>
            <w:r>
              <w:rPr>
                <w:rFonts w:ascii="Aptos" w:hAnsi="Aptos"/>
                <w:b w:val="0"/>
                <w:sz w:val="16"/>
              </w:rPr>
              <w:t>Internal readiness criteria met; not yet bank-submitted.</w:t>
            </w:r>
          </w:p>
        </w:tc>
        <w:tc>
          <w:tcPr>
            <w:tcW w:type="dxa" w:w="3389"/>
            <w:vAlign w:val="center"/>
            <w:shd w:fill="F2F6F8"/>
          </w:tcPr>
          <w:p>
            <w:pPr>
              <w:spacing w:after="20"/>
            </w:pPr>
            <w:r/>
            <w:r>
              <w:rPr>
                <w:rFonts w:ascii="Aptos" w:hAnsi="Aptos"/>
                <w:b w:val="0"/>
                <w:sz w:val="16"/>
              </w:rPr>
              <w:t>Submitted to Bank only with evidence; Handoff Failed/Returned; Withdrawn/Expired.</w:t>
            </w:r>
          </w:p>
        </w:tc>
      </w:tr>
      <w:tr>
        <w:tc>
          <w:tcPr>
            <w:tcW w:type="dxa" w:w="3389"/>
            <w:vAlign w:val="center"/>
          </w:tcPr>
          <w:p>
            <w:pPr>
              <w:spacing w:after="20"/>
            </w:pPr>
            <w:r/>
            <w:r>
              <w:rPr>
                <w:rFonts w:ascii="Aptos" w:hAnsi="Aptos"/>
                <w:b w:val="0"/>
                <w:sz w:val="16"/>
              </w:rPr>
              <w:t>Handoff Failed / Returned by Bank</w:t>
            </w:r>
          </w:p>
        </w:tc>
        <w:tc>
          <w:tcPr>
            <w:tcW w:type="dxa" w:w="3389"/>
            <w:vAlign w:val="center"/>
          </w:tcPr>
          <w:p>
            <w:pPr>
              <w:spacing w:after="20"/>
            </w:pPr>
            <w:r/>
            <w:r>
              <w:rPr>
                <w:rFonts w:ascii="Aptos" w:hAnsi="Aptos"/>
                <w:b w:val="0"/>
                <w:sz w:val="16"/>
              </w:rPr>
              <w:t>Handoff attempt failed or bank returned the package/application.</w:t>
            </w:r>
          </w:p>
        </w:tc>
        <w:tc>
          <w:tcPr>
            <w:tcW w:type="dxa" w:w="3389"/>
            <w:vAlign w:val="center"/>
          </w:tcPr>
          <w:p>
            <w:pPr>
              <w:spacing w:after="20"/>
            </w:pPr>
            <w:r/>
            <w:r>
              <w:rPr>
                <w:rFonts w:ascii="Aptos" w:hAnsi="Aptos"/>
                <w:b w:val="0"/>
                <w:sz w:val="16"/>
              </w:rPr>
              <w:t>Correct and retry under approved process; withdraw/close if not proceeding.</w:t>
            </w:r>
          </w:p>
        </w:tc>
      </w:tr>
      <w:tr>
        <w:tc>
          <w:tcPr>
            <w:tcW w:type="dxa" w:w="3389"/>
            <w:vAlign w:val="center"/>
            <w:shd w:fill="F2F6F8"/>
          </w:tcPr>
          <w:p>
            <w:pPr>
              <w:spacing w:after="20"/>
            </w:pPr>
            <w:r/>
            <w:r>
              <w:rPr>
                <w:rFonts w:ascii="Aptos" w:hAnsi="Aptos"/>
                <w:b w:val="0"/>
                <w:sz w:val="16"/>
              </w:rPr>
              <w:t>Submitted to Bank</w:t>
            </w:r>
          </w:p>
        </w:tc>
        <w:tc>
          <w:tcPr>
            <w:tcW w:type="dxa" w:w="3389"/>
            <w:vAlign w:val="center"/>
            <w:shd w:fill="F2F6F8"/>
          </w:tcPr>
          <w:p>
            <w:pPr>
              <w:spacing w:after="20"/>
            </w:pPr>
            <w:r/>
            <w:r>
              <w:rPr>
                <w:rFonts w:ascii="Aptos" w:hAnsi="Aptos"/>
                <w:b w:val="0"/>
                <w:sz w:val="16"/>
              </w:rPr>
              <w:t>Submission evidence recorded (bank reference/ack or authorised operator confirmation).</w:t>
            </w:r>
          </w:p>
        </w:tc>
        <w:tc>
          <w:tcPr>
            <w:tcW w:type="dxa" w:w="3389"/>
            <w:vAlign w:val="center"/>
            <w:shd w:fill="F2F6F8"/>
          </w:tcPr>
          <w:p>
            <w:pPr>
              <w:spacing w:after="20"/>
            </w:pPr>
            <w:r/>
            <w:r>
              <w:rPr>
                <w:rFonts w:ascii="Aptos" w:hAnsi="Aptos"/>
                <w:b w:val="0"/>
                <w:sz w:val="16"/>
              </w:rPr>
              <w:t>Bank Processing, Bank Query/Action Required, Returned, Withdrawn or bank-confirmed outcome.</w:t>
            </w:r>
          </w:p>
        </w:tc>
      </w:tr>
      <w:tr>
        <w:tc>
          <w:tcPr>
            <w:tcW w:type="dxa" w:w="3389"/>
            <w:vAlign w:val="center"/>
          </w:tcPr>
          <w:p>
            <w:pPr>
              <w:spacing w:after="20"/>
            </w:pPr>
            <w:r/>
            <w:r>
              <w:rPr>
                <w:rFonts w:ascii="Aptos" w:hAnsi="Aptos"/>
                <w:b w:val="0"/>
                <w:sz w:val="16"/>
              </w:rPr>
              <w:t>Bank Processing</w:t>
            </w:r>
          </w:p>
        </w:tc>
        <w:tc>
          <w:tcPr>
            <w:tcW w:type="dxa" w:w="3389"/>
            <w:vAlign w:val="center"/>
          </w:tcPr>
          <w:p>
            <w:pPr>
              <w:spacing w:after="20"/>
            </w:pPr>
            <w:r/>
            <w:r>
              <w:rPr>
                <w:rFonts w:ascii="Aptos" w:hAnsi="Aptos"/>
                <w:b w:val="0"/>
                <w:sz w:val="16"/>
              </w:rPr>
              <w:t>Bank is processing; status is based on available bank information.</w:t>
            </w:r>
          </w:p>
        </w:tc>
        <w:tc>
          <w:tcPr>
            <w:tcW w:type="dxa" w:w="3389"/>
            <w:vAlign w:val="center"/>
          </w:tcPr>
          <w:p>
            <w:pPr>
              <w:spacing w:after="20"/>
            </w:pPr>
            <w:r/>
            <w:r>
              <w:rPr>
                <w:rFonts w:ascii="Aptos" w:hAnsi="Aptos"/>
                <w:b w:val="0"/>
                <w:sz w:val="16"/>
              </w:rPr>
              <w:t>Bank Query, Bank Decision, Withdrawn/Expired or other confirmed bank state.</w:t>
            </w:r>
          </w:p>
        </w:tc>
      </w:tr>
      <w:tr>
        <w:tc>
          <w:tcPr>
            <w:tcW w:type="dxa" w:w="3389"/>
            <w:vAlign w:val="center"/>
            <w:shd w:fill="F2F6F8"/>
          </w:tcPr>
          <w:p>
            <w:pPr>
              <w:spacing w:after="20"/>
            </w:pPr>
            <w:r/>
            <w:r>
              <w:rPr>
                <w:rFonts w:ascii="Aptos" w:hAnsi="Aptos"/>
                <w:b w:val="0"/>
                <w:sz w:val="16"/>
              </w:rPr>
              <w:t>Bank Query / Action Required</w:t>
            </w:r>
          </w:p>
        </w:tc>
        <w:tc>
          <w:tcPr>
            <w:tcW w:type="dxa" w:w="3389"/>
            <w:vAlign w:val="center"/>
            <w:shd w:fill="F2F6F8"/>
          </w:tcPr>
          <w:p>
            <w:pPr>
              <w:spacing w:after="20"/>
            </w:pPr>
            <w:r/>
            <w:r>
              <w:rPr>
                <w:rFonts w:ascii="Aptos" w:hAnsi="Aptos"/>
                <w:b w:val="0"/>
                <w:sz w:val="16"/>
              </w:rPr>
              <w:t>Bank has requested information/action.</w:t>
            </w:r>
          </w:p>
        </w:tc>
        <w:tc>
          <w:tcPr>
            <w:tcW w:type="dxa" w:w="3389"/>
            <w:vAlign w:val="center"/>
            <w:shd w:fill="F2F6F8"/>
          </w:tcPr>
          <w:p>
            <w:pPr>
              <w:spacing w:after="20"/>
            </w:pPr>
            <w:r/>
            <w:r>
              <w:rPr>
                <w:rFonts w:ascii="Aptos" w:hAnsi="Aptos"/>
                <w:b w:val="0"/>
                <w:sz w:val="16"/>
              </w:rPr>
              <w:t>Customer/DSA response and resubmission; bank-confirmed resolution.</w:t>
            </w:r>
          </w:p>
        </w:tc>
      </w:tr>
      <w:tr>
        <w:tc>
          <w:tcPr>
            <w:tcW w:type="dxa" w:w="3389"/>
            <w:vAlign w:val="center"/>
          </w:tcPr>
          <w:p>
            <w:pPr>
              <w:spacing w:after="20"/>
            </w:pPr>
            <w:r/>
            <w:r>
              <w:rPr>
                <w:rFonts w:ascii="Aptos" w:hAnsi="Aptos"/>
                <w:b w:val="0"/>
                <w:sz w:val="16"/>
              </w:rPr>
              <w:t>Bank Decision</w:t>
            </w:r>
          </w:p>
        </w:tc>
        <w:tc>
          <w:tcPr>
            <w:tcW w:type="dxa" w:w="3389"/>
            <w:vAlign w:val="center"/>
          </w:tcPr>
          <w:p>
            <w:pPr>
              <w:spacing w:after="20"/>
            </w:pPr>
            <w:r/>
            <w:r>
              <w:rPr>
                <w:rFonts w:ascii="Aptos" w:hAnsi="Aptos"/>
                <w:b w:val="0"/>
                <w:sz w:val="16"/>
              </w:rPr>
              <w:t>Bank-confirmed decision received.</w:t>
            </w:r>
          </w:p>
        </w:tc>
        <w:tc>
          <w:tcPr>
            <w:tcW w:type="dxa" w:w="3389"/>
            <w:vAlign w:val="center"/>
          </w:tcPr>
          <w:p>
            <w:pPr>
              <w:spacing w:after="20"/>
            </w:pPr>
            <w:r/>
            <w:r>
              <w:rPr>
                <w:rFonts w:ascii="Aptos" w:hAnsi="Aptos"/>
                <w:b w:val="0"/>
                <w:sz w:val="16"/>
              </w:rPr>
              <w:t>Approved/Sanctioned, Rejected, conditional/pending fulfilment or other confirmed state.</w:t>
            </w:r>
          </w:p>
        </w:tc>
      </w:tr>
      <w:tr>
        <w:tc>
          <w:tcPr>
            <w:tcW w:type="dxa" w:w="3389"/>
            <w:vAlign w:val="center"/>
            <w:shd w:fill="F2F6F8"/>
          </w:tcPr>
          <w:p>
            <w:pPr>
              <w:spacing w:after="20"/>
            </w:pPr>
            <w:r/>
            <w:r>
              <w:rPr>
                <w:rFonts w:ascii="Aptos" w:hAnsi="Aptos"/>
                <w:b w:val="0"/>
                <w:sz w:val="16"/>
              </w:rPr>
              <w:t>Disbursed</w:t>
            </w:r>
          </w:p>
        </w:tc>
        <w:tc>
          <w:tcPr>
            <w:tcW w:type="dxa" w:w="3389"/>
            <w:vAlign w:val="center"/>
            <w:shd w:fill="F2F6F8"/>
          </w:tcPr>
          <w:p>
            <w:pPr>
              <w:spacing w:after="20"/>
            </w:pPr>
            <w:r/>
            <w:r>
              <w:rPr>
                <w:rFonts w:ascii="Aptos" w:hAnsi="Aptos"/>
                <w:b w:val="0"/>
                <w:sz w:val="16"/>
              </w:rPr>
              <w:t>Bank-confirmed disbursement evidence recorded.</w:t>
            </w:r>
          </w:p>
        </w:tc>
        <w:tc>
          <w:tcPr>
            <w:tcW w:type="dxa" w:w="3389"/>
            <w:vAlign w:val="center"/>
            <w:shd w:fill="F2F6F8"/>
          </w:tcPr>
          <w:p>
            <w:pPr>
              <w:spacing w:after="20"/>
            </w:pPr>
            <w:r/>
            <w:r>
              <w:rPr>
                <w:rFonts w:ascii="Aptos" w:hAnsi="Aptos"/>
                <w:b w:val="0"/>
                <w:sz w:val="16"/>
              </w:rPr>
              <w:t>Operational closure and commission reconciliation.</w:t>
            </w:r>
          </w:p>
        </w:tc>
      </w:tr>
      <w:tr>
        <w:tc>
          <w:tcPr>
            <w:tcW w:type="dxa" w:w="3389"/>
            <w:vAlign w:val="center"/>
          </w:tcPr>
          <w:p>
            <w:pPr>
              <w:spacing w:after="20"/>
            </w:pPr>
            <w:r/>
            <w:r>
              <w:rPr>
                <w:rFonts w:ascii="Aptos" w:hAnsi="Aptos"/>
                <w:b w:val="0"/>
                <w:sz w:val="16"/>
              </w:rPr>
              <w:t>Rejected</w:t>
            </w:r>
          </w:p>
        </w:tc>
        <w:tc>
          <w:tcPr>
            <w:tcW w:type="dxa" w:w="3389"/>
            <w:vAlign w:val="center"/>
          </w:tcPr>
          <w:p>
            <w:pPr>
              <w:spacing w:after="20"/>
            </w:pPr>
            <w:r/>
            <w:r>
              <w:rPr>
                <w:rFonts w:ascii="Aptos" w:hAnsi="Aptos"/>
                <w:b w:val="0"/>
                <w:sz w:val="16"/>
              </w:rPr>
              <w:t>Bank-confirmed rejection recorded.</w:t>
            </w:r>
          </w:p>
        </w:tc>
        <w:tc>
          <w:tcPr>
            <w:tcW w:type="dxa" w:w="3389"/>
            <w:vAlign w:val="center"/>
          </w:tcPr>
          <w:p>
            <w:pPr>
              <w:spacing w:after="20"/>
            </w:pPr>
            <w:r/>
            <w:r>
              <w:rPr>
                <w:rFonts w:ascii="Aptos" w:hAnsi="Aptos"/>
                <w:b w:val="0"/>
                <w:sz w:val="16"/>
              </w:rPr>
              <w:t>Close, or new/re-routed application only where permitted and with required consent.</w:t>
            </w:r>
          </w:p>
        </w:tc>
      </w:tr>
      <w:tr>
        <w:tc>
          <w:tcPr>
            <w:tcW w:type="dxa" w:w="3389"/>
            <w:vAlign w:val="center"/>
            <w:shd w:fill="F2F6F8"/>
          </w:tcPr>
          <w:p>
            <w:pPr>
              <w:spacing w:after="20"/>
            </w:pPr>
            <w:r/>
            <w:r>
              <w:rPr>
                <w:rFonts w:ascii="Aptos" w:hAnsi="Aptos"/>
                <w:b w:val="0"/>
                <w:sz w:val="16"/>
              </w:rPr>
              <w:t>Customer Withdrawn</w:t>
            </w:r>
          </w:p>
        </w:tc>
        <w:tc>
          <w:tcPr>
            <w:tcW w:type="dxa" w:w="3389"/>
            <w:vAlign w:val="center"/>
            <w:shd w:fill="F2F6F8"/>
          </w:tcPr>
          <w:p>
            <w:pPr>
              <w:spacing w:after="20"/>
            </w:pPr>
            <w:r/>
            <w:r>
              <w:rPr>
                <w:rFonts w:ascii="Aptos" w:hAnsi="Aptos"/>
                <w:b w:val="0"/>
                <w:sz w:val="16"/>
              </w:rPr>
              <w:t>Applicant withdraws from the process.</w:t>
            </w:r>
          </w:p>
        </w:tc>
        <w:tc>
          <w:tcPr>
            <w:tcW w:type="dxa" w:w="3389"/>
            <w:vAlign w:val="center"/>
            <w:shd w:fill="F2F6F8"/>
          </w:tcPr>
          <w:p>
            <w:pPr>
              <w:spacing w:after="20"/>
            </w:pPr>
            <w:r/>
            <w:r>
              <w:rPr>
                <w:rFonts w:ascii="Aptos" w:hAnsi="Aptos"/>
                <w:b w:val="0"/>
                <w:sz w:val="16"/>
              </w:rPr>
              <w:t>Close and apply retention/purge policy.</w:t>
            </w:r>
          </w:p>
        </w:tc>
      </w:tr>
      <w:tr>
        <w:tc>
          <w:tcPr>
            <w:tcW w:type="dxa" w:w="3389"/>
            <w:vAlign w:val="center"/>
          </w:tcPr>
          <w:p>
            <w:pPr>
              <w:spacing w:after="20"/>
            </w:pPr>
            <w:r/>
            <w:r>
              <w:rPr>
                <w:rFonts w:ascii="Aptos" w:hAnsi="Aptos"/>
                <w:b w:val="0"/>
                <w:sz w:val="16"/>
              </w:rPr>
              <w:t>Consent Expired / Revoked</w:t>
            </w:r>
          </w:p>
        </w:tc>
        <w:tc>
          <w:tcPr>
            <w:tcW w:type="dxa" w:w="3389"/>
            <w:vAlign w:val="center"/>
          </w:tcPr>
          <w:p>
            <w:pPr>
              <w:spacing w:after="20"/>
            </w:pPr>
            <w:r/>
            <w:r>
              <w:rPr>
                <w:rFonts w:ascii="Aptos" w:hAnsi="Aptos"/>
                <w:b w:val="0"/>
                <w:sz w:val="16"/>
              </w:rPr>
              <w:t>Consent no longer supports the relevant processing purpose.</w:t>
            </w:r>
          </w:p>
        </w:tc>
        <w:tc>
          <w:tcPr>
            <w:tcW w:type="dxa" w:w="3389"/>
            <w:vAlign w:val="center"/>
          </w:tcPr>
          <w:p>
            <w:pPr>
              <w:spacing w:after="20"/>
            </w:pPr>
            <w:r/>
            <w:r>
              <w:rPr>
                <w:rFonts w:ascii="Aptos" w:hAnsi="Aptos"/>
                <w:b w:val="0"/>
                <w:sz w:val="16"/>
              </w:rPr>
              <w:t>Stop gated processing; assess deletion/purge and any legally required retention.</w:t>
            </w:r>
          </w:p>
        </w:tc>
      </w:tr>
      <w:tr>
        <w:tc>
          <w:tcPr>
            <w:tcW w:type="dxa" w:w="3389"/>
            <w:vAlign w:val="center"/>
            <w:shd w:fill="F2F6F8"/>
          </w:tcPr>
          <w:p>
            <w:pPr>
              <w:spacing w:after="20"/>
            </w:pPr>
            <w:r/>
            <w:r>
              <w:rPr>
                <w:rFonts w:ascii="Aptos" w:hAnsi="Aptos"/>
                <w:b w:val="0"/>
                <w:sz w:val="16"/>
              </w:rPr>
              <w:t>Duplicate / Rejected Internally</w:t>
            </w:r>
          </w:p>
        </w:tc>
        <w:tc>
          <w:tcPr>
            <w:tcW w:type="dxa" w:w="3389"/>
            <w:vAlign w:val="center"/>
            <w:shd w:fill="F2F6F8"/>
          </w:tcPr>
          <w:p>
            <w:pPr>
              <w:spacing w:after="20"/>
            </w:pPr>
            <w:r/>
            <w:r>
              <w:rPr>
                <w:rFonts w:ascii="Aptos" w:hAnsi="Aptos"/>
                <w:b w:val="0"/>
                <w:sz w:val="16"/>
              </w:rPr>
              <w:t>Duplicate or internal process rejection recorded with reason.</w:t>
            </w:r>
          </w:p>
        </w:tc>
        <w:tc>
          <w:tcPr>
            <w:tcW w:type="dxa" w:w="3389"/>
            <w:vAlign w:val="center"/>
            <w:shd w:fill="F2F6F8"/>
          </w:tcPr>
          <w:p>
            <w:pPr>
              <w:spacing w:after="20"/>
            </w:pPr>
            <w:r/>
            <w:r>
              <w:rPr>
                <w:rFonts w:ascii="Aptos" w:hAnsi="Aptos"/>
                <w:b w:val="0"/>
                <w:sz w:val="16"/>
              </w:rPr>
              <w:t>Close or authorised correction/re-open process.</w:t>
            </w:r>
          </w:p>
        </w:tc>
      </w:tr>
    </w:tbl>
    <w:p>
      <w:pPr>
        <w:spacing w:after="0"/>
      </w:pPr>
    </w:p>
    <w:p>
      <w:r>
        <w:t>Important: internal workflow states and bank-confirmed statuses must be stored separately. A single UI label may be derived for readability, but the underlying source, timestamp and evidence must remain explicit.</w:t>
      </w:r>
    </w:p>
    <w:p>
      <w:pPr>
        <w:pStyle w:val="Heading1"/>
      </w:pPr>
      <w:r>
        <w:t>7. Role-Based Access &amp; Separation of Duties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12304A"/>
            <w:shd w:fill="12304A"/>
          </w:tcPr>
          <w:p>
            <w:r>
              <w:rPr>
                <w:rFonts w:ascii="Aptos" w:hAnsi="Aptos"/>
                <w:b/>
                <w:color w:val="FFFFFF"/>
                <w:sz w:val="16"/>
              </w:rPr>
              <w:t>Role / hierarchy</w:t>
            </w:r>
          </w:p>
        </w:tc>
        <w:tc>
          <w:tcPr>
            <w:tcW w:type="dxa" w:w="1271"/>
            <w:vAlign w:val="center"/>
            <w:shd w:fill="12304A"/>
            <w:shd w:fill="12304A"/>
          </w:tcPr>
          <w:p>
            <w:r>
              <w:rPr>
                <w:rFonts w:ascii="Aptos" w:hAnsi="Aptos"/>
                <w:b/>
                <w:color w:val="FFFFFF"/>
                <w:sz w:val="16"/>
              </w:rPr>
              <w:t>Responsibilities</w:t>
            </w:r>
          </w:p>
        </w:tc>
        <w:tc>
          <w:tcPr>
            <w:tcW w:type="dxa" w:w="1271"/>
            <w:vAlign w:val="center"/>
            <w:shd w:fill="12304A"/>
            <w:shd w:fill="12304A"/>
          </w:tcPr>
          <w:p>
            <w:r>
              <w:rPr>
                <w:rFonts w:ascii="Aptos" w:hAnsi="Aptos"/>
                <w:b/>
                <w:color w:val="FFFFFF"/>
                <w:sz w:val="16"/>
              </w:rPr>
              <w:t>Access boundaries / controls</w:t>
            </w:r>
          </w:p>
        </w:tc>
        <w:tc>
          <w:tcPr>
            <w:tcW w:type="dxa" w:w="1271"/>
            <w:vAlign w:val="center"/>
            <w:shd w:fill="12304A"/>
          </w:tcPr>
          <w:p>
            <w:pPr>
              <w:spacing w:after="20"/>
            </w:pPr>
            <w:r/>
            <w:r>
              <w:rPr>
                <w:rFonts w:ascii="Aptos" w:hAnsi="Aptos"/>
                <w:b/>
                <w:color w:val="FFFFFF"/>
                <w:sz w:val="16"/>
              </w:rPr>
              <w:t>Review documents</w:t>
            </w:r>
          </w:p>
        </w:tc>
        <w:tc>
          <w:tcPr>
            <w:tcW w:type="dxa" w:w="1271"/>
            <w:vAlign w:val="center"/>
            <w:shd w:fill="12304A"/>
          </w:tcPr>
          <w:p>
            <w:pPr>
              <w:spacing w:after="20"/>
            </w:pPr>
            <w:r/>
            <w:r>
              <w:rPr>
                <w:rFonts w:ascii="Aptos" w:hAnsi="Aptos"/>
                <w:b/>
                <w:color w:val="FFFFFF"/>
                <w:sz w:val="16"/>
              </w:rPr>
              <w:t>Bank handoff</w:t>
            </w:r>
          </w:p>
        </w:tc>
        <w:tc>
          <w:tcPr>
            <w:tcW w:type="dxa" w:w="1271"/>
            <w:vAlign w:val="center"/>
            <w:shd w:fill="12304A"/>
          </w:tcPr>
          <w:p>
            <w:pPr>
              <w:spacing w:after="20"/>
            </w:pPr>
            <w:r/>
            <w:r>
              <w:rPr>
                <w:rFonts w:ascii="Aptos" w:hAnsi="Aptos"/>
                <w:b/>
                <w:color w:val="FFFFFF"/>
                <w:sz w:val="16"/>
              </w:rPr>
              <w:t>Change bank status</w:t>
            </w:r>
          </w:p>
        </w:tc>
        <w:tc>
          <w:tcPr>
            <w:tcW w:type="dxa" w:w="1271"/>
            <w:vAlign w:val="center"/>
            <w:shd w:fill="12304A"/>
          </w:tcPr>
          <w:p>
            <w:pPr>
              <w:spacing w:after="20"/>
            </w:pPr>
            <w:r/>
            <w:r>
              <w:rPr>
                <w:rFonts w:ascii="Aptos" w:hAnsi="Aptos"/>
                <w:b/>
                <w:color w:val="FFFFFF"/>
                <w:sz w:val="16"/>
              </w:rPr>
              <w:t>Commission reconciliation</w:t>
            </w:r>
          </w:p>
        </w:tc>
        <w:tc>
          <w:tcPr>
            <w:tcW w:type="dxa" w:w="1271"/>
            <w:vAlign w:val="center"/>
            <w:shd w:fill="12304A"/>
          </w:tcPr>
          <w:p>
            <w:pPr>
              <w:spacing w:after="20"/>
            </w:pPr>
            <w:r/>
            <w:r>
              <w:rPr>
                <w:rFonts w:ascii="Aptos" w:hAnsi="Aptos"/>
                <w:b/>
                <w:color w:val="FFFFFF"/>
                <w:sz w:val="16"/>
              </w:rPr>
              <w:t>Manage users/config</w:t>
            </w:r>
          </w:p>
        </w:tc>
      </w:tr>
      <w:tr>
        <w:tc>
          <w:tcPr>
            <w:tcW w:type="dxa" w:w="1271"/>
          </w:tcPr>
          <w:p>
            <w:r>
              <w:t>User Master (Root Administrator)</w:t>
            </w:r>
          </w:p>
        </w:tc>
        <w:tc>
          <w:tcPr>
            <w:tcW w:type="dxa" w:w="1271"/>
          </w:tcPr>
          <w:p>
            <w:r>
              <w:t>Owns the overall user master and access-governance structure: creates/deactivates users, assigns role profiles, scopes access, manages user lifecycle, oversees access recertification and privileged access.</w:t>
            </w:r>
          </w:p>
        </w:tc>
        <w:tc>
          <w:tcPr>
            <w:tcW w:type="dxa" w:w="1271"/>
          </w:tcPr>
          <w:p>
            <w:r>
              <w:t>Root administrative authority for user/access control. Actions are audited. Cannot erase audit history or bypass consent, evidence or workflow controls. High-impact changes should use independent approval/dual control where configured. Governance-level visibility only where required for access administration; no routine case access. May grant/revoke scoped permissions, but cannot use access administration to bypass consent, evidence, approval or audit controls.</w:t>
            </w:r>
          </w:p>
        </w:tc>
        <w:tc>
          <w:tcPr>
            <w:tcW w:type="dxa" w:w="1271"/>
          </w:tcPr>
          <w:p>
            <w:r>
              <w:t>No. Cannot review, accept/reject, or alter applicant documents.</w:t>
            </w:r>
          </w:p>
        </w:tc>
        <w:tc>
          <w:tcPr>
            <w:tcW w:type="dxa" w:w="1271"/>
          </w:tcPr>
          <w:p>
            <w:r>
              <w:t>No. Cannot submit applications or act as a bank-authorised DSA operator.</w:t>
            </w:r>
          </w:p>
        </w:tc>
        <w:tc>
          <w:tcPr>
            <w:tcW w:type="dxa" w:w="1271"/>
          </w:tcPr>
          <w:p>
            <w:r>
              <w:t>No. Cannot create or amend bank-confirmed statuses or supporting evidence.</w:t>
            </w:r>
          </w:p>
        </w:tc>
        <w:tc>
          <w:tcPr>
            <w:tcW w:type="dxa" w:w="1271"/>
          </w:tcPr>
          <w:p>
            <w:r>
              <w:t>No. Cannot import, match, approve, settle, reverse or reconcile commissions.</w:t>
            </w:r>
          </w:p>
        </w:tc>
        <w:tc>
          <w:tcPr>
            <w:tcW w:type="dxa" w:w="1271"/>
          </w:tcPr>
          <w:p>
            <w:r>
              <w:t>Yes—root authority for user master, user lifecycle, role profiles, permission sets, organisational/case scopes and access recertification. High-impact grants/changes require independent approval or dual control where configured; all actions logged; cannot delete audit history.</w:t>
            </w:r>
          </w:p>
        </w:tc>
      </w:tr>
      <w:tr>
        <w:tc>
          <w:tcPr>
            <w:tcW w:type="dxa" w:w="1271"/>
            <w:shd w:fill="F2F6F8"/>
          </w:tcPr>
          <w:p>
            <w:r>
              <w:t>System Administrator / PAM Owner</w:t>
            </w:r>
          </w:p>
        </w:tc>
        <w:tc>
          <w:tcPr>
            <w:tcW w:type="dxa" w:w="1271"/>
            <w:shd w:fill="F2F6F8"/>
          </w:tcPr>
          <w:p>
            <w:r>
              <w:t>Executes approved technical user, authentication, role and permission configuration; manages MFA policies, sessions, security events and access reviews.</w:t>
            </w:r>
          </w:p>
        </w:tc>
        <w:tc>
          <w:tcPr>
            <w:tcW w:type="dxa" w:w="1271"/>
            <w:shd w:fill="F2F6F8"/>
          </w:tcPr>
          <w:p>
            <w:r>
              <w:t>Operates under User Master governance; no default business-record editing, document review, bank decision updates or commission reconciliation. Technical/admin metadata and support access only; no default access to applicant content or business decisions. Any break-glass access is time-bound, justified, approved where configured and fully audited.</w:t>
            </w:r>
          </w:p>
        </w:tc>
        <w:tc>
          <w:tcPr>
            <w:tcW w:type="dxa" w:w="1271"/>
          </w:tcPr>
          <w:p>
            <w:r>
              <w:t>No by default. Break-glass read access only when necessary for a documented incident, with approval and audit; no review decision.</w:t>
            </w:r>
          </w:p>
        </w:tc>
        <w:tc>
          <w:tcPr>
            <w:tcW w:type="dxa" w:w="1271"/>
          </w:tcPr>
          <w:p>
            <w:r>
              <w:t>No. No bank submission authority unless separately assigned a named operator role and bank authorisation.</w:t>
            </w:r>
          </w:p>
        </w:tc>
        <w:tc>
          <w:tcPr>
            <w:tcW w:type="dxa" w:w="1271"/>
          </w:tcPr>
          <w:p>
            <w:r>
              <w:t>No. May maintain technical integration health but cannot set applicant bank outcomes.</w:t>
            </w:r>
          </w:p>
        </w:tc>
        <w:tc>
          <w:tcPr>
            <w:tcW w:type="dxa" w:w="1271"/>
          </w:tcPr>
          <w:p>
            <w:r>
              <w:t>No. No finance ledger or reconciliation permissions.</w:t>
            </w:r>
          </w:p>
        </w:tc>
        <w:tc>
          <w:tcPr>
            <w:tcW w:type="dxa" w:w="1271"/>
          </w:tcPr>
          <w:p>
            <w:r>
              <w:t>Yes—implements approved accounts, authentication, MFA, sessions, technical role/permission configuration and security controls under User Master governance. Cannot self-approve privileged access or erase logs.</w:t>
            </w:r>
          </w:p>
        </w:tc>
      </w:tr>
      <w:tr>
        <w:tc>
          <w:tcPr>
            <w:tcW w:type="dxa" w:w="1271"/>
          </w:tcPr>
          <w:p>
            <w:r>
              <w:t>Operations Lead / Manager</w:t>
            </w:r>
          </w:p>
        </w:tc>
        <w:tc>
          <w:tcPr>
            <w:tcW w:type="dxa" w:w="1271"/>
          </w:tcPr>
          <w:p>
            <w:r>
              <w:t>Queue allocation, SLA oversight, quality checks, escalations, exception resolution and operational reporting.</w:t>
            </w:r>
          </w:p>
        </w:tc>
        <w:tc>
          <w:tcPr>
            <w:tcW w:type="dxa" w:w="1271"/>
          </w:tcPr>
          <w:p>
            <w:r>
              <w:t>Cannot override lender decisions or perform finance reconciliation by default; privileged actions are audited. Scoped operational access across assigned team/queue or permitted business unit; may view necessary applicant fields and reassign cases. Sensitive documents only when specifically authorised.</w:t>
            </w:r>
          </w:p>
        </w:tc>
        <w:tc>
          <w:tcPr>
            <w:tcW w:type="dxa" w:w="1271"/>
          </w:tcPr>
          <w:p>
            <w:r>
              <w:t>May perform second-level QA/approval where configured, but should not approve their own review or document decision when independent review is required.</w:t>
            </w:r>
          </w:p>
        </w:tc>
        <w:tc>
          <w:tcPr>
            <w:tcW w:type="dxa" w:w="1271"/>
          </w:tcPr>
          <w:p>
            <w:r>
              <w:t>No by default. May coordinate and release a case to an authorised operator; cannot submit using another person's credentials.</w:t>
            </w:r>
          </w:p>
        </w:tc>
        <w:tc>
          <w:tcPr>
            <w:tcW w:type="dxa" w:w="1271"/>
          </w:tcPr>
          <w:p>
            <w:r>
              <w:t>May record/approve operational workflow transitions and request corrections. Bank-confirmed statuses only from bank evidence and only if separately granted; cannot alter source evidence or invent outcomes.</w:t>
            </w:r>
          </w:p>
        </w:tc>
        <w:tc>
          <w:tcPr>
            <w:tcW w:type="dxa" w:w="1271"/>
          </w:tcPr>
          <w:p>
            <w:r>
              <w:t>No by default. May view reconciliation summaries for operations; cannot match, approve or post financial adjustments.</w:t>
            </w:r>
          </w:p>
        </w:tc>
        <w:tc>
          <w:tcPr>
            <w:tcW w:type="dxa" w:w="1271"/>
          </w:tcPr>
          <w:p>
            <w:r>
              <w:t>Limited delegated configuration only if explicitly approved (e.g., queue/SLA settings). No user creation, role assignment, permission grants or privileged access administration.</w:t>
            </w:r>
          </w:p>
        </w:tc>
      </w:tr>
      <w:tr>
        <w:tc>
          <w:tcPr>
            <w:tcW w:type="dxa" w:w="1271"/>
            <w:shd w:fill="F2F6F8"/>
          </w:tcPr>
          <w:p>
            <w:r>
              <w:t>Application Operations Executive</w:t>
            </w:r>
          </w:p>
        </w:tc>
        <w:tc>
          <w:tcPr>
            <w:tcW w:type="dxa" w:w="1271"/>
            <w:shd w:fill="F2F6F8"/>
          </w:tcPr>
          <w:p>
            <w:r>
              <w:t>Creates and maintains application records, checks completeness, coordinates follow-ups, prepares applications and manages queues.</w:t>
            </w:r>
          </w:p>
        </w:tc>
        <w:tc>
          <w:tcPr>
            <w:tcW w:type="dxa" w:w="1271"/>
            <w:shd w:fill="F2F6F8"/>
          </w:tcPr>
          <w:p>
            <w:r>
              <w:t>No underwriting or bank decision; access limited by role and case scope. Create/edit assigned or queue-scoped application fields needed for intake, follow-up and preparation. No unrestricted search/export; field-level restrictions apply to sensitive identifiers.</w:t>
            </w:r>
          </w:p>
        </w:tc>
        <w:tc>
          <w:tcPr>
            <w:tcW w:type="dxa" w:w="1271"/>
          </w:tcPr>
          <w:p>
            <w:r>
              <w:t>No. May check checklist presence or route an item, but cannot make formal document-review decisions unless separately granted reviewer permission.</w:t>
            </w:r>
          </w:p>
        </w:tc>
        <w:tc>
          <w:tcPr>
            <w:tcW w:type="dxa" w:w="1271"/>
          </w:tcPr>
          <w:p>
            <w:r>
              <w:t>No. May prepare handoff package and move to Ready for Bank Handoff; cannot transmit to bank.</w:t>
            </w:r>
          </w:p>
        </w:tc>
        <w:tc>
          <w:tcPr>
            <w:tcW w:type="dxa" w:w="1271"/>
          </w:tcPr>
          <w:p>
            <w:r>
              <w:t>No. May update internal workflow status only. Bank status is read-only and must be sourced from an authorised bank update.</w:t>
            </w:r>
          </w:p>
        </w:tc>
        <w:tc>
          <w:tcPr>
            <w:tcW w:type="dxa" w:w="1271"/>
          </w:tcPr>
          <w:p>
            <w:r>
              <w:t>No. No access to commission ledger, payout files or reconciliation actions.</w:t>
            </w:r>
          </w:p>
        </w:tc>
        <w:tc>
          <w:tcPr>
            <w:tcW w:type="dxa" w:w="1271"/>
          </w:tcPr>
          <w:p>
            <w:r>
              <w:t>No. Cannot create users, assign roles, change permission scopes or modify bank/product/security configuration.</w:t>
            </w:r>
          </w:p>
        </w:tc>
      </w:tr>
      <w:tr>
        <w:tc>
          <w:tcPr>
            <w:tcW w:type="dxa" w:w="1271"/>
          </w:tcPr>
          <w:p>
            <w:r>
              <w:t>Document / Data Reviewer</w:t>
            </w:r>
          </w:p>
        </w:tc>
        <w:tc>
          <w:tcPr>
            <w:tcW w:type="dxa" w:w="1271"/>
          </w:tcPr>
          <w:p>
            <w:r>
              <w:t>Performs permitted pre-checks for readability, completeness, expiry and consistency; records structured outcomes and requests corrections.</w:t>
            </w:r>
          </w:p>
        </w:tc>
        <w:tc>
          <w:tcPr>
            <w:tcW w:type="dxa" w:w="1271"/>
          </w:tcPr>
          <w:p>
            <w:r>
              <w:t>Does not perform or claim to complete bank KYC; sensitive-data access is assigned-case only and logged. Assigned-case access to fields/documents necessary for permitted completeness, readability, expiry and consistency checks. Sensitive views logged; no bulk export.</w:t>
            </w:r>
          </w:p>
        </w:tc>
        <w:tc>
          <w:tcPr>
            <w:tcW w:type="dxa" w:w="1271"/>
          </w:tcPr>
          <w:p>
            <w:r>
              <w:t>Yes—review assigned documents; accept for internal preparation, reject with reason, or request replacement/clarification. Cannot certify bank KYC, underwriting or approval; cannot silently replace versions.</w:t>
            </w:r>
          </w:p>
        </w:tc>
        <w:tc>
          <w:tcPr>
            <w:tcW w:type="dxa" w:w="1271"/>
          </w:tcPr>
          <w:p>
            <w:r>
              <w:t>No. Can mark document/data review complete and route the case; cannot submit to bank.</w:t>
            </w:r>
          </w:p>
        </w:tc>
        <w:tc>
          <w:tcPr>
            <w:tcW w:type="dxa" w:w="1271"/>
          </w:tcPr>
          <w:p>
            <w:r>
              <w:t>No. Can add internal review outcomes/issues only. Cannot create or modify bank-confirmed status.</w:t>
            </w:r>
          </w:p>
        </w:tc>
        <w:tc>
          <w:tcPr>
            <w:tcW w:type="dxa" w:w="1271"/>
          </w:tcPr>
          <w:p>
            <w:r>
              <w:t>No. No commission or payout reconciliation access.</w:t>
            </w:r>
          </w:p>
        </w:tc>
        <w:tc>
          <w:tcPr>
            <w:tcW w:type="dxa" w:w="1271"/>
          </w:tcPr>
          <w:p>
            <w:r>
              <w:t>No. Cannot manage users, roles, bank templates, product configuration or system settings.</w:t>
            </w:r>
          </w:p>
        </w:tc>
      </w:tr>
      <w:tr>
        <w:tc>
          <w:tcPr>
            <w:tcW w:type="dxa" w:w="1271"/>
            <w:shd w:fill="F2F6F8"/>
          </w:tcPr>
          <w:p>
            <w:r>
              <w:t>Bank / Partner Manager</w:t>
            </w:r>
          </w:p>
        </w:tc>
        <w:tc>
          <w:tcPr>
            <w:tcW w:type="dxa" w:w="1271"/>
            <w:shd w:fill="F2F6F8"/>
          </w:tcPr>
          <w:p>
            <w:r>
              <w:t>Maintains bank/product configuration, templates, requirements, handoff channels and escalation records; coordinates bank onboarding.</w:t>
            </w:r>
          </w:p>
        </w:tc>
        <w:tc>
          <w:tcPr>
            <w:tcW w:type="dxa" w:w="1271"/>
            <w:shd w:fill="F2F6F8"/>
          </w:tcPr>
          <w:p>
            <w:r>
              <w:t>Activates bank-specific workflows only after agreement and authorised access; cannot invent or confirm bank outcomes. Bank/product-scoped access to application fields required to validate sourcing criteria, template mapping and handoff readiness; sensitive document access only when justified and granted.</w:t>
            </w:r>
          </w:p>
        </w:tc>
        <w:tc>
          <w:tcPr>
            <w:tcW w:type="dxa" w:w="1271"/>
          </w:tcPr>
          <w:p>
            <w:r>
              <w:t>No by default. May inspect checklist/readiness metadata; document acceptance remains with assigned reviewer or separately approved reviewer role.</w:t>
            </w:r>
          </w:p>
        </w:tc>
        <w:tc>
          <w:tcPr>
            <w:tcW w:type="dxa" w:w="1271"/>
          </w:tcPr>
          <w:p>
            <w:r>
              <w:t>May configure bank-specific handoff requirements and authorise/coordinate named operators after executed agreement and access verification. Does not submit unless separately assigned an authorised DSA Operator role.</w:t>
            </w:r>
          </w:p>
        </w:tc>
        <w:tc>
          <w:tcPr>
            <w:tcW w:type="dxa" w:w="1271"/>
          </w:tcPr>
          <w:p>
            <w:r>
              <w:t>May enter/import bank-provided status only where explicitly authorised and evidence is attached; preferably status entry is performed by a separate status operator. Cannot infer decisions.</w:t>
            </w:r>
          </w:p>
        </w:tc>
        <w:tc>
          <w:tcPr>
            <w:tcW w:type="dxa" w:w="1271"/>
          </w:tcPr>
          <w:p>
            <w:r>
              <w:t>May view agreement terms and commission configuration for bank/product oversight; cannot reconcile or post payout adjustments by default.</w:t>
            </w:r>
          </w:p>
        </w:tc>
        <w:tc>
          <w:tcPr>
            <w:tcW w:type="dxa" w:w="1271"/>
          </w:tcPr>
          <w:p>
            <w:r>
              <w:t>May manage bank/product templates, field mappings, requirements and channel configuration through change control. No user/role administration; configuration activation requires approval/versioning and audit.</w:t>
            </w:r>
          </w:p>
        </w:tc>
      </w:tr>
      <w:tr>
        <w:tc>
          <w:tcPr>
            <w:tcW w:type="dxa" w:w="1271"/>
          </w:tcPr>
          <w:p>
            <w:r>
              <w:t>Authorised DSA Operator</w:t>
            </w:r>
          </w:p>
        </w:tc>
        <w:tc>
          <w:tcPr>
            <w:tcW w:type="dxa" w:w="1271"/>
          </w:tcPr>
          <w:p>
            <w:r>
              <w:t>Uses individually assigned, bank-authorised credentials/process to enter or transmit application data; records bank reference, acknowledgement and submission evidence.</w:t>
            </w:r>
          </w:p>
        </w:tc>
        <w:tc>
          <w:tcPr>
            <w:tcW w:type="dxa" w:w="1271"/>
          </w:tcPr>
          <w:p>
            <w:r>
              <w:t>No shared credentials; no unapproved RPA/scripted portal entry; access limited to named bank/process and assigned work. Assigned-case and named-bank/process scope; access only to fields/documents permitted by the relevant agreement and bank instructions. No bulk access or unrelated case visibility.</w:t>
            </w:r>
          </w:p>
        </w:tc>
        <w:tc>
          <w:tcPr>
            <w:tcW w:type="dxa" w:w="1271"/>
          </w:tcPr>
          <w:p>
            <w:r>
              <w:t>No by default. May verify the package against the approved checklist for transmission, but cannot replace the independent document-review decision.</w:t>
            </w:r>
          </w:p>
        </w:tc>
        <w:tc>
          <w:tcPr>
            <w:tcW w:type="dxa" w:w="1271"/>
          </w:tcPr>
          <w:p>
            <w:r>
              <w:t>Yes—only for named bank/product, approved channel and assigned cases, using individual bank-authorised credentials. Records attempt, timestamp, reference/acknowledgement and evidence; no unapproved automation or pooled credentials.</w:t>
            </w:r>
          </w:p>
        </w:tc>
        <w:tc>
          <w:tcPr>
            <w:tcW w:type="dxa" w:w="1271"/>
          </w:tcPr>
          <w:p>
            <w:r>
              <w:t>May submit bank-provided status evidence for recording only if explicitly delegated; cannot create unsupported status, change bank decision or overwrite source evidence. Separate status verification/approval recommended.</w:t>
            </w:r>
          </w:p>
        </w:tc>
        <w:tc>
          <w:tcPr>
            <w:tcW w:type="dxa" w:w="1271"/>
          </w:tcPr>
          <w:p>
            <w:r>
              <w:t>No. No commission calculation approval, payout matching, settlement or reversal permissions.</w:t>
            </w:r>
          </w:p>
        </w:tc>
        <w:tc>
          <w:tcPr>
            <w:tcW w:type="dxa" w:w="1271"/>
          </w:tcPr>
          <w:p>
            <w:r>
              <w:t>No. Cannot manage users, roles, bank configuration, templates or security settings.</w:t>
            </w:r>
          </w:p>
        </w:tc>
      </w:tr>
      <w:tr>
        <w:tc>
          <w:tcPr>
            <w:tcW w:type="dxa" w:w="1271"/>
            <w:shd w:fill="F2F6F8"/>
          </w:tcPr>
          <w:p>
            <w:r>
              <w:t>Finance / Reconciliation</w:t>
            </w:r>
          </w:p>
        </w:tc>
        <w:tc>
          <w:tcPr>
            <w:tcW w:type="dxa" w:w="1271"/>
            <w:shd w:fill="F2F6F8"/>
          </w:tcPr>
          <w:p>
            <w:r>
              <w:t>Imports bank MIS/payout files, matches disbursals and commissions, manages discrepancies, taxes and reversals as applicable.</w:t>
            </w:r>
          </w:p>
        </w:tc>
        <w:tc>
          <w:tcPr>
            <w:tcW w:type="dxa" w:w="1271"/>
            <w:shd w:fill="F2F6F8"/>
          </w:tcPr>
          <w:p>
            <w:r>
              <w:t>Cannot alter bank-confirmed outcomes without evidence; financial changes are audited; dual control for material adjustments where configured. Read-only access to minimum application identifiers, attribution, bank reference, confirmed outcome/disbursement fields needed for matching; no routine access to full profile or documents.</w:t>
            </w:r>
          </w:p>
        </w:tc>
        <w:tc>
          <w:tcPr>
            <w:tcW w:type="dxa" w:w="1271"/>
          </w:tcPr>
          <w:p>
            <w:r>
              <w:t>No. No document review or applicant data-quality decisions.</w:t>
            </w:r>
          </w:p>
        </w:tc>
        <w:tc>
          <w:tcPr>
            <w:tcW w:type="dxa" w:w="1271"/>
          </w:tcPr>
          <w:p>
            <w:r>
              <w:t>No. No bank handoff or submission permissions.</w:t>
            </w:r>
          </w:p>
        </w:tc>
        <w:tc>
          <w:tcPr>
            <w:tcW w:type="dxa" w:w="1271"/>
          </w:tcPr>
          <w:p>
            <w:r>
              <w:t>No. May view bank-confirmed status and evidence references for reconciliation; cannot create or amend bank status.</w:t>
            </w:r>
          </w:p>
        </w:tc>
        <w:tc>
          <w:tcPr>
            <w:tcW w:type="dxa" w:w="1271"/>
          </w:tcPr>
          <w:p>
            <w:r>
              <w:t>Yes—import MIS/payout files, match eligible events, calculate expected commission from effective agreement version, record received/outstanding/disputed amounts and prepare adjustments. Material adjustments, write-offs and reversals require independent approval/dual control; ledger is append-only.</w:t>
            </w:r>
          </w:p>
        </w:tc>
        <w:tc>
          <w:tcPr>
            <w:tcW w:type="dxa" w:w="1271"/>
          </w:tcPr>
          <w:p>
            <w:r>
              <w:t>No. Cannot manage users, roles, bank templates or system/security configuration. Commission terms changes require separately approved configuration control.</w:t>
            </w:r>
          </w:p>
        </w:tc>
      </w:tr>
      <w:tr>
        <w:tc>
          <w:tcPr>
            <w:tcW w:type="dxa" w:w="1271"/>
          </w:tcPr>
          <w:p>
            <w:r>
              <w:t>Compliance / Privacy Owner</w:t>
            </w:r>
          </w:p>
        </w:tc>
        <w:tc>
          <w:tcPr>
            <w:tcW w:type="dxa" w:w="1271"/>
          </w:tcPr>
          <w:p>
            <w:r>
              <w:t>Reviews notices, consent, disclosures, retention, grievance processes, access and compliance evidence.</w:t>
            </w:r>
          </w:p>
        </w:tc>
        <w:tc>
          <w:tcPr>
            <w:tcW w:type="dxa" w:w="1271"/>
          </w:tcPr>
          <w:p>
            <w:r>
              <w:t>Controlled, need-based access; policy and retention approvals recorded independently where possible. Purpose-limited, case-specific read access for compliance, consent, grievance, retention and audit review; sensitive access justified and logged.</w:t>
            </w:r>
          </w:p>
        </w:tc>
        <w:tc>
          <w:tcPr>
            <w:tcW w:type="dxa" w:w="1271"/>
          </w:tcPr>
          <w:p>
            <w:r>
              <w:t>May audit review decisions and evidence; cannot substitute for operational reviewer or alter document outcomes except through documented corrective workflow.</w:t>
            </w:r>
          </w:p>
        </w:tc>
        <w:tc>
          <w:tcPr>
            <w:tcW w:type="dxa" w:w="1271"/>
          </w:tcPr>
          <w:p>
            <w:r>
              <w:t>No. May review handoff compliance/evidence but cannot submit applications.</w:t>
            </w:r>
          </w:p>
        </w:tc>
        <w:tc>
          <w:tcPr>
            <w:tcW w:type="dxa" w:w="1271"/>
          </w:tcPr>
          <w:p>
            <w:r>
              <w:t>No. May audit source, evidence and status changes; corrections must be made by authorised operational role with traceable reason.</w:t>
            </w:r>
          </w:p>
        </w:tc>
        <w:tc>
          <w:tcPr>
            <w:tcW w:type="dxa" w:w="1271"/>
          </w:tcPr>
          <w:p>
            <w:r>
              <w:t>No by default. May audit reconciliation evidence and controls read-only; cannot post or approve finance transactions.</w:t>
            </w:r>
          </w:p>
        </w:tc>
        <w:tc>
          <w:tcPr>
            <w:tcW w:type="dxa" w:w="1271"/>
          </w:tcPr>
          <w:p>
            <w:r>
              <w:t>May approve privacy/retention/disclosure policies and compliance control changes. No routine user administration; may request access changes and independently review privileged grants.</w:t>
            </w:r>
          </w:p>
        </w:tc>
      </w:tr>
      <w:tr>
        <w:tc>
          <w:tcPr>
            <w:tcW w:type="dxa" w:w="1271"/>
            <w:shd w:fill="F2F6F8"/>
          </w:tcPr>
          <w:p>
            <w:r>
              <w:t>Fraud / Risk Operations (if enabled)</w:t>
            </w:r>
          </w:p>
        </w:tc>
        <w:tc>
          <w:tcPr>
            <w:tcW w:type="dxa" w:w="1271"/>
            <w:shd w:fill="F2F6F8"/>
          </w:tcPr>
          <w:p>
            <w:r>
              <w:t>Reviews anomalies and flags cases for controlled investigation under documented rules.</w:t>
            </w:r>
          </w:p>
        </w:tc>
        <w:tc>
          <w:tcPr>
            <w:tcW w:type="dxa" w:w="1271"/>
            <w:shd w:fill="F2F6F8"/>
          </w:tcPr>
          <w:p>
            <w:r>
              <w:t>Flags are not lender underwriting decisions; access and disclosure are restricted. Restricted, justified access to assigned flagged cases and minimum necessary fields; sensitive document access requires explicit case-level grant and audit.</w:t>
            </w:r>
          </w:p>
        </w:tc>
        <w:tc>
          <w:tcPr>
            <w:tcW w:type="dxa" w:w="1271"/>
          </w:tcPr>
          <w:p>
            <w:r>
              <w:t>May review anomaly evidence and add reason-coded flags/recommendations; cannot certify KYC or make lender credit decisions.</w:t>
            </w:r>
          </w:p>
        </w:tc>
        <w:tc>
          <w:tcPr>
            <w:tcW w:type="dxa" w:w="1271"/>
          </w:tcPr>
          <w:p>
            <w:r>
              <w:t>No. May place a policy-permitted internal hold or refer case; cannot submit to bank.</w:t>
            </w:r>
          </w:p>
        </w:tc>
        <w:tc>
          <w:tcPr>
            <w:tcW w:type="dxa" w:w="1271"/>
          </w:tcPr>
          <w:p>
            <w:r>
              <w:t>No. May add internal risk/fraud flags only; cannot set or alter bank-confirmed status.</w:t>
            </w:r>
          </w:p>
        </w:tc>
        <w:tc>
          <w:tcPr>
            <w:tcW w:type="dxa" w:w="1271"/>
          </w:tcPr>
          <w:p>
            <w:r>
              <w:t>No. No commission reconciliation or payout adjustment permissions.</w:t>
            </w:r>
          </w:p>
        </w:tc>
        <w:tc>
          <w:tcPr>
            <w:tcW w:type="dxa" w:w="1271"/>
          </w:tcPr>
          <w:p>
            <w:r>
              <w:t>No. May propose documented rule changes; cannot activate rules or manage users without separate approved authority.</w:t>
            </w:r>
          </w:p>
        </w:tc>
      </w:tr>
      <w:tr>
        <w:tc>
          <w:tcPr>
            <w:tcW w:type="dxa" w:w="1271"/>
          </w:tcPr>
          <w:p>
            <w:r>
              <w:t>Customer Support</w:t>
            </w:r>
          </w:p>
        </w:tc>
        <w:tc>
          <w:tcPr>
            <w:tcW w:type="dxa" w:w="1271"/>
          </w:tcPr>
          <w:p>
            <w:r>
              <w:t>Responds to applicant queries, explains process/status and routes complaints or operational blockers.</w:t>
            </w:r>
          </w:p>
        </w:tc>
        <w:tc>
          <w:tcPr>
            <w:tcW w:type="dxa" w:w="1271"/>
          </w:tcPr>
          <w:p>
            <w:r>
              <w:t>Limited contact/status fields; no default access to sensitive documents, reconciliation or privileged settings. Own-application support scope with limited contact and status fields; sensitive data masked. Identity verification required before disclosure; no bulk export.</w:t>
            </w:r>
          </w:p>
        </w:tc>
        <w:tc>
          <w:tcPr>
            <w:tcW w:type="dxa" w:w="1271"/>
          </w:tcPr>
          <w:p>
            <w:r>
              <w:t>No. May see checklist state and action requests, not document contents by default; can route requests to reviewer.</w:t>
            </w:r>
          </w:p>
        </w:tc>
        <w:tc>
          <w:tcPr>
            <w:tcW w:type="dxa" w:w="1271"/>
          </w:tcPr>
          <w:p>
            <w:r>
              <w:t>No. Cannot submit applications or transmit documents to a bank.</w:t>
            </w:r>
          </w:p>
        </w:tc>
        <w:tc>
          <w:tcPr>
            <w:tcW w:type="dxa" w:w="1271"/>
          </w:tcPr>
          <w:p>
            <w:r>
              <w:t>No. May communicate verified status and record customer-contact notes; cannot create or amend bank status.</w:t>
            </w:r>
          </w:p>
        </w:tc>
        <w:tc>
          <w:tcPr>
            <w:tcW w:type="dxa" w:w="1271"/>
          </w:tcPr>
          <w:p>
            <w:r>
              <w:t>No. No commission, payout or reconciliation access.</w:t>
            </w:r>
          </w:p>
        </w:tc>
        <w:tc>
          <w:tcPr>
            <w:tcW w:type="dxa" w:w="1271"/>
          </w:tcPr>
          <w:p>
            <w:r>
              <w:t>No. Cannot manage users, roles, permissions, bank templates or system configuration.</w:t>
            </w:r>
          </w:p>
        </w:tc>
      </w:tr>
      <w:tr>
        <w:tc>
          <w:tcPr>
            <w:tcW w:type="dxa" w:w="1271"/>
            <w:shd w:fill="F2F6F8"/>
          </w:tcPr>
          <w:p>
            <w:r>
              <w:t>Borrower / Applicant</w:t>
            </w:r>
          </w:p>
        </w:tc>
        <w:tc>
          <w:tcPr>
            <w:tcW w:type="dxa" w:w="1271"/>
            <w:shd w:fill="F2F6F8"/>
          </w:tcPr>
          <w:p>
            <w:r>
              <w:t>Provides information, consent and documents; corrects details, responds to queries and tracks own application.</w:t>
            </w:r>
          </w:p>
        </w:tc>
        <w:tc>
          <w:tcPr>
            <w:tcW w:type="dxa" w:w="1271"/>
            <w:shd w:fill="F2F6F8"/>
          </w:tcPr>
          <w:p>
            <w:r>
              <w:t>Can access only own application and documents; cannot access internal notes, other applicants or admin functions. Own application only; may create/update permitted fields before relevant workflow lock, upload own documents, correct requested information and view own status. No access to internal notes or other applicants.</w:t>
            </w:r>
          </w:p>
        </w:tc>
        <w:tc>
          <w:tcPr>
            <w:tcW w:type="dxa" w:w="1271"/>
          </w:tcPr>
          <w:p>
            <w:r>
              <w:t>No admin review authority. May view document upload/processing state and provide replacements or clarifications.</w:t>
            </w:r>
          </w:p>
        </w:tc>
        <w:tc>
          <w:tcPr>
            <w:tcW w:type="dxa" w:w="1271"/>
          </w:tcPr>
          <w:p>
            <w:r>
              <w:t>May provide consent and submit application to Loans4India for internal review; does not perform bank handoff.</w:t>
            </w:r>
          </w:p>
        </w:tc>
        <w:tc>
          <w:tcPr>
            <w:tcW w:type="dxa" w:w="1271"/>
          </w:tcPr>
          <w:p>
            <w:r>
              <w:t>No. Can view only appropriately disclosed, verified bank status; cannot change status or evidence.</w:t>
            </w:r>
          </w:p>
        </w:tc>
        <w:tc>
          <w:tcPr>
            <w:tcW w:type="dxa" w:w="1271"/>
          </w:tcPr>
          <w:p>
            <w:r>
              <w:t>No. No commission, payout or reconciliation access.</w:t>
            </w:r>
          </w:p>
        </w:tc>
        <w:tc>
          <w:tcPr>
            <w:tcW w:type="dxa" w:w="1271"/>
          </w:tcPr>
          <w:p>
            <w:r>
              <w:t>No. No access to admin users, roles, configuration or internal settings.</w:t>
            </w:r>
          </w:p>
        </w:tc>
      </w:tr>
    </w:tbl>
    <w:p>
      <w:r>
        <w:t>Access is enforced through role-based permissions plus case, bank/product, organisational, purpose and sensitivity scopes (RBAC + scoped/attribute-based controls). Permissions are deny-by-default and checked on every record and document request; UI hiding alone is not an access control.</w:t>
      </w:r>
    </w:p>
    <w:p>
      <w:r>
        <w:t>Separation-of-duties rules: (1) user/role administrators cannot approve their own privileged grants; (2) application preparers cannot self-approve an independent review where a second-level gate is configured; (3) bank handoff is limited to named, bank-authorised operators; (4) bank status changes require bank-sourced evidence and a separately attributable actor; (5) commission preparation/matching and material adjustment approval are separated where practicable; (6) emergency access is time-bound, justified, reviewed after use and audited. Where MVP1 staffing requires one person to hold multiple roles, record the conflict, restrict incompatible actions in-system where feasible, and require independent retrospective or dual approval.</w:t>
      </w:r>
    </w:p>
    <w:p>
      <w:r>
        <w:t>Permission values in this matrix are defaults for the proposed operating model. Any exception must be explicitly granted, scoped, time-bound where appropriate, approved by the designated authority and captured in the audit trail. Bank-specific agreement terms and applicable legal/security review take precedence.</w:t>
      </w:r>
    </w:p>
    <w:p>
      <w:pPr>
        <w:spacing w:after="0"/>
      </w:pPr>
    </w:p>
    <w:p>
      <w:r>
        <w:t>User Master is the root administrative role and controls the platform’s user master and access-governance structure. Operational roles remain separate permission profiles beneath it; the User Master governs and assigns access rather than performing every business operation by default. Apply least privilege, named accounts, audit trails and separation of duties. For high-impact actions—such as changing privileged access, approving retention exceptions or making material finance adjustments—use independent approval or dual control where practical. No role, including User Master, should be able to erase audit history or make an unverified bank status appear confirmed.</w:t>
      </w:r>
    </w:p>
    <w:p>
      <w:pPr>
        <w:pStyle w:val="Heading1"/>
      </w:pPr>
      <w:r>
        <w:t>8. Exception &amp; Recovery Flows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Aptos" w:hAnsi="Aptos"/>
                <w:b/>
                <w:color w:val="FFFFFF"/>
                <w:sz w:val="16"/>
              </w:rPr>
              <w:t>Exception</w:t>
            </w:r>
          </w:p>
        </w:tc>
        <w:tc>
          <w:tcPr>
            <w:tcW w:type="dxa" w:w="2541"/>
            <w:vAlign w:val="center"/>
            <w:shd w:fill="12304A"/>
          </w:tcPr>
          <w:p>
            <w:pPr>
              <w:spacing w:after="20"/>
            </w:pPr>
            <w:r/>
            <w:r>
              <w:rPr>
                <w:rFonts w:ascii="Aptos" w:hAnsi="Aptos"/>
                <w:b/>
                <w:color w:val="FFFFFF"/>
                <w:sz w:val="16"/>
              </w:rPr>
              <w:t>System response</w:t>
            </w:r>
          </w:p>
        </w:tc>
        <w:tc>
          <w:tcPr>
            <w:tcW w:type="dxa" w:w="2541"/>
            <w:vAlign w:val="center"/>
            <w:shd w:fill="12304A"/>
          </w:tcPr>
          <w:p>
            <w:pPr>
              <w:spacing w:after="20"/>
            </w:pPr>
            <w:r/>
            <w:r>
              <w:rPr>
                <w:rFonts w:ascii="Aptos" w:hAnsi="Aptos"/>
                <w:b/>
                <w:color w:val="FFFFFF"/>
                <w:sz w:val="16"/>
              </w:rPr>
              <w:t>Admin / borrower action</w:t>
            </w:r>
          </w:p>
        </w:tc>
        <w:tc>
          <w:tcPr>
            <w:tcW w:type="dxa" w:w="2541"/>
            <w:vAlign w:val="center"/>
            <w:shd w:fill="12304A"/>
          </w:tcPr>
          <w:p>
            <w:pPr>
              <w:spacing w:after="20"/>
            </w:pPr>
            <w:r/>
            <w:r>
              <w:rPr>
                <w:rFonts w:ascii="Aptos" w:hAnsi="Aptos"/>
                <w:b/>
                <w:color w:val="FFFFFF"/>
                <w:sz w:val="16"/>
              </w:rPr>
              <w:t>Control and closure</w:t>
            </w:r>
          </w:p>
        </w:tc>
      </w:tr>
      <w:tr>
        <w:tc>
          <w:tcPr>
            <w:tcW w:type="dxa" w:w="2541"/>
            <w:vAlign w:val="center"/>
          </w:tcPr>
          <w:p>
            <w:pPr>
              <w:spacing w:after="20"/>
            </w:pPr>
            <w:r/>
            <w:r>
              <w:rPr>
                <w:rFonts w:ascii="Aptos" w:hAnsi="Aptos"/>
                <w:b w:val="0"/>
                <w:sz w:val="16"/>
              </w:rPr>
              <w:t>OTP / contact verification failure (if used)</w:t>
            </w:r>
          </w:p>
        </w:tc>
        <w:tc>
          <w:tcPr>
            <w:tcW w:type="dxa" w:w="2541"/>
            <w:vAlign w:val="center"/>
          </w:tcPr>
          <w:p>
            <w:pPr>
              <w:spacing w:after="20"/>
            </w:pPr>
            <w:r/>
            <w:r>
              <w:rPr>
                <w:rFonts w:ascii="Aptos" w:hAnsi="Aptos"/>
                <w:b w:val="0"/>
                <w:sz w:val="16"/>
              </w:rPr>
              <w:t>Rate-limit, log attempt and show retry/help path.</w:t>
            </w:r>
          </w:p>
        </w:tc>
        <w:tc>
          <w:tcPr>
            <w:tcW w:type="dxa" w:w="2541"/>
            <w:vAlign w:val="center"/>
          </w:tcPr>
          <w:p>
            <w:pPr>
              <w:spacing w:after="20"/>
            </w:pPr>
            <w:r/>
            <w:r>
              <w:rPr>
                <w:rFonts w:ascii="Aptos" w:hAnsi="Aptos"/>
                <w:b w:val="0"/>
                <w:sz w:val="16"/>
              </w:rPr>
              <w:t>Applicant retries or uses approved support process.</w:t>
            </w:r>
          </w:p>
        </w:tc>
        <w:tc>
          <w:tcPr>
            <w:tcW w:type="dxa" w:w="2541"/>
            <w:vAlign w:val="center"/>
          </w:tcPr>
          <w:p>
            <w:pPr>
              <w:spacing w:after="20"/>
            </w:pPr>
            <w:r/>
            <w:r>
              <w:rPr>
                <w:rFonts w:ascii="Aptos" w:hAnsi="Aptos"/>
                <w:b w:val="0"/>
                <w:sz w:val="16"/>
              </w:rPr>
              <w:t>Do not expose whether another account exists; prevent abuse.</w:t>
            </w:r>
          </w:p>
        </w:tc>
      </w:tr>
      <w:tr>
        <w:tc>
          <w:tcPr>
            <w:tcW w:type="dxa" w:w="2541"/>
            <w:vAlign w:val="center"/>
            <w:shd w:fill="F2F6F8"/>
          </w:tcPr>
          <w:p>
            <w:pPr>
              <w:spacing w:after="20"/>
            </w:pPr>
            <w:r/>
            <w:r>
              <w:rPr>
                <w:rFonts w:ascii="Aptos" w:hAnsi="Aptos"/>
                <w:b w:val="0"/>
                <w:sz w:val="16"/>
              </w:rPr>
              <w:t>Duplicate application</w:t>
            </w:r>
          </w:p>
        </w:tc>
        <w:tc>
          <w:tcPr>
            <w:tcW w:type="dxa" w:w="2541"/>
            <w:vAlign w:val="center"/>
            <w:shd w:fill="F2F6F8"/>
          </w:tcPr>
          <w:p>
            <w:pPr>
              <w:spacing w:after="20"/>
            </w:pPr>
            <w:r/>
            <w:r>
              <w:rPr>
                <w:rFonts w:ascii="Aptos" w:hAnsi="Aptos"/>
                <w:b w:val="0"/>
                <w:sz w:val="16"/>
              </w:rPr>
              <w:t>Flag likely match; place in duplicate review rather than auto-merging.</w:t>
            </w:r>
          </w:p>
        </w:tc>
        <w:tc>
          <w:tcPr>
            <w:tcW w:type="dxa" w:w="2541"/>
            <w:vAlign w:val="center"/>
            <w:shd w:fill="F2F6F8"/>
          </w:tcPr>
          <w:p>
            <w:pPr>
              <w:spacing w:after="20"/>
            </w:pPr>
            <w:r/>
            <w:r>
              <w:rPr>
                <w:rFonts w:ascii="Aptos" w:hAnsi="Aptos"/>
                <w:b w:val="0"/>
                <w:sz w:val="16"/>
              </w:rPr>
              <w:t>Operations verifies match using permitted identifiers and process.</w:t>
            </w:r>
          </w:p>
        </w:tc>
        <w:tc>
          <w:tcPr>
            <w:tcW w:type="dxa" w:w="2541"/>
            <w:vAlign w:val="center"/>
            <w:shd w:fill="F2F6F8"/>
          </w:tcPr>
          <w:p>
            <w:pPr>
              <w:spacing w:after="20"/>
            </w:pPr>
            <w:r/>
            <w:r>
              <w:rPr>
                <w:rFonts w:ascii="Aptos" w:hAnsi="Aptos"/>
                <w:b w:val="0"/>
                <w:sz w:val="16"/>
              </w:rPr>
              <w:t>Retain decision/reason; avoid cross-applicant disclosure.</w:t>
            </w:r>
          </w:p>
        </w:tc>
      </w:tr>
      <w:tr>
        <w:tc>
          <w:tcPr>
            <w:tcW w:type="dxa" w:w="2541"/>
            <w:vAlign w:val="center"/>
          </w:tcPr>
          <w:p>
            <w:pPr>
              <w:spacing w:after="20"/>
            </w:pPr>
            <w:r/>
            <w:r>
              <w:rPr>
                <w:rFonts w:ascii="Aptos" w:hAnsi="Aptos"/>
                <w:b w:val="0"/>
                <w:sz w:val="16"/>
              </w:rPr>
              <w:t>Consent absent, expired or revoked</w:t>
            </w:r>
          </w:p>
        </w:tc>
        <w:tc>
          <w:tcPr>
            <w:tcW w:type="dxa" w:w="2541"/>
            <w:vAlign w:val="center"/>
          </w:tcPr>
          <w:p>
            <w:pPr>
              <w:spacing w:after="20"/>
            </w:pPr>
            <w:r/>
            <w:r>
              <w:rPr>
                <w:rFonts w:ascii="Aptos" w:hAnsi="Aptos"/>
                <w:b w:val="0"/>
                <w:sz w:val="16"/>
              </w:rPr>
              <w:t>Block purpose-gated processing/sharing; alert owner.</w:t>
            </w:r>
          </w:p>
        </w:tc>
        <w:tc>
          <w:tcPr>
            <w:tcW w:type="dxa" w:w="2541"/>
            <w:vAlign w:val="center"/>
          </w:tcPr>
          <w:p>
            <w:pPr>
              <w:spacing w:after="20"/>
            </w:pPr>
            <w:r/>
            <w:r>
              <w:rPr>
                <w:rFonts w:ascii="Aptos" w:hAnsi="Aptos"/>
                <w:b w:val="0"/>
                <w:sz w:val="16"/>
              </w:rPr>
              <w:t>Applicant may provide fresh consent if appropriate; privacy owner assesses purge/retention.</w:t>
            </w:r>
          </w:p>
        </w:tc>
        <w:tc>
          <w:tcPr>
            <w:tcW w:type="dxa" w:w="2541"/>
            <w:vAlign w:val="center"/>
          </w:tcPr>
          <w:p>
            <w:pPr>
              <w:spacing w:after="20"/>
            </w:pPr>
            <w:r/>
            <w:r>
              <w:rPr>
                <w:rFonts w:ascii="Aptos" w:hAnsi="Aptos"/>
                <w:b w:val="0"/>
                <w:sz w:val="16"/>
              </w:rPr>
              <w:t>Record consent state and downstream handling.</w:t>
            </w:r>
          </w:p>
        </w:tc>
      </w:tr>
      <w:tr>
        <w:tc>
          <w:tcPr>
            <w:tcW w:type="dxa" w:w="2541"/>
            <w:vAlign w:val="center"/>
            <w:shd w:fill="F2F6F8"/>
          </w:tcPr>
          <w:p>
            <w:pPr>
              <w:spacing w:after="20"/>
            </w:pPr>
            <w:r/>
            <w:r>
              <w:rPr>
                <w:rFonts w:ascii="Aptos" w:hAnsi="Aptos"/>
                <w:b w:val="0"/>
                <w:sz w:val="16"/>
              </w:rPr>
              <w:t>Missing / unreadable / expired document</w:t>
            </w:r>
          </w:p>
        </w:tc>
        <w:tc>
          <w:tcPr>
            <w:tcW w:type="dxa" w:w="2541"/>
            <w:vAlign w:val="center"/>
            <w:shd w:fill="F2F6F8"/>
          </w:tcPr>
          <w:p>
            <w:pPr>
              <w:spacing w:after="20"/>
            </w:pPr>
            <w:r/>
            <w:r>
              <w:rPr>
                <w:rFonts w:ascii="Aptos" w:hAnsi="Aptos"/>
                <w:b w:val="0"/>
                <w:sz w:val="16"/>
              </w:rPr>
              <w:t>Create structured issue and pause readiness.</w:t>
            </w:r>
          </w:p>
        </w:tc>
        <w:tc>
          <w:tcPr>
            <w:tcW w:type="dxa" w:w="2541"/>
            <w:vAlign w:val="center"/>
            <w:shd w:fill="F2F6F8"/>
          </w:tcPr>
          <w:p>
            <w:pPr>
              <w:spacing w:after="20"/>
            </w:pPr>
            <w:r/>
            <w:r>
              <w:rPr>
                <w:rFonts w:ascii="Aptos" w:hAnsi="Aptos"/>
                <w:b w:val="0"/>
                <w:sz w:val="16"/>
              </w:rPr>
              <w:t>Reviewer requests replacement; applicant uploads new version.</w:t>
            </w:r>
          </w:p>
        </w:tc>
        <w:tc>
          <w:tcPr>
            <w:tcW w:type="dxa" w:w="2541"/>
            <w:vAlign w:val="center"/>
            <w:shd w:fill="F2F6F8"/>
          </w:tcPr>
          <w:p>
            <w:pPr>
              <w:spacing w:after="20"/>
            </w:pPr>
            <w:r/>
            <w:r>
              <w:rPr>
                <w:rFonts w:ascii="Aptos" w:hAnsi="Aptos"/>
                <w:b w:val="0"/>
                <w:sz w:val="16"/>
              </w:rPr>
              <w:t>Preserve version history; no stale version in package.</w:t>
            </w:r>
          </w:p>
        </w:tc>
      </w:tr>
      <w:tr>
        <w:tc>
          <w:tcPr>
            <w:tcW w:type="dxa" w:w="2541"/>
            <w:vAlign w:val="center"/>
          </w:tcPr>
          <w:p>
            <w:pPr>
              <w:spacing w:after="20"/>
            </w:pPr>
            <w:r/>
            <w:r>
              <w:rPr>
                <w:rFonts w:ascii="Aptos" w:hAnsi="Aptos"/>
                <w:b w:val="0"/>
                <w:sz w:val="16"/>
              </w:rPr>
              <w:t>Data mismatch</w:t>
            </w:r>
          </w:p>
        </w:tc>
        <w:tc>
          <w:tcPr>
            <w:tcW w:type="dxa" w:w="2541"/>
            <w:vAlign w:val="center"/>
          </w:tcPr>
          <w:p>
            <w:pPr>
              <w:spacing w:after="20"/>
            </w:pPr>
            <w:r/>
            <w:r>
              <w:rPr>
                <w:rFonts w:ascii="Aptos" w:hAnsi="Aptos"/>
                <w:b w:val="0"/>
                <w:sz w:val="16"/>
              </w:rPr>
              <w:t>Flag field/document discrepancy.</w:t>
            </w:r>
          </w:p>
        </w:tc>
        <w:tc>
          <w:tcPr>
            <w:tcW w:type="dxa" w:w="2541"/>
            <w:vAlign w:val="center"/>
          </w:tcPr>
          <w:p>
            <w:pPr>
              <w:spacing w:after="20"/>
            </w:pPr>
            <w:r/>
            <w:r>
              <w:rPr>
                <w:rFonts w:ascii="Aptos" w:hAnsi="Aptos"/>
                <w:b w:val="0"/>
                <w:sz w:val="16"/>
              </w:rPr>
              <w:t>Reviewer requests clarification or correction; applicant responds.</w:t>
            </w:r>
          </w:p>
        </w:tc>
        <w:tc>
          <w:tcPr>
            <w:tcW w:type="dxa" w:w="2541"/>
            <w:vAlign w:val="center"/>
          </w:tcPr>
          <w:p>
            <w:pPr>
              <w:spacing w:after="20"/>
            </w:pPr>
            <w:r/>
            <w:r>
              <w:rPr>
                <w:rFonts w:ascii="Aptos" w:hAnsi="Aptos"/>
                <w:b w:val="0"/>
                <w:sz w:val="16"/>
              </w:rPr>
              <w:t>Record before/after values and reason; no silent overwrite.</w:t>
            </w:r>
          </w:p>
        </w:tc>
      </w:tr>
      <w:tr>
        <w:tc>
          <w:tcPr>
            <w:tcW w:type="dxa" w:w="2541"/>
            <w:vAlign w:val="center"/>
            <w:shd w:fill="F2F6F8"/>
          </w:tcPr>
          <w:p>
            <w:pPr>
              <w:spacing w:after="20"/>
            </w:pPr>
            <w:r/>
            <w:r>
              <w:rPr>
                <w:rFonts w:ascii="Aptos" w:hAnsi="Aptos"/>
                <w:b w:val="0"/>
                <w:sz w:val="16"/>
              </w:rPr>
              <w:t>Internal rejection</w:t>
            </w:r>
          </w:p>
        </w:tc>
        <w:tc>
          <w:tcPr>
            <w:tcW w:type="dxa" w:w="2541"/>
            <w:vAlign w:val="center"/>
            <w:shd w:fill="F2F6F8"/>
          </w:tcPr>
          <w:p>
            <w:pPr>
              <w:spacing w:after="20"/>
            </w:pPr>
            <w:r/>
            <w:r>
              <w:rPr>
                <w:rFonts w:ascii="Aptos" w:hAnsi="Aptos"/>
                <w:b w:val="0"/>
                <w:sz w:val="16"/>
              </w:rPr>
              <w:t>Set reason-coded internal outcome and prevent handoff.</w:t>
            </w:r>
          </w:p>
        </w:tc>
        <w:tc>
          <w:tcPr>
            <w:tcW w:type="dxa" w:w="2541"/>
            <w:vAlign w:val="center"/>
            <w:shd w:fill="F2F6F8"/>
          </w:tcPr>
          <w:p>
            <w:pPr>
              <w:spacing w:after="20"/>
            </w:pPr>
            <w:r/>
            <w:r>
              <w:rPr>
                <w:rFonts w:ascii="Aptos" w:hAnsi="Aptos"/>
                <w:b w:val="0"/>
                <w:sz w:val="16"/>
              </w:rPr>
              <w:t>Operations informs applicant with appropriate explanation and next steps.</w:t>
            </w:r>
          </w:p>
        </w:tc>
        <w:tc>
          <w:tcPr>
            <w:tcW w:type="dxa" w:w="2541"/>
            <w:vAlign w:val="center"/>
            <w:shd w:fill="F2F6F8"/>
          </w:tcPr>
          <w:p>
            <w:pPr>
              <w:spacing w:after="20"/>
            </w:pPr>
            <w:r/>
            <w:r>
              <w:rPr>
                <w:rFonts w:ascii="Aptos" w:hAnsi="Aptos"/>
                <w:b w:val="0"/>
                <w:sz w:val="16"/>
              </w:rPr>
              <w:t>Do not present as bank rejection.</w:t>
            </w:r>
          </w:p>
        </w:tc>
      </w:tr>
      <w:tr>
        <w:tc>
          <w:tcPr>
            <w:tcW w:type="dxa" w:w="2541"/>
            <w:vAlign w:val="center"/>
          </w:tcPr>
          <w:p>
            <w:pPr>
              <w:spacing w:after="20"/>
            </w:pPr>
            <w:r/>
            <w:r>
              <w:rPr>
                <w:rFonts w:ascii="Aptos" w:hAnsi="Aptos"/>
                <w:b w:val="0"/>
                <w:sz w:val="16"/>
              </w:rPr>
              <w:t>Handoff failure / bank return</w:t>
            </w:r>
          </w:p>
        </w:tc>
        <w:tc>
          <w:tcPr>
            <w:tcW w:type="dxa" w:w="2541"/>
            <w:vAlign w:val="center"/>
          </w:tcPr>
          <w:p>
            <w:pPr>
              <w:spacing w:after="20"/>
            </w:pPr>
            <w:r/>
            <w:r>
              <w:rPr>
                <w:rFonts w:ascii="Aptos" w:hAnsi="Aptos"/>
                <w:b w:val="0"/>
                <w:sz w:val="16"/>
              </w:rPr>
              <w:t>Keep out of Submitted to Bank unless evidence exists; create exception.</w:t>
            </w:r>
          </w:p>
        </w:tc>
        <w:tc>
          <w:tcPr>
            <w:tcW w:type="dxa" w:w="2541"/>
            <w:vAlign w:val="center"/>
          </w:tcPr>
          <w:p>
            <w:pPr>
              <w:spacing w:after="20"/>
            </w:pPr>
            <w:r/>
            <w:r>
              <w:rPr>
                <w:rFonts w:ascii="Aptos" w:hAnsi="Aptos"/>
                <w:b w:val="0"/>
                <w:sz w:val="16"/>
              </w:rPr>
              <w:t>Authorised operator corrects/retries via approved channel; Bank Manager escalates.</w:t>
            </w:r>
          </w:p>
        </w:tc>
        <w:tc>
          <w:tcPr>
            <w:tcW w:type="dxa" w:w="2541"/>
            <w:vAlign w:val="center"/>
          </w:tcPr>
          <w:p>
            <w:pPr>
              <w:spacing w:after="20"/>
            </w:pPr>
            <w:r/>
            <w:r>
              <w:rPr>
                <w:rFonts w:ascii="Aptos" w:hAnsi="Aptos"/>
                <w:b w:val="0"/>
                <w:sz w:val="16"/>
              </w:rPr>
              <w:t>Idempotency and attempt history; bank reference per attempt.</w:t>
            </w:r>
          </w:p>
        </w:tc>
      </w:tr>
      <w:tr>
        <w:tc>
          <w:tcPr>
            <w:tcW w:type="dxa" w:w="2541"/>
            <w:vAlign w:val="center"/>
            <w:shd w:fill="F2F6F8"/>
          </w:tcPr>
          <w:p>
            <w:pPr>
              <w:spacing w:after="20"/>
            </w:pPr>
            <w:r/>
            <w:r>
              <w:rPr>
                <w:rFonts w:ascii="Aptos" w:hAnsi="Aptos"/>
                <w:b w:val="0"/>
                <w:sz w:val="16"/>
              </w:rPr>
              <w:t>Bank query</w:t>
            </w:r>
          </w:p>
        </w:tc>
        <w:tc>
          <w:tcPr>
            <w:tcW w:type="dxa" w:w="2541"/>
            <w:vAlign w:val="center"/>
            <w:shd w:fill="F2F6F8"/>
          </w:tcPr>
          <w:p>
            <w:pPr>
              <w:spacing w:after="20"/>
            </w:pPr>
            <w:r/>
            <w:r>
              <w:rPr>
                <w:rFonts w:ascii="Aptos" w:hAnsi="Aptos"/>
                <w:b w:val="0"/>
                <w:sz w:val="16"/>
              </w:rPr>
              <w:t>Create bank query task and due date.</w:t>
            </w:r>
          </w:p>
        </w:tc>
        <w:tc>
          <w:tcPr>
            <w:tcW w:type="dxa" w:w="2541"/>
            <w:vAlign w:val="center"/>
            <w:shd w:fill="F2F6F8"/>
          </w:tcPr>
          <w:p>
            <w:pPr>
              <w:spacing w:after="20"/>
            </w:pPr>
            <w:r/>
            <w:r>
              <w:rPr>
                <w:rFonts w:ascii="Aptos" w:hAnsi="Aptos"/>
                <w:b w:val="0"/>
                <w:sz w:val="16"/>
              </w:rPr>
              <w:t>DSA operator coordinates applicant response and sends via approved channel.</w:t>
            </w:r>
          </w:p>
        </w:tc>
        <w:tc>
          <w:tcPr>
            <w:tcW w:type="dxa" w:w="2541"/>
            <w:vAlign w:val="center"/>
            <w:shd w:fill="F2F6F8"/>
          </w:tcPr>
          <w:p>
            <w:pPr>
              <w:spacing w:after="20"/>
            </w:pPr>
            <w:r/>
            <w:r>
              <w:rPr>
                <w:rFonts w:ascii="Aptos" w:hAnsi="Aptos"/>
                <w:b w:val="0"/>
                <w:sz w:val="16"/>
              </w:rPr>
              <w:t>Track original query, response, evidence and bank resolution.</w:t>
            </w:r>
          </w:p>
        </w:tc>
      </w:tr>
      <w:tr>
        <w:tc>
          <w:tcPr>
            <w:tcW w:type="dxa" w:w="2541"/>
            <w:vAlign w:val="center"/>
          </w:tcPr>
          <w:p>
            <w:pPr>
              <w:spacing w:after="20"/>
            </w:pPr>
            <w:r/>
            <w:r>
              <w:rPr>
                <w:rFonts w:ascii="Aptos" w:hAnsi="Aptos"/>
                <w:b w:val="0"/>
                <w:sz w:val="16"/>
              </w:rPr>
              <w:t>Bank rejection</w:t>
            </w:r>
          </w:p>
        </w:tc>
        <w:tc>
          <w:tcPr>
            <w:tcW w:type="dxa" w:w="2541"/>
            <w:vAlign w:val="center"/>
          </w:tcPr>
          <w:p>
            <w:pPr>
              <w:spacing w:after="20"/>
            </w:pPr>
            <w:r/>
            <w:r>
              <w:rPr>
                <w:rFonts w:ascii="Aptos" w:hAnsi="Aptos"/>
                <w:b w:val="0"/>
                <w:sz w:val="16"/>
              </w:rPr>
              <w:t>Record bank-confirmed rejection and evidence/source.</w:t>
            </w:r>
          </w:p>
        </w:tc>
        <w:tc>
          <w:tcPr>
            <w:tcW w:type="dxa" w:w="2541"/>
            <w:vAlign w:val="center"/>
          </w:tcPr>
          <w:p>
            <w:pPr>
              <w:spacing w:after="20"/>
            </w:pPr>
            <w:r/>
            <w:r>
              <w:rPr>
                <w:rFonts w:ascii="Aptos" w:hAnsi="Aptos"/>
                <w:b w:val="0"/>
                <w:sz w:val="16"/>
              </w:rPr>
              <w:t>Support communicates verified status; any alternative route requires suitability, permission and consent.</w:t>
            </w:r>
          </w:p>
        </w:tc>
        <w:tc>
          <w:tcPr>
            <w:tcW w:type="dxa" w:w="2541"/>
            <w:vAlign w:val="center"/>
          </w:tcPr>
          <w:p>
            <w:pPr>
              <w:spacing w:after="20"/>
            </w:pPr>
            <w:r/>
            <w:r>
              <w:rPr>
                <w:rFonts w:ascii="Aptos" w:hAnsi="Aptos"/>
                <w:b w:val="0"/>
                <w:sz w:val="16"/>
              </w:rPr>
              <w:t>No automatic repeated submissions or guaranteed approval.</w:t>
            </w:r>
          </w:p>
        </w:tc>
      </w:tr>
      <w:tr>
        <w:tc>
          <w:tcPr>
            <w:tcW w:type="dxa" w:w="2541"/>
            <w:vAlign w:val="center"/>
            <w:shd w:fill="F2F6F8"/>
          </w:tcPr>
          <w:p>
            <w:pPr>
              <w:spacing w:after="20"/>
            </w:pPr>
            <w:r/>
            <w:r>
              <w:rPr>
                <w:rFonts w:ascii="Aptos" w:hAnsi="Aptos"/>
                <w:b w:val="0"/>
                <w:sz w:val="16"/>
              </w:rPr>
              <w:t>Applicant withdrawal</w:t>
            </w:r>
          </w:p>
        </w:tc>
        <w:tc>
          <w:tcPr>
            <w:tcW w:type="dxa" w:w="2541"/>
            <w:vAlign w:val="center"/>
            <w:shd w:fill="F2F6F8"/>
          </w:tcPr>
          <w:p>
            <w:pPr>
              <w:spacing w:after="20"/>
            </w:pPr>
            <w:r/>
            <w:r>
              <w:rPr>
                <w:rFonts w:ascii="Aptos" w:hAnsi="Aptos"/>
                <w:b w:val="0"/>
                <w:sz w:val="16"/>
              </w:rPr>
              <w:t>Stop further non-required processing and handoff.</w:t>
            </w:r>
          </w:p>
        </w:tc>
        <w:tc>
          <w:tcPr>
            <w:tcW w:type="dxa" w:w="2541"/>
            <w:vAlign w:val="center"/>
            <w:shd w:fill="F2F6F8"/>
          </w:tcPr>
          <w:p>
            <w:pPr>
              <w:spacing w:after="20"/>
            </w:pPr>
            <w:r/>
            <w:r>
              <w:rPr>
                <w:rFonts w:ascii="Aptos" w:hAnsi="Aptos"/>
                <w:b w:val="0"/>
                <w:sz w:val="16"/>
              </w:rPr>
              <w:t>Support confirms withdrawal and routes data handling.</w:t>
            </w:r>
          </w:p>
        </w:tc>
        <w:tc>
          <w:tcPr>
            <w:tcW w:type="dxa" w:w="2541"/>
            <w:vAlign w:val="center"/>
            <w:shd w:fill="F2F6F8"/>
          </w:tcPr>
          <w:p>
            <w:pPr>
              <w:spacing w:after="20"/>
            </w:pPr>
            <w:r/>
            <w:r>
              <w:rPr>
                <w:rFonts w:ascii="Aptos" w:hAnsi="Aptos"/>
                <w:b w:val="0"/>
                <w:sz w:val="16"/>
              </w:rPr>
              <w:t>Apply configured retention/purge rules and audit purge event.</w:t>
            </w:r>
          </w:p>
        </w:tc>
      </w:tr>
      <w:tr>
        <w:tc>
          <w:tcPr>
            <w:tcW w:type="dxa" w:w="2541"/>
            <w:vAlign w:val="center"/>
          </w:tcPr>
          <w:p>
            <w:pPr>
              <w:spacing w:after="20"/>
            </w:pPr>
            <w:r/>
            <w:r>
              <w:rPr>
                <w:rFonts w:ascii="Aptos" w:hAnsi="Aptos"/>
                <w:b w:val="0"/>
                <w:sz w:val="16"/>
              </w:rPr>
              <w:t>Fraud / anomaly flag</w:t>
            </w:r>
          </w:p>
        </w:tc>
        <w:tc>
          <w:tcPr>
            <w:tcW w:type="dxa" w:w="2541"/>
            <w:vAlign w:val="center"/>
          </w:tcPr>
          <w:p>
            <w:pPr>
              <w:spacing w:after="20"/>
            </w:pPr>
            <w:r/>
            <w:r>
              <w:rPr>
                <w:rFonts w:ascii="Aptos" w:hAnsi="Aptos"/>
                <w:b w:val="0"/>
                <w:sz w:val="16"/>
              </w:rPr>
              <w:t>Place case in controlled review/hold where policy permits.</w:t>
            </w:r>
          </w:p>
        </w:tc>
        <w:tc>
          <w:tcPr>
            <w:tcW w:type="dxa" w:w="2541"/>
            <w:vAlign w:val="center"/>
          </w:tcPr>
          <w:p>
            <w:pPr>
              <w:spacing w:after="20"/>
            </w:pPr>
            <w:r/>
            <w:r>
              <w:rPr>
                <w:rFonts w:ascii="Aptos" w:hAnsi="Aptos"/>
                <w:b w:val="0"/>
                <w:sz w:val="16"/>
              </w:rPr>
              <w:t>Authorised reviewer investigates and records outcome.</w:t>
            </w:r>
          </w:p>
        </w:tc>
        <w:tc>
          <w:tcPr>
            <w:tcW w:type="dxa" w:w="2541"/>
            <w:vAlign w:val="center"/>
          </w:tcPr>
          <w:p>
            <w:pPr>
              <w:spacing w:after="20"/>
            </w:pPr>
            <w:r/>
            <w:r>
              <w:rPr>
                <w:rFonts w:ascii="Aptos" w:hAnsi="Aptos"/>
                <w:b w:val="0"/>
                <w:sz w:val="16"/>
              </w:rPr>
              <w:t>Flag is not a lender decision; limit disclosure and access.</w:t>
            </w:r>
          </w:p>
        </w:tc>
      </w:tr>
      <w:tr>
        <w:tc>
          <w:tcPr>
            <w:tcW w:type="dxa" w:w="2541"/>
            <w:vAlign w:val="center"/>
            <w:shd w:fill="F2F6F8"/>
          </w:tcPr>
          <w:p>
            <w:pPr>
              <w:spacing w:after="20"/>
            </w:pPr>
            <w:r/>
            <w:r>
              <w:rPr>
                <w:rFonts w:ascii="Aptos" w:hAnsi="Aptos"/>
                <w:b w:val="0"/>
                <w:sz w:val="16"/>
              </w:rPr>
              <w:t>Commission mismatch / clawback</w:t>
            </w:r>
          </w:p>
        </w:tc>
        <w:tc>
          <w:tcPr>
            <w:tcW w:type="dxa" w:w="2541"/>
            <w:vAlign w:val="center"/>
            <w:shd w:fill="F2F6F8"/>
          </w:tcPr>
          <w:p>
            <w:pPr>
              <w:spacing w:after="20"/>
            </w:pPr>
            <w:r/>
            <w:r>
              <w:rPr>
                <w:rFonts w:ascii="Aptos" w:hAnsi="Aptos"/>
                <w:b w:val="0"/>
                <w:sz w:val="16"/>
              </w:rPr>
              <w:t>Create finance exception and preserve original ledger entry.</w:t>
            </w:r>
          </w:p>
        </w:tc>
        <w:tc>
          <w:tcPr>
            <w:tcW w:type="dxa" w:w="2541"/>
            <w:vAlign w:val="center"/>
            <w:shd w:fill="F2F6F8"/>
          </w:tcPr>
          <w:p>
            <w:pPr>
              <w:spacing w:after="20"/>
            </w:pPr>
            <w:r/>
            <w:r>
              <w:rPr>
                <w:rFonts w:ascii="Aptos" w:hAnsi="Aptos"/>
                <w:b w:val="0"/>
                <w:sz w:val="16"/>
              </w:rPr>
              <w:t>Finance matches MIS, seeks clarification and records adjustment/reversal.</w:t>
            </w:r>
          </w:p>
        </w:tc>
        <w:tc>
          <w:tcPr>
            <w:tcW w:type="dxa" w:w="2541"/>
            <w:vAlign w:val="center"/>
            <w:shd w:fill="F2F6F8"/>
          </w:tcPr>
          <w:p>
            <w:pPr>
              <w:spacing w:after="20"/>
            </w:pPr>
            <w:r/>
            <w:r>
              <w:rPr>
                <w:rFonts w:ascii="Aptos" w:hAnsi="Aptos"/>
                <w:b w:val="0"/>
                <w:sz w:val="16"/>
              </w:rPr>
              <w:t>No destructive edits; dual approval for material adjustments if configured.</w:t>
            </w:r>
          </w:p>
        </w:tc>
      </w:tr>
      <w:tr>
        <w:tc>
          <w:tcPr>
            <w:tcW w:type="dxa" w:w="2541"/>
            <w:vAlign w:val="center"/>
          </w:tcPr>
          <w:p>
            <w:pPr>
              <w:spacing w:after="20"/>
            </w:pPr>
            <w:r/>
            <w:r>
              <w:rPr>
                <w:rFonts w:ascii="Aptos" w:hAnsi="Aptos"/>
                <w:b w:val="0"/>
                <w:sz w:val="16"/>
              </w:rPr>
              <w:t>Complaint / grievance</w:t>
            </w:r>
          </w:p>
        </w:tc>
        <w:tc>
          <w:tcPr>
            <w:tcW w:type="dxa" w:w="2541"/>
            <w:vAlign w:val="center"/>
          </w:tcPr>
          <w:p>
            <w:pPr>
              <w:spacing w:after="20"/>
            </w:pPr>
            <w:r/>
            <w:r>
              <w:rPr>
                <w:rFonts w:ascii="Aptos" w:hAnsi="Aptos"/>
                <w:b w:val="0"/>
                <w:sz w:val="16"/>
              </w:rPr>
              <w:t>Create complaint case, acknowledge and route to owner.</w:t>
            </w:r>
          </w:p>
        </w:tc>
        <w:tc>
          <w:tcPr>
            <w:tcW w:type="dxa" w:w="2541"/>
            <w:vAlign w:val="center"/>
          </w:tcPr>
          <w:p>
            <w:pPr>
              <w:spacing w:after="20"/>
            </w:pPr>
            <w:r/>
            <w:r>
              <w:rPr>
                <w:rFonts w:ascii="Aptos" w:hAnsi="Aptos"/>
                <w:b w:val="0"/>
                <w:sz w:val="16"/>
              </w:rPr>
              <w:t>Support and Compliance manage response and escalation.</w:t>
            </w:r>
          </w:p>
        </w:tc>
        <w:tc>
          <w:tcPr>
            <w:tcW w:type="dxa" w:w="2541"/>
            <w:vAlign w:val="center"/>
          </w:tcPr>
          <w:p>
            <w:pPr>
              <w:spacing w:after="20"/>
            </w:pPr>
            <w:r/>
            <w:r>
              <w:rPr>
                <w:rFonts w:ascii="Aptos" w:hAnsi="Aptos"/>
                <w:b w:val="0"/>
                <w:sz w:val="16"/>
              </w:rPr>
              <w:t>Track dates, evidence, resolution and applicable escalation route.</w:t>
            </w:r>
          </w:p>
        </w:tc>
      </w:tr>
    </w:tbl>
    <w:p>
      <w:pPr>
        <w:spacing w:after="0"/>
      </w:pPr>
    </w:p>
    <w:p>
      <w:pPr>
        <w:pStyle w:val="Heading1"/>
      </w:pPr>
      <w:r>
        <w:t>9. MVP1 Screen &amp; Module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6"/>
              </w:rPr>
              <w:t>Area</w:t>
            </w:r>
          </w:p>
        </w:tc>
        <w:tc>
          <w:tcPr>
            <w:tcW w:type="dxa" w:w="3389"/>
            <w:vAlign w:val="center"/>
            <w:shd w:fill="12304A"/>
          </w:tcPr>
          <w:p>
            <w:pPr>
              <w:spacing w:after="20"/>
            </w:pPr>
            <w:r/>
            <w:r>
              <w:rPr>
                <w:rFonts w:ascii="Aptos" w:hAnsi="Aptos"/>
                <w:b/>
                <w:color w:val="FFFFFF"/>
                <w:sz w:val="16"/>
              </w:rPr>
              <w:t>Core screens / capabilities</w:t>
            </w:r>
          </w:p>
        </w:tc>
        <w:tc>
          <w:tcPr>
            <w:tcW w:type="dxa" w:w="3389"/>
            <w:vAlign w:val="center"/>
            <w:shd w:fill="12304A"/>
          </w:tcPr>
          <w:p>
            <w:pPr>
              <w:spacing w:after="20"/>
            </w:pPr>
            <w:r/>
            <w:r>
              <w:rPr>
                <w:rFonts w:ascii="Aptos" w:hAnsi="Aptos"/>
                <w:b/>
                <w:color w:val="FFFFFF"/>
                <w:sz w:val="16"/>
              </w:rPr>
              <w:t>MVP1 expectation</w:t>
            </w:r>
          </w:p>
        </w:tc>
      </w:tr>
      <w:tr>
        <w:tc>
          <w:tcPr>
            <w:tcW w:type="dxa" w:w="3389"/>
            <w:vAlign w:val="center"/>
          </w:tcPr>
          <w:p>
            <w:pPr>
              <w:spacing w:after="20"/>
            </w:pPr>
            <w:r/>
            <w:r>
              <w:rPr>
                <w:rFonts w:ascii="Aptos" w:hAnsi="Aptos"/>
                <w:b w:val="0"/>
                <w:sz w:val="16"/>
              </w:rPr>
              <w:t>Public website</w:t>
            </w:r>
          </w:p>
        </w:tc>
        <w:tc>
          <w:tcPr>
            <w:tcW w:type="dxa" w:w="3389"/>
            <w:vAlign w:val="center"/>
          </w:tcPr>
          <w:p>
            <w:pPr>
              <w:spacing w:after="20"/>
            </w:pPr>
            <w:r/>
            <w:r>
              <w:rPr>
                <w:rFonts w:ascii="Aptos" w:hAnsi="Aptos"/>
                <w:b w:val="0"/>
                <w:sz w:val="16"/>
              </w:rPr>
              <w:t>Landing pages, product explainer, application start, privacy/consent content, contact/grievance information as approved.</w:t>
            </w:r>
          </w:p>
        </w:tc>
        <w:tc>
          <w:tcPr>
            <w:tcW w:type="dxa" w:w="3389"/>
            <w:vAlign w:val="center"/>
          </w:tcPr>
          <w:p>
            <w:pPr>
              <w:spacing w:after="20"/>
            </w:pPr>
            <w:r/>
            <w:r>
              <w:rPr>
                <w:rFonts w:ascii="Aptos" w:hAnsi="Aptos"/>
                <w:b w:val="0"/>
                <w:sz w:val="16"/>
              </w:rPr>
              <w:t>Design baseline; avoid unsupported lender/partner claims.</w:t>
            </w:r>
          </w:p>
        </w:tc>
      </w:tr>
      <w:tr>
        <w:tc>
          <w:tcPr>
            <w:tcW w:type="dxa" w:w="3389"/>
            <w:vAlign w:val="center"/>
            <w:shd w:fill="F2F6F8"/>
          </w:tcPr>
          <w:p>
            <w:pPr>
              <w:spacing w:after="20"/>
            </w:pPr>
            <w:r/>
            <w:r>
              <w:rPr>
                <w:rFonts w:ascii="Aptos" w:hAnsi="Aptos"/>
                <w:b w:val="0"/>
                <w:sz w:val="16"/>
              </w:rPr>
              <w:t>Applicant application</w:t>
            </w:r>
          </w:p>
        </w:tc>
        <w:tc>
          <w:tcPr>
            <w:tcW w:type="dxa" w:w="3389"/>
            <w:vAlign w:val="center"/>
            <w:shd w:fill="F2F6F8"/>
          </w:tcPr>
          <w:p>
            <w:pPr>
              <w:spacing w:after="20"/>
            </w:pPr>
            <w:r/>
            <w:r>
              <w:rPr>
                <w:rFonts w:ascii="Aptos" w:hAnsi="Aptos"/>
                <w:b w:val="0"/>
                <w:sz w:val="16"/>
              </w:rPr>
              <w:t>Application start, profile, loan requirement, consent, document upload, completeness feedback, review/action-request response, status tracker.</w:t>
            </w:r>
          </w:p>
        </w:tc>
        <w:tc>
          <w:tcPr>
            <w:tcW w:type="dxa" w:w="3389"/>
            <w:vAlign w:val="center"/>
            <w:shd w:fill="F2F6F8"/>
          </w:tcPr>
          <w:p>
            <w:pPr>
              <w:spacing w:after="20"/>
            </w:pPr>
            <w:r/>
            <w:r>
              <w:rPr>
                <w:rFonts w:ascii="Aptos" w:hAnsi="Aptos"/>
                <w:b w:val="0"/>
                <w:sz w:val="16"/>
              </w:rPr>
              <w:t>Prototype with synthetic data; gated live intake.</w:t>
            </w:r>
          </w:p>
        </w:tc>
      </w:tr>
      <w:tr>
        <w:tc>
          <w:tcPr>
            <w:tcW w:type="dxa" w:w="3389"/>
            <w:vAlign w:val="center"/>
          </w:tcPr>
          <w:p>
            <w:pPr>
              <w:spacing w:after="20"/>
            </w:pPr>
            <w:r/>
            <w:r>
              <w:rPr>
                <w:rFonts w:ascii="Aptos" w:hAnsi="Aptos"/>
                <w:b w:val="0"/>
                <w:sz w:val="16"/>
              </w:rPr>
              <w:t>Admin authentication &amp; PAM</w:t>
            </w:r>
          </w:p>
        </w:tc>
        <w:tc>
          <w:tcPr>
            <w:tcW w:type="dxa" w:w="3389"/>
            <w:vAlign w:val="center"/>
          </w:tcPr>
          <w:p>
            <w:pPr>
              <w:spacing w:after="20"/>
            </w:pPr>
            <w:r/>
            <w:r>
              <w:rPr>
                <w:rFonts w:ascii="Aptos" w:hAnsi="Aptos"/>
                <w:b w:val="0"/>
                <w:sz w:val="16"/>
              </w:rPr>
              <w:t>Login, MFA policy, user lifecycle, role/permission assignment, access review, session/security events.</w:t>
            </w:r>
          </w:p>
        </w:tc>
        <w:tc>
          <w:tcPr>
            <w:tcW w:type="dxa" w:w="3389"/>
            <w:vAlign w:val="center"/>
          </w:tcPr>
          <w:p>
            <w:pPr>
              <w:spacing w:after="20"/>
            </w:pPr>
            <w:r/>
            <w:r>
              <w:rPr>
                <w:rFonts w:ascii="Aptos" w:hAnsi="Aptos"/>
                <w:b w:val="0"/>
                <w:sz w:val="16"/>
              </w:rPr>
              <w:t>Build early; least privilege and auditable administration.</w:t>
            </w:r>
          </w:p>
        </w:tc>
      </w:tr>
      <w:tr>
        <w:tc>
          <w:tcPr>
            <w:tcW w:type="dxa" w:w="3389"/>
            <w:vAlign w:val="center"/>
            <w:shd w:fill="F2F6F8"/>
          </w:tcPr>
          <w:p>
            <w:pPr>
              <w:spacing w:after="20"/>
            </w:pPr>
            <w:r/>
            <w:r>
              <w:rPr>
                <w:rFonts w:ascii="Aptos" w:hAnsi="Aptos"/>
                <w:b w:val="0"/>
                <w:sz w:val="16"/>
              </w:rPr>
              <w:t>Application queue</w:t>
            </w:r>
          </w:p>
        </w:tc>
        <w:tc>
          <w:tcPr>
            <w:tcW w:type="dxa" w:w="3389"/>
            <w:vAlign w:val="center"/>
            <w:shd w:fill="F2F6F8"/>
          </w:tcPr>
          <w:p>
            <w:pPr>
              <w:spacing w:after="20"/>
            </w:pPr>
            <w:r/>
            <w:r>
              <w:rPr>
                <w:rFonts w:ascii="Aptos" w:hAnsi="Aptos"/>
                <w:b w:val="0"/>
                <w:sz w:val="16"/>
              </w:rPr>
              <w:t>Search, filters, assignment, priority, status, SLA and exception indicators.</w:t>
            </w:r>
          </w:p>
        </w:tc>
        <w:tc>
          <w:tcPr>
            <w:tcW w:type="dxa" w:w="3389"/>
            <w:vAlign w:val="center"/>
            <w:shd w:fill="F2F6F8"/>
          </w:tcPr>
          <w:p>
            <w:pPr>
              <w:spacing w:after="20"/>
            </w:pPr>
            <w:r/>
            <w:r>
              <w:rPr>
                <w:rFonts w:ascii="Aptos" w:hAnsi="Aptos"/>
                <w:b w:val="0"/>
                <w:sz w:val="16"/>
              </w:rPr>
              <w:t>Operational queue for internal review.</w:t>
            </w:r>
          </w:p>
        </w:tc>
      </w:tr>
      <w:tr>
        <w:tc>
          <w:tcPr>
            <w:tcW w:type="dxa" w:w="3389"/>
            <w:vAlign w:val="center"/>
          </w:tcPr>
          <w:p>
            <w:pPr>
              <w:spacing w:after="20"/>
            </w:pPr>
            <w:r/>
            <w:r>
              <w:rPr>
                <w:rFonts w:ascii="Aptos" w:hAnsi="Aptos"/>
                <w:b w:val="0"/>
                <w:sz w:val="16"/>
              </w:rPr>
              <w:t>Application workspace</w:t>
            </w:r>
          </w:p>
        </w:tc>
        <w:tc>
          <w:tcPr>
            <w:tcW w:type="dxa" w:w="3389"/>
            <w:vAlign w:val="center"/>
          </w:tcPr>
          <w:p>
            <w:pPr>
              <w:spacing w:after="20"/>
            </w:pPr>
            <w:r/>
            <w:r>
              <w:rPr>
                <w:rFonts w:ascii="Aptos" w:hAnsi="Aptos"/>
                <w:b w:val="0"/>
                <w:sz w:val="16"/>
              </w:rPr>
              <w:t>Applicant/application summary, consent evidence, field history, document checklist, notes, timeline, issues and audit events.</w:t>
            </w:r>
          </w:p>
        </w:tc>
        <w:tc>
          <w:tcPr>
            <w:tcW w:type="dxa" w:w="3389"/>
            <w:vAlign w:val="center"/>
          </w:tcPr>
          <w:p>
            <w:pPr>
              <w:spacing w:after="20"/>
            </w:pPr>
            <w:r/>
            <w:r>
              <w:rPr>
                <w:rFonts w:ascii="Aptos" w:hAnsi="Aptos"/>
                <w:b w:val="0"/>
                <w:sz w:val="16"/>
              </w:rPr>
              <w:t>Single operational record with traceability.</w:t>
            </w:r>
          </w:p>
        </w:tc>
      </w:tr>
      <w:tr>
        <w:tc>
          <w:tcPr>
            <w:tcW w:type="dxa" w:w="3389"/>
            <w:vAlign w:val="center"/>
            <w:shd w:fill="F2F6F8"/>
          </w:tcPr>
          <w:p>
            <w:pPr>
              <w:spacing w:after="20"/>
            </w:pPr>
            <w:r/>
            <w:r>
              <w:rPr>
                <w:rFonts w:ascii="Aptos" w:hAnsi="Aptos"/>
                <w:b w:val="0"/>
                <w:sz w:val="16"/>
              </w:rPr>
              <w:t>Document centre</w:t>
            </w:r>
          </w:p>
        </w:tc>
        <w:tc>
          <w:tcPr>
            <w:tcW w:type="dxa" w:w="3389"/>
            <w:vAlign w:val="center"/>
            <w:shd w:fill="F2F6F8"/>
          </w:tcPr>
          <w:p>
            <w:pPr>
              <w:spacing w:after="20"/>
            </w:pPr>
            <w:r/>
            <w:r>
              <w:rPr>
                <w:rFonts w:ascii="Aptos" w:hAnsi="Aptos"/>
                <w:b w:val="0"/>
                <w:sz w:val="16"/>
              </w:rPr>
              <w:t>Private storage, upload validation, scan status, preview, versioning, reviewer decision and access audit.</w:t>
            </w:r>
          </w:p>
        </w:tc>
        <w:tc>
          <w:tcPr>
            <w:tcW w:type="dxa" w:w="3389"/>
            <w:vAlign w:val="center"/>
            <w:shd w:fill="F2F6F8"/>
          </w:tcPr>
          <w:p>
            <w:pPr>
              <w:spacing w:after="20"/>
            </w:pPr>
            <w:r/>
            <w:r>
              <w:rPr>
                <w:rFonts w:ascii="Aptos" w:hAnsi="Aptos"/>
                <w:b w:val="0"/>
                <w:sz w:val="16"/>
              </w:rPr>
              <w:t>No public document URLs; controlled access.</w:t>
            </w:r>
          </w:p>
        </w:tc>
      </w:tr>
      <w:tr>
        <w:tc>
          <w:tcPr>
            <w:tcW w:type="dxa" w:w="3389"/>
            <w:vAlign w:val="center"/>
          </w:tcPr>
          <w:p>
            <w:pPr>
              <w:spacing w:after="20"/>
            </w:pPr>
            <w:r/>
            <w:r>
              <w:rPr>
                <w:rFonts w:ascii="Aptos" w:hAnsi="Aptos"/>
                <w:b w:val="0"/>
                <w:sz w:val="16"/>
              </w:rPr>
              <w:t>Data-quality review</w:t>
            </w:r>
          </w:p>
        </w:tc>
        <w:tc>
          <w:tcPr>
            <w:tcW w:type="dxa" w:w="3389"/>
            <w:vAlign w:val="center"/>
          </w:tcPr>
          <w:p>
            <w:pPr>
              <w:spacing w:after="20"/>
            </w:pPr>
            <w:r/>
            <w:r>
              <w:rPr>
                <w:rFonts w:ascii="Aptos" w:hAnsi="Aptos"/>
                <w:b w:val="0"/>
                <w:sz w:val="16"/>
              </w:rPr>
              <w:t>Completeness, consistency, expiry checks, reason-coded issues and replacement workflow.</w:t>
            </w:r>
          </w:p>
        </w:tc>
        <w:tc>
          <w:tcPr>
            <w:tcW w:type="dxa" w:w="3389"/>
            <w:vAlign w:val="center"/>
          </w:tcPr>
          <w:p>
            <w:pPr>
              <w:spacing w:after="20"/>
            </w:pPr>
            <w:r/>
            <w:r>
              <w:rPr>
                <w:rFonts w:ascii="Aptos" w:hAnsi="Aptos"/>
                <w:b w:val="0"/>
                <w:sz w:val="16"/>
              </w:rPr>
              <w:t>Internal pre-check only.</w:t>
            </w:r>
          </w:p>
        </w:tc>
      </w:tr>
      <w:tr>
        <w:tc>
          <w:tcPr>
            <w:tcW w:type="dxa" w:w="3389"/>
            <w:vAlign w:val="center"/>
            <w:shd w:fill="F2F6F8"/>
          </w:tcPr>
          <w:p>
            <w:pPr>
              <w:spacing w:after="20"/>
            </w:pPr>
            <w:r/>
            <w:r>
              <w:rPr>
                <w:rFonts w:ascii="Aptos" w:hAnsi="Aptos"/>
                <w:b w:val="0"/>
                <w:sz w:val="16"/>
              </w:rPr>
              <w:t>Bank template configuration</w:t>
            </w:r>
          </w:p>
        </w:tc>
        <w:tc>
          <w:tcPr>
            <w:tcW w:type="dxa" w:w="3389"/>
            <w:vAlign w:val="center"/>
            <w:shd w:fill="F2F6F8"/>
          </w:tcPr>
          <w:p>
            <w:pPr>
              <w:spacing w:after="20"/>
            </w:pPr>
            <w:r/>
            <w:r>
              <w:rPr>
                <w:rFonts w:ascii="Aptos" w:hAnsi="Aptos"/>
                <w:b w:val="0"/>
                <w:sz w:val="16"/>
              </w:rPr>
              <w:t>One configurable bank-style template, field mapping, mandatory fields and checklist versioning.</w:t>
            </w:r>
          </w:p>
        </w:tc>
        <w:tc>
          <w:tcPr>
            <w:tcW w:type="dxa" w:w="3389"/>
            <w:vAlign w:val="center"/>
            <w:shd w:fill="F2F6F8"/>
          </w:tcPr>
          <w:p>
            <w:pPr>
              <w:spacing w:after="20"/>
            </w:pPr>
            <w:r/>
            <w:r>
              <w:rPr>
                <w:rFonts w:ascii="Aptos" w:hAnsi="Aptos"/>
                <w:b w:val="0"/>
                <w:sz w:val="16"/>
              </w:rPr>
              <w:t>Use synthetic/configuration test data; do not imply an active partnership.</w:t>
            </w:r>
          </w:p>
        </w:tc>
      </w:tr>
      <w:tr>
        <w:tc>
          <w:tcPr>
            <w:tcW w:type="dxa" w:w="3389"/>
            <w:vAlign w:val="center"/>
          </w:tcPr>
          <w:p>
            <w:pPr>
              <w:spacing w:after="20"/>
            </w:pPr>
            <w:r/>
            <w:r>
              <w:rPr>
                <w:rFonts w:ascii="Aptos" w:hAnsi="Aptos"/>
                <w:b w:val="0"/>
                <w:sz w:val="16"/>
              </w:rPr>
              <w:t>Handoff readiness</w:t>
            </w:r>
          </w:p>
        </w:tc>
        <w:tc>
          <w:tcPr>
            <w:tcW w:type="dxa" w:w="3389"/>
            <w:vAlign w:val="center"/>
          </w:tcPr>
          <w:p>
            <w:pPr>
              <w:spacing w:after="20"/>
            </w:pPr>
            <w:r/>
            <w:r>
              <w:rPr>
                <w:rFonts w:ascii="Aptos" w:hAnsi="Aptos"/>
                <w:b w:val="0"/>
                <w:sz w:val="16"/>
              </w:rPr>
              <w:t>Readiness checklist, package preview, internal approval and Ready for Bank Handoff state.</w:t>
            </w:r>
          </w:p>
        </w:tc>
        <w:tc>
          <w:tcPr>
            <w:tcW w:type="dxa" w:w="3389"/>
            <w:vAlign w:val="center"/>
          </w:tcPr>
          <w:p>
            <w:pPr>
              <w:spacing w:after="20"/>
            </w:pPr>
            <w:r/>
            <w:r>
              <w:rPr>
                <w:rFonts w:ascii="Aptos" w:hAnsi="Aptos"/>
                <w:b w:val="0"/>
                <w:sz w:val="16"/>
              </w:rPr>
              <w:t>No actual bank submission until authorised.</w:t>
            </w:r>
          </w:p>
        </w:tc>
      </w:tr>
      <w:tr>
        <w:tc>
          <w:tcPr>
            <w:tcW w:type="dxa" w:w="3389"/>
            <w:vAlign w:val="center"/>
            <w:shd w:fill="F2F6F8"/>
          </w:tcPr>
          <w:p>
            <w:pPr>
              <w:spacing w:after="20"/>
            </w:pPr>
            <w:r/>
            <w:r>
              <w:rPr>
                <w:rFonts w:ascii="Aptos" w:hAnsi="Aptos"/>
                <w:b w:val="0"/>
                <w:sz w:val="16"/>
              </w:rPr>
              <w:t>Handoff operations</w:t>
            </w:r>
          </w:p>
        </w:tc>
        <w:tc>
          <w:tcPr>
            <w:tcW w:type="dxa" w:w="3389"/>
            <w:vAlign w:val="center"/>
            <w:shd w:fill="F2F6F8"/>
          </w:tcPr>
          <w:p>
            <w:pPr>
              <w:spacing w:after="20"/>
            </w:pPr>
            <w:r/>
            <w:r>
              <w:rPr>
                <w:rFonts w:ascii="Aptos" w:hAnsi="Aptos"/>
                <w:b w:val="0"/>
                <w:sz w:val="16"/>
              </w:rPr>
              <w:t>Bank/product/channel selection, named operator, submission evidence/reference, attempt log and return handling.</w:t>
            </w:r>
          </w:p>
        </w:tc>
        <w:tc>
          <w:tcPr>
            <w:tcW w:type="dxa" w:w="3389"/>
            <w:vAlign w:val="center"/>
            <w:shd w:fill="F2F6F8"/>
          </w:tcPr>
          <w:p>
            <w:pPr>
              <w:spacing w:after="20"/>
            </w:pPr>
            <w:r/>
            <w:r>
              <w:rPr>
                <w:rFonts w:ascii="Aptos" w:hAnsi="Aptos"/>
                <w:b w:val="0"/>
                <w:sz w:val="16"/>
              </w:rPr>
              <w:t>Design/configurable; activate post-agreement.</w:t>
            </w:r>
          </w:p>
        </w:tc>
      </w:tr>
      <w:tr>
        <w:tc>
          <w:tcPr>
            <w:tcW w:type="dxa" w:w="3389"/>
            <w:vAlign w:val="center"/>
          </w:tcPr>
          <w:p>
            <w:pPr>
              <w:spacing w:after="20"/>
            </w:pPr>
            <w:r/>
            <w:r>
              <w:rPr>
                <w:rFonts w:ascii="Aptos" w:hAnsi="Aptos"/>
                <w:b w:val="0"/>
                <w:sz w:val="16"/>
              </w:rPr>
              <w:t>Status &amp; query tracking</w:t>
            </w:r>
          </w:p>
        </w:tc>
        <w:tc>
          <w:tcPr>
            <w:tcW w:type="dxa" w:w="3389"/>
            <w:vAlign w:val="center"/>
          </w:tcPr>
          <w:p>
            <w:pPr>
              <w:spacing w:after="20"/>
            </w:pPr>
            <w:r/>
            <w:r>
              <w:rPr>
                <w:rFonts w:ascii="Aptos" w:hAnsi="Aptos"/>
                <w:b w:val="0"/>
                <w:sz w:val="16"/>
              </w:rPr>
              <w:t>Bank status import/manual evidence, query task, applicant action and follow-up.</w:t>
            </w:r>
          </w:p>
        </w:tc>
        <w:tc>
          <w:tcPr>
            <w:tcW w:type="dxa" w:w="3389"/>
            <w:vAlign w:val="center"/>
          </w:tcPr>
          <w:p>
            <w:pPr>
              <w:spacing w:after="20"/>
            </w:pPr>
            <w:r/>
            <w:r>
              <w:rPr>
                <w:rFonts w:ascii="Aptos" w:hAnsi="Aptos"/>
                <w:b w:val="0"/>
                <w:sz w:val="16"/>
              </w:rPr>
              <w:t>Simulated or controlled until partner process exists.</w:t>
            </w:r>
          </w:p>
        </w:tc>
      </w:tr>
      <w:tr>
        <w:tc>
          <w:tcPr>
            <w:tcW w:type="dxa" w:w="3389"/>
            <w:vAlign w:val="center"/>
            <w:shd w:fill="F2F6F8"/>
          </w:tcPr>
          <w:p>
            <w:pPr>
              <w:spacing w:after="20"/>
            </w:pPr>
            <w:r/>
            <w:r>
              <w:rPr>
                <w:rFonts w:ascii="Aptos" w:hAnsi="Aptos"/>
                <w:b w:val="0"/>
                <w:sz w:val="16"/>
              </w:rPr>
              <w:t>Finance / commission</w:t>
            </w:r>
          </w:p>
        </w:tc>
        <w:tc>
          <w:tcPr>
            <w:tcW w:type="dxa" w:w="3389"/>
            <w:vAlign w:val="center"/>
            <w:shd w:fill="F2F6F8"/>
          </w:tcPr>
          <w:p>
            <w:pPr>
              <w:spacing w:after="20"/>
            </w:pPr>
            <w:r/>
            <w:r>
              <w:rPr>
                <w:rFonts w:ascii="Aptos" w:hAnsi="Aptos"/>
                <w:b w:val="0"/>
                <w:sz w:val="16"/>
              </w:rPr>
              <w:t>Agreement-based commission configuration, expected ledger, MIS import, match, exception, reversal and reconciliation.</w:t>
            </w:r>
          </w:p>
        </w:tc>
        <w:tc>
          <w:tcPr>
            <w:tcW w:type="dxa" w:w="3389"/>
            <w:vAlign w:val="center"/>
            <w:shd w:fill="F2F6F8"/>
          </w:tcPr>
          <w:p>
            <w:pPr>
              <w:spacing w:after="20"/>
            </w:pPr>
            <w:r/>
            <w:r>
              <w:rPr>
                <w:rFonts w:ascii="Aptos" w:hAnsi="Aptos"/>
                <w:b w:val="0"/>
                <w:sz w:val="16"/>
              </w:rPr>
              <w:t>Can be designed/tested with synthetic records; activate per agreement.</w:t>
            </w:r>
          </w:p>
        </w:tc>
      </w:tr>
      <w:tr>
        <w:tc>
          <w:tcPr>
            <w:tcW w:type="dxa" w:w="3389"/>
            <w:vAlign w:val="center"/>
          </w:tcPr>
          <w:p>
            <w:pPr>
              <w:spacing w:after="20"/>
            </w:pPr>
            <w:r/>
            <w:r>
              <w:rPr>
                <w:rFonts w:ascii="Aptos" w:hAnsi="Aptos"/>
                <w:b w:val="0"/>
                <w:sz w:val="16"/>
              </w:rPr>
              <w:t>Audit &amp; reporting</w:t>
            </w:r>
          </w:p>
        </w:tc>
        <w:tc>
          <w:tcPr>
            <w:tcW w:type="dxa" w:w="3389"/>
            <w:vAlign w:val="center"/>
          </w:tcPr>
          <w:p>
            <w:pPr>
              <w:spacing w:after="20"/>
            </w:pPr>
            <w:r/>
            <w:r>
              <w:rPr>
                <w:rFonts w:ascii="Aptos" w:hAnsi="Aptos"/>
                <w:b w:val="0"/>
                <w:sz w:val="16"/>
              </w:rPr>
              <w:t>Event history, access logs, queue productivity, completeness, handoff and reconciliation metrics.</w:t>
            </w:r>
          </w:p>
        </w:tc>
        <w:tc>
          <w:tcPr>
            <w:tcW w:type="dxa" w:w="3389"/>
            <w:vAlign w:val="center"/>
          </w:tcPr>
          <w:p>
            <w:pPr>
              <w:spacing w:after="20"/>
            </w:pPr>
            <w:r/>
            <w:r>
              <w:rPr>
                <w:rFonts w:ascii="Aptos" w:hAnsi="Aptos"/>
                <w:b w:val="0"/>
                <w:sz w:val="16"/>
              </w:rPr>
              <w:t>Audit first; reports must distinguish internal vs bank-confirmed events.</w:t>
            </w:r>
          </w:p>
        </w:tc>
      </w:tr>
    </w:tbl>
    <w:p>
      <w:pPr>
        <w:spacing w:after="0"/>
      </w:pPr>
    </w:p>
    <w:p>
      <w:pPr>
        <w:pStyle w:val="Heading1"/>
      </w:pPr>
      <w:r>
        <w:t>10. MVP1 Acceptance Criteria</w:t>
      </w:r>
    </w:p>
    <w:p>
      <w:pPr>
        <w:pStyle w:val="ListBullet"/>
        <w:spacing w:after="40"/>
      </w:pPr>
      <w:r>
        <w:t>Authorised users can create, assign, review and track synthetic applicant/application records.</w:t>
      </w:r>
    </w:p>
    <w:p>
      <w:pPr>
        <w:pStyle w:val="ListBullet"/>
        <w:spacing w:after="40"/>
      </w:pPr>
      <w:r>
        <w:t>Consent purpose, notice version, timestamp, scope, evidence, expiry and revocation state are traceable.</w:t>
      </w:r>
    </w:p>
    <w:p>
      <w:pPr>
        <w:pStyle w:val="ListBullet"/>
        <w:spacing w:after="40"/>
      </w:pPr>
      <w:r>
        <w:t>Sensitive fields and documents are restricted by role and case scope; access is audited.</w:t>
      </w:r>
    </w:p>
    <w:p>
      <w:pPr>
        <w:pStyle w:val="ListBullet"/>
        <w:spacing w:after="40"/>
      </w:pPr>
      <w:r>
        <w:t>Documents are stored privately, validated, versioned and reviewed with structured outcomes.</w:t>
      </w:r>
    </w:p>
    <w:p>
      <w:pPr>
        <w:pStyle w:val="ListBullet"/>
        <w:spacing w:after="40"/>
      </w:pPr>
      <w:r>
        <w:t>Completeness and data-quality checks are configurable and clearly labelled as internal checks.</w:t>
      </w:r>
    </w:p>
    <w:p>
      <w:pPr>
        <w:pStyle w:val="ListBullet"/>
        <w:spacing w:after="40"/>
      </w:pPr>
      <w:r>
        <w:t>One configurable bank template supports canonical-to-bank field mapping, required-field validation and package preview.</w:t>
      </w:r>
    </w:p>
    <w:p>
      <w:pPr>
        <w:pStyle w:val="ListBullet"/>
        <w:spacing w:after="40"/>
      </w:pPr>
      <w:r>
        <w:t>The application can reach Ready for Bank Handoff only after all configured internal requirements pass.</w:t>
      </w:r>
    </w:p>
    <w:p>
      <w:pPr>
        <w:pStyle w:val="ListBullet"/>
        <w:spacing w:after="40"/>
      </w:pPr>
      <w:r>
        <w:t>The platform cannot mark Submitted to Bank without required submission evidence.</w:t>
      </w:r>
    </w:p>
    <w:p>
      <w:pPr>
        <w:pStyle w:val="ListBullet"/>
        <w:spacing w:after="40"/>
      </w:pPr>
      <w:r>
        <w:t>Bank decision and disbursement states are distinguishable from internal workflow states and require bank evidence.</w:t>
      </w:r>
    </w:p>
    <w:p>
      <w:pPr>
        <w:pStyle w:val="ListBullet"/>
        <w:spacing w:after="40"/>
      </w:pPr>
      <w:r>
        <w:t>Actions, assignment changes, document decisions, consent events, configuration changes and status updates are auditable.</w:t>
      </w:r>
    </w:p>
    <w:p>
      <w:pPr>
        <w:pStyle w:val="ListBullet"/>
        <w:spacing w:after="40"/>
      </w:pPr>
      <w:r>
        <w:t>Role-based access prevents unauthorised viewing/editing and supports separation of duties.</w:t>
      </w:r>
    </w:p>
    <w:p>
      <w:pPr>
        <w:pStyle w:val="ListBullet"/>
        <w:spacing w:after="40"/>
      </w:pPr>
      <w:r>
        <w:t>Retention and purge are configurable; purge actions produce audit evidence without retaining unnecessary personal data.</w:t>
      </w:r>
    </w:p>
    <w:p>
      <w:pPr>
        <w:pStyle w:val="ListBullet"/>
        <w:spacing w:after="40"/>
      </w:pPr>
      <w:r>
        <w:t>The product does not imply that Loans4India is a lender or that internal checks equal bank KYC, underwriting or approval.</w:t>
      </w:r>
    </w:p>
    <w:p>
      <w:pPr>
        <w:pStyle w:val="Heading1"/>
      </w:pPr>
      <w:r>
        <w:t>11. Operational Metrics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6"/>
              </w:rPr>
              <w:t>Metric</w:t>
            </w:r>
          </w:p>
        </w:tc>
        <w:tc>
          <w:tcPr>
            <w:tcW w:type="dxa" w:w="5083"/>
            <w:vAlign w:val="center"/>
            <w:shd w:fill="12304A"/>
          </w:tcPr>
          <w:p>
            <w:pPr>
              <w:spacing w:after="20"/>
            </w:pPr>
            <w:r/>
            <w:r>
              <w:rPr>
                <w:rFonts w:ascii="Aptos" w:hAnsi="Aptos"/>
                <w:b/>
                <w:color w:val="FFFFFF"/>
                <w:sz w:val="16"/>
              </w:rPr>
              <w:t>Definition / purpose</w:t>
            </w:r>
          </w:p>
        </w:tc>
      </w:tr>
      <w:tr>
        <w:tc>
          <w:tcPr>
            <w:tcW w:type="dxa" w:w="5083"/>
            <w:vAlign w:val="center"/>
          </w:tcPr>
          <w:p>
            <w:pPr>
              <w:spacing w:after="20"/>
            </w:pPr>
            <w:r/>
            <w:r>
              <w:rPr>
                <w:rFonts w:ascii="Aptos" w:hAnsi="Aptos"/>
                <w:b w:val="0"/>
                <w:sz w:val="16"/>
              </w:rPr>
              <w:t>Application completion rate</w:t>
            </w:r>
          </w:p>
        </w:tc>
        <w:tc>
          <w:tcPr>
            <w:tcW w:type="dxa" w:w="5083"/>
            <w:vAlign w:val="center"/>
          </w:tcPr>
          <w:p>
            <w:pPr>
              <w:spacing w:after="20"/>
            </w:pPr>
            <w:r/>
            <w:r>
              <w:rPr>
                <w:rFonts w:ascii="Aptos" w:hAnsi="Aptos"/>
                <w:b w:val="0"/>
                <w:sz w:val="16"/>
              </w:rPr>
              <w:t>Applications reaching the configured completed-data milestone divided by starts.</w:t>
            </w:r>
          </w:p>
        </w:tc>
      </w:tr>
      <w:tr>
        <w:tc>
          <w:tcPr>
            <w:tcW w:type="dxa" w:w="5083"/>
            <w:vAlign w:val="center"/>
            <w:shd w:fill="F2F6F8"/>
          </w:tcPr>
          <w:p>
            <w:pPr>
              <w:spacing w:after="20"/>
            </w:pPr>
            <w:r/>
            <w:r>
              <w:rPr>
                <w:rFonts w:ascii="Aptos" w:hAnsi="Aptos"/>
                <w:b w:val="0"/>
                <w:sz w:val="16"/>
              </w:rPr>
              <w:t>Consent validity rate</w:t>
            </w:r>
          </w:p>
        </w:tc>
        <w:tc>
          <w:tcPr>
            <w:tcW w:type="dxa" w:w="5083"/>
            <w:vAlign w:val="center"/>
            <w:shd w:fill="F2F6F8"/>
          </w:tcPr>
          <w:p>
            <w:pPr>
              <w:spacing w:after="20"/>
            </w:pPr>
            <w:r/>
            <w:r>
              <w:rPr>
                <w:rFonts w:ascii="Aptos" w:hAnsi="Aptos"/>
                <w:b w:val="0"/>
                <w:sz w:val="16"/>
              </w:rPr>
              <w:t>Applications with valid, purpose-aligned consent at the point of processing.</w:t>
            </w:r>
          </w:p>
        </w:tc>
      </w:tr>
      <w:tr>
        <w:tc>
          <w:tcPr>
            <w:tcW w:type="dxa" w:w="5083"/>
            <w:vAlign w:val="center"/>
          </w:tcPr>
          <w:p>
            <w:pPr>
              <w:spacing w:after="20"/>
            </w:pPr>
            <w:r/>
            <w:r>
              <w:rPr>
                <w:rFonts w:ascii="Aptos" w:hAnsi="Aptos"/>
                <w:b w:val="0"/>
                <w:sz w:val="16"/>
              </w:rPr>
              <w:t>Document completeness rate</w:t>
            </w:r>
          </w:p>
        </w:tc>
        <w:tc>
          <w:tcPr>
            <w:tcW w:type="dxa" w:w="5083"/>
            <w:vAlign w:val="center"/>
          </w:tcPr>
          <w:p>
            <w:pPr>
              <w:spacing w:after="20"/>
            </w:pPr>
            <w:r/>
            <w:r>
              <w:rPr>
                <w:rFonts w:ascii="Aptos" w:hAnsi="Aptos"/>
                <w:b w:val="0"/>
                <w:sz w:val="16"/>
              </w:rPr>
              <w:t>Applications passing required internal document checklist.</w:t>
            </w:r>
          </w:p>
        </w:tc>
      </w:tr>
      <w:tr>
        <w:tc>
          <w:tcPr>
            <w:tcW w:type="dxa" w:w="5083"/>
            <w:vAlign w:val="center"/>
            <w:shd w:fill="F2F6F8"/>
          </w:tcPr>
          <w:p>
            <w:pPr>
              <w:spacing w:after="20"/>
            </w:pPr>
            <w:r/>
            <w:r>
              <w:rPr>
                <w:rFonts w:ascii="Aptos" w:hAnsi="Aptos"/>
                <w:b w:val="0"/>
                <w:sz w:val="16"/>
              </w:rPr>
              <w:t>Internal review turnaround</w:t>
            </w:r>
          </w:p>
        </w:tc>
        <w:tc>
          <w:tcPr>
            <w:tcW w:type="dxa" w:w="5083"/>
            <w:vAlign w:val="center"/>
            <w:shd w:fill="F2F6F8"/>
          </w:tcPr>
          <w:p>
            <w:pPr>
              <w:spacing w:after="20"/>
            </w:pPr>
            <w:r/>
            <w:r>
              <w:rPr>
                <w:rFonts w:ascii="Aptos" w:hAnsi="Aptos"/>
                <w:b w:val="0"/>
                <w:sz w:val="16"/>
              </w:rPr>
              <w:t>Time from review queue entry to internal review outcome.</w:t>
            </w:r>
          </w:p>
        </w:tc>
      </w:tr>
      <w:tr>
        <w:tc>
          <w:tcPr>
            <w:tcW w:type="dxa" w:w="5083"/>
            <w:vAlign w:val="center"/>
          </w:tcPr>
          <w:p>
            <w:pPr>
              <w:spacing w:after="20"/>
            </w:pPr>
            <w:r/>
            <w:r>
              <w:rPr>
                <w:rFonts w:ascii="Aptos" w:hAnsi="Aptos"/>
                <w:b w:val="0"/>
                <w:sz w:val="16"/>
              </w:rPr>
              <w:t>Action-request resolution time</w:t>
            </w:r>
          </w:p>
        </w:tc>
        <w:tc>
          <w:tcPr>
            <w:tcW w:type="dxa" w:w="5083"/>
            <w:vAlign w:val="center"/>
          </w:tcPr>
          <w:p>
            <w:pPr>
              <w:spacing w:after="20"/>
            </w:pPr>
            <w:r/>
            <w:r>
              <w:rPr>
                <w:rFonts w:ascii="Aptos" w:hAnsi="Aptos"/>
                <w:b w:val="0"/>
                <w:sz w:val="16"/>
              </w:rPr>
              <w:t>Time from request to applicant response and subsequent review.</w:t>
            </w:r>
          </w:p>
        </w:tc>
      </w:tr>
      <w:tr>
        <w:tc>
          <w:tcPr>
            <w:tcW w:type="dxa" w:w="5083"/>
            <w:vAlign w:val="center"/>
            <w:shd w:fill="F2F6F8"/>
          </w:tcPr>
          <w:p>
            <w:pPr>
              <w:spacing w:after="20"/>
            </w:pPr>
            <w:r/>
            <w:r>
              <w:rPr>
                <w:rFonts w:ascii="Aptos" w:hAnsi="Aptos"/>
                <w:b w:val="0"/>
                <w:sz w:val="16"/>
              </w:rPr>
              <w:t>Ready-for-handoff rate</w:t>
            </w:r>
          </w:p>
        </w:tc>
        <w:tc>
          <w:tcPr>
            <w:tcW w:type="dxa" w:w="5083"/>
            <w:vAlign w:val="center"/>
            <w:shd w:fill="F2F6F8"/>
          </w:tcPr>
          <w:p>
            <w:pPr>
              <w:spacing w:after="20"/>
            </w:pPr>
            <w:r/>
            <w:r>
              <w:rPr>
                <w:rFonts w:ascii="Aptos" w:hAnsi="Aptos"/>
                <w:b w:val="0"/>
                <w:sz w:val="16"/>
              </w:rPr>
              <w:t>Applications reaching internal readiness divided by applications entering review.</w:t>
            </w:r>
          </w:p>
        </w:tc>
      </w:tr>
      <w:tr>
        <w:tc>
          <w:tcPr>
            <w:tcW w:type="dxa" w:w="5083"/>
            <w:vAlign w:val="center"/>
          </w:tcPr>
          <w:p>
            <w:pPr>
              <w:spacing w:after="20"/>
            </w:pPr>
            <w:r/>
            <w:r>
              <w:rPr>
                <w:rFonts w:ascii="Aptos" w:hAnsi="Aptos"/>
                <w:b w:val="0"/>
                <w:sz w:val="16"/>
              </w:rPr>
              <w:t>Handoff success rate</w:t>
            </w:r>
          </w:p>
        </w:tc>
        <w:tc>
          <w:tcPr>
            <w:tcW w:type="dxa" w:w="5083"/>
            <w:vAlign w:val="center"/>
          </w:tcPr>
          <w:p>
            <w:pPr>
              <w:spacing w:after="20"/>
            </w:pPr>
            <w:r/>
            <w:r>
              <w:rPr>
                <w:rFonts w:ascii="Aptos" w:hAnsi="Aptos"/>
                <w:b w:val="0"/>
                <w:sz w:val="16"/>
              </w:rPr>
              <w:t>Authorised submissions with recorded bank evidence divided by handoff attempts.</w:t>
            </w:r>
          </w:p>
        </w:tc>
      </w:tr>
      <w:tr>
        <w:tc>
          <w:tcPr>
            <w:tcW w:type="dxa" w:w="5083"/>
            <w:vAlign w:val="center"/>
            <w:shd w:fill="F2F6F8"/>
          </w:tcPr>
          <w:p>
            <w:pPr>
              <w:spacing w:after="20"/>
            </w:pPr>
            <w:r/>
            <w:r>
              <w:rPr>
                <w:rFonts w:ascii="Aptos" w:hAnsi="Aptos"/>
                <w:b w:val="0"/>
                <w:sz w:val="16"/>
              </w:rPr>
              <w:t>Bank status coverage</w:t>
            </w:r>
          </w:p>
        </w:tc>
        <w:tc>
          <w:tcPr>
            <w:tcW w:type="dxa" w:w="5083"/>
            <w:vAlign w:val="center"/>
            <w:shd w:fill="F2F6F8"/>
          </w:tcPr>
          <w:p>
            <w:pPr>
              <w:spacing w:after="20"/>
            </w:pPr>
            <w:r/>
            <w:r>
              <w:rPr>
                <w:rFonts w:ascii="Aptos" w:hAnsi="Aptos"/>
                <w:b w:val="0"/>
                <w:sz w:val="16"/>
              </w:rPr>
              <w:t>Submitted cases with a current, source-attributed bank status.</w:t>
            </w:r>
          </w:p>
        </w:tc>
      </w:tr>
      <w:tr>
        <w:tc>
          <w:tcPr>
            <w:tcW w:type="dxa" w:w="5083"/>
            <w:vAlign w:val="center"/>
          </w:tcPr>
          <w:p>
            <w:pPr>
              <w:spacing w:after="20"/>
            </w:pPr>
            <w:r/>
            <w:r>
              <w:rPr>
                <w:rFonts w:ascii="Aptos" w:hAnsi="Aptos"/>
                <w:b w:val="0"/>
                <w:sz w:val="16"/>
              </w:rPr>
              <w:t>Bank query ageing</w:t>
            </w:r>
          </w:p>
        </w:tc>
        <w:tc>
          <w:tcPr>
            <w:tcW w:type="dxa" w:w="5083"/>
            <w:vAlign w:val="center"/>
          </w:tcPr>
          <w:p>
            <w:pPr>
              <w:spacing w:after="20"/>
            </w:pPr>
            <w:r/>
            <w:r>
              <w:rPr>
                <w:rFonts w:ascii="Aptos" w:hAnsi="Aptos"/>
                <w:b w:val="0"/>
                <w:sz w:val="16"/>
              </w:rPr>
              <w:t>Open bank queries grouped by age and responsible owner.</w:t>
            </w:r>
          </w:p>
        </w:tc>
      </w:tr>
      <w:tr>
        <w:tc>
          <w:tcPr>
            <w:tcW w:type="dxa" w:w="5083"/>
            <w:vAlign w:val="center"/>
            <w:shd w:fill="F2F6F8"/>
          </w:tcPr>
          <w:p>
            <w:pPr>
              <w:spacing w:after="20"/>
            </w:pPr>
            <w:r/>
            <w:r>
              <w:rPr>
                <w:rFonts w:ascii="Aptos" w:hAnsi="Aptos"/>
                <w:b w:val="0"/>
                <w:sz w:val="16"/>
              </w:rPr>
              <w:t>Bank-confirmed decision / disbursal rate</w:t>
            </w:r>
          </w:p>
        </w:tc>
        <w:tc>
          <w:tcPr>
            <w:tcW w:type="dxa" w:w="5083"/>
            <w:vAlign w:val="center"/>
            <w:shd w:fill="F2F6F8"/>
          </w:tcPr>
          <w:p>
            <w:pPr>
              <w:spacing w:after="20"/>
            </w:pPr>
            <w:r/>
            <w:r>
              <w:rPr>
                <w:rFonts w:ascii="Aptos" w:hAnsi="Aptos"/>
                <w:b w:val="0"/>
                <w:sz w:val="16"/>
              </w:rPr>
              <w:t>Reported separately and only where partner evidence is available.</w:t>
            </w:r>
          </w:p>
        </w:tc>
      </w:tr>
      <w:tr>
        <w:tc>
          <w:tcPr>
            <w:tcW w:type="dxa" w:w="5083"/>
            <w:vAlign w:val="center"/>
          </w:tcPr>
          <w:p>
            <w:pPr>
              <w:spacing w:after="20"/>
            </w:pPr>
            <w:r/>
            <w:r>
              <w:rPr>
                <w:rFonts w:ascii="Aptos" w:hAnsi="Aptos"/>
                <w:b w:val="0"/>
                <w:sz w:val="16"/>
              </w:rPr>
              <w:t>Commission realization</w:t>
            </w:r>
          </w:p>
        </w:tc>
        <w:tc>
          <w:tcPr>
            <w:tcW w:type="dxa" w:w="5083"/>
            <w:vAlign w:val="center"/>
          </w:tcPr>
          <w:p>
            <w:pPr>
              <w:spacing w:after="20"/>
            </w:pPr>
            <w:r/>
            <w:r>
              <w:rPr>
                <w:rFonts w:ascii="Aptos" w:hAnsi="Aptos"/>
                <w:b w:val="0"/>
                <w:sz w:val="16"/>
              </w:rPr>
              <w:t>Received commission versus expected commission for eligible, bank-confirmed events.</w:t>
            </w:r>
          </w:p>
        </w:tc>
      </w:tr>
      <w:tr>
        <w:tc>
          <w:tcPr>
            <w:tcW w:type="dxa" w:w="5083"/>
            <w:vAlign w:val="center"/>
            <w:shd w:fill="F2F6F8"/>
          </w:tcPr>
          <w:p>
            <w:pPr>
              <w:spacing w:after="20"/>
            </w:pPr>
            <w:r/>
            <w:r>
              <w:rPr>
                <w:rFonts w:ascii="Aptos" w:hAnsi="Aptos"/>
                <w:b w:val="0"/>
                <w:sz w:val="16"/>
              </w:rPr>
              <w:t>Exception ageing</w:t>
            </w:r>
          </w:p>
        </w:tc>
        <w:tc>
          <w:tcPr>
            <w:tcW w:type="dxa" w:w="5083"/>
            <w:vAlign w:val="center"/>
            <w:shd w:fill="F2F6F8"/>
          </w:tcPr>
          <w:p>
            <w:pPr>
              <w:spacing w:after="20"/>
            </w:pPr>
            <w:r/>
            <w:r>
              <w:rPr>
                <w:rFonts w:ascii="Aptos" w:hAnsi="Aptos"/>
                <w:b w:val="0"/>
                <w:sz w:val="16"/>
              </w:rPr>
              <w:t>Open duplicate, consent, document, handoff, bank-query and finance exceptions by age.</w:t>
            </w:r>
          </w:p>
        </w:tc>
      </w:tr>
      <w:tr>
        <w:tc>
          <w:tcPr>
            <w:tcW w:type="dxa" w:w="5083"/>
            <w:vAlign w:val="center"/>
          </w:tcPr>
          <w:p>
            <w:pPr>
              <w:spacing w:after="20"/>
            </w:pPr>
            <w:r/>
            <w:r>
              <w:rPr>
                <w:rFonts w:ascii="Aptos" w:hAnsi="Aptos"/>
                <w:b w:val="0"/>
                <w:sz w:val="16"/>
              </w:rPr>
              <w:t>Access / audit exceptions</w:t>
            </w:r>
          </w:p>
        </w:tc>
        <w:tc>
          <w:tcPr>
            <w:tcW w:type="dxa" w:w="5083"/>
            <w:vAlign w:val="center"/>
          </w:tcPr>
          <w:p>
            <w:pPr>
              <w:spacing w:after="20"/>
            </w:pPr>
            <w:r/>
            <w:r>
              <w:rPr>
                <w:rFonts w:ascii="Aptos" w:hAnsi="Aptos"/>
                <w:b w:val="0"/>
                <w:sz w:val="16"/>
              </w:rPr>
              <w:t>Unauthorised access attempts, privileged changes, overdue access reviews and audit gaps.</w:t>
            </w:r>
          </w:p>
        </w:tc>
      </w:tr>
    </w:tbl>
    <w:p>
      <w:pPr>
        <w:spacing w:after="0"/>
      </w:pPr>
    </w:p>
    <w:p>
      <w:pPr>
        <w:pStyle w:val="Heading1"/>
      </w:pPr>
      <w:r>
        <w:t>12. Data, Security &amp; Audit Requirements</w:t>
      </w:r>
    </w:p>
    <w:p>
      <w:pPr>
        <w:pStyle w:val="ListBullet"/>
        <w:spacing w:after="40"/>
      </w:pPr>
      <w:r>
        <w:t>Canonical applicant and application records with stable IDs, field-level change history and source attribution.</w:t>
      </w:r>
    </w:p>
    <w:p>
      <w:pPr>
        <w:pStyle w:val="ListBullet"/>
        <w:spacing w:after="40"/>
      </w:pPr>
      <w:r>
        <w:t>Consent records linked to purpose, notice version, collection channel, timestamp, scope and revocation/expiry events.</w:t>
      </w:r>
    </w:p>
    <w:p>
      <w:pPr>
        <w:pStyle w:val="ListBullet"/>
        <w:spacing w:after="40"/>
      </w:pPr>
      <w:r>
        <w:t>Private document storage, encryption in transit and at rest, short-lived authorised access, file validation and malware scanning where configured.</w:t>
      </w:r>
    </w:p>
    <w:p>
      <w:pPr>
        <w:pStyle w:val="ListBullet"/>
        <w:spacing w:after="40"/>
      </w:pPr>
      <w:r>
        <w:t>Document version history with explicit active/accepted version; rejected, pending or failed versions cannot silently replace accepted versions.</w:t>
      </w:r>
    </w:p>
    <w:p>
      <w:pPr>
        <w:pStyle w:val="ListBullet"/>
        <w:spacing w:after="40"/>
      </w:pPr>
      <w:r>
        <w:t>RBAC/PAM, individual accounts, MFA for privileged and bank-authorised users as required, least privilege and periodic access review.</w:t>
      </w:r>
    </w:p>
    <w:p>
      <w:pPr>
        <w:pStyle w:val="ListBullet"/>
        <w:spacing w:after="40"/>
      </w:pPr>
      <w:r>
        <w:t>Immutable or append-only audit events for access, edits, review decisions, handoff attempts, status evidence, financial reconciliation, configuration and purge.</w:t>
      </w:r>
    </w:p>
    <w:p>
      <w:pPr>
        <w:pStyle w:val="ListBullet"/>
        <w:spacing w:after="40"/>
      </w:pPr>
      <w:r>
        <w:t>No pooled bank credentials. No portal automation or scripted entry without written approval from the relevant bank.</w:t>
      </w:r>
    </w:p>
    <w:p>
      <w:pPr>
        <w:pStyle w:val="ListBullet"/>
        <w:spacing w:after="40"/>
      </w:pPr>
      <w:r>
        <w:t>Retention rules configured by purpose, agreement and applicable obligations; consent revocation triggers processing stop and retention/purge assessment.</w:t>
      </w:r>
    </w:p>
    <w:p>
      <w:pPr>
        <w:pStyle w:val="ListBullet"/>
        <w:spacing w:after="40"/>
      </w:pPr>
      <w:r>
        <w:t>Avoid logging full PAN, Aadhaar, bank account details, document contents, credentials or other sensitive data unnecessarily.</w:t>
      </w:r>
    </w:p>
    <w:p>
      <w:pPr>
        <w:pStyle w:val="ListBullet"/>
        <w:spacing w:after="40"/>
      </w:pPr>
      <w:r>
        <w:t>Operational backups, recovery, incident handling, vulnerability management and security testing before live launch.</w:t>
      </w:r>
    </w:p>
    <w:p>
      <w:pPr>
        <w:pStyle w:val="Heading1"/>
      </w:pPr>
      <w:r>
        <w:t>13. Phased Delivery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6"/>
              </w:rPr>
              <w:t>Phase</w:t>
            </w:r>
          </w:p>
        </w:tc>
        <w:tc>
          <w:tcPr>
            <w:tcW w:type="dxa" w:w="3389"/>
            <w:vAlign w:val="center"/>
            <w:shd w:fill="12304A"/>
          </w:tcPr>
          <w:p>
            <w:pPr>
              <w:spacing w:after="20"/>
            </w:pPr>
            <w:r/>
            <w:r>
              <w:rPr>
                <w:rFonts w:ascii="Aptos" w:hAnsi="Aptos"/>
                <w:b/>
                <w:color w:val="FFFFFF"/>
                <w:sz w:val="16"/>
              </w:rPr>
              <w:t>Scope</w:t>
            </w:r>
          </w:p>
        </w:tc>
        <w:tc>
          <w:tcPr>
            <w:tcW w:type="dxa" w:w="3389"/>
            <w:vAlign w:val="center"/>
            <w:shd w:fill="12304A"/>
          </w:tcPr>
          <w:p>
            <w:pPr>
              <w:spacing w:after="20"/>
            </w:pPr>
            <w:r/>
            <w:r>
              <w:rPr>
                <w:rFonts w:ascii="Aptos" w:hAnsi="Aptos"/>
                <w:b/>
                <w:color w:val="FFFFFF"/>
                <w:sz w:val="16"/>
              </w:rPr>
              <w:t>Exit condition</w:t>
            </w:r>
          </w:p>
        </w:tc>
      </w:tr>
      <w:tr>
        <w:tc>
          <w:tcPr>
            <w:tcW w:type="dxa" w:w="3389"/>
            <w:vAlign w:val="center"/>
          </w:tcPr>
          <w:p>
            <w:pPr>
              <w:spacing w:after="20"/>
            </w:pPr>
            <w:r/>
            <w:r>
              <w:rPr>
                <w:rFonts w:ascii="Aptos" w:hAnsi="Aptos"/>
                <w:b w:val="0"/>
                <w:sz w:val="16"/>
              </w:rPr>
              <w:t>MVP1 — Secure DSA Foundation</w:t>
            </w:r>
          </w:p>
        </w:tc>
        <w:tc>
          <w:tcPr>
            <w:tcW w:type="dxa" w:w="3389"/>
            <w:vAlign w:val="center"/>
          </w:tcPr>
          <w:p>
            <w:pPr>
              <w:spacing w:after="20"/>
            </w:pPr>
            <w:r/>
            <w:r>
              <w:rPr>
                <w:rFonts w:ascii="Aptos" w:hAnsi="Aptos"/>
                <w:b w:val="0"/>
                <w:sz w:val="16"/>
              </w:rPr>
              <w:t>Synthetic-data application record, consent/audit, secure documents, completeness checklist, internal queue, four-role RBAC/PAM baseline, one configurable bank template, Ready for Bank Handoff.</w:t>
            </w:r>
          </w:p>
        </w:tc>
        <w:tc>
          <w:tcPr>
            <w:tcW w:type="dxa" w:w="3389"/>
            <w:vAlign w:val="center"/>
          </w:tcPr>
          <w:p>
            <w:pPr>
              <w:spacing w:after="20"/>
            </w:pPr>
            <w:r/>
            <w:r>
              <w:rPr>
                <w:rFonts w:ascii="Aptos" w:hAnsi="Aptos"/>
                <w:b w:val="0"/>
                <w:sz w:val="16"/>
              </w:rPr>
              <w:t>Acceptance criteria pass; no live bank submission assumed.</w:t>
            </w:r>
          </w:p>
        </w:tc>
      </w:tr>
      <w:tr>
        <w:tc>
          <w:tcPr>
            <w:tcW w:type="dxa" w:w="3389"/>
            <w:vAlign w:val="center"/>
            <w:shd w:fill="F2F6F8"/>
          </w:tcPr>
          <w:p>
            <w:pPr>
              <w:spacing w:after="20"/>
            </w:pPr>
            <w:r/>
            <w:r>
              <w:rPr>
                <w:rFonts w:ascii="Aptos" w:hAnsi="Aptos"/>
                <w:b w:val="0"/>
                <w:sz w:val="16"/>
              </w:rPr>
              <w:t>Post-agreement — Bank-specific operations</w:t>
            </w:r>
          </w:p>
        </w:tc>
        <w:tc>
          <w:tcPr>
            <w:tcW w:type="dxa" w:w="3389"/>
            <w:vAlign w:val="center"/>
            <w:shd w:fill="F2F6F8"/>
          </w:tcPr>
          <w:p>
            <w:pPr>
              <w:spacing w:after="20"/>
            </w:pPr>
            <w:r/>
            <w:r>
              <w:rPr>
                <w:rFonts w:ascii="Aptos" w:hAnsi="Aptos"/>
                <w:b w:val="0"/>
                <w:sz w:val="16"/>
              </w:rPr>
              <w:t>Execute onboarding; configure bank/product requirements, named operators, DSA code, authorised channel, staff training and bank-specific procedures. Controlled manual/portal operations may be used.</w:t>
            </w:r>
          </w:p>
        </w:tc>
        <w:tc>
          <w:tcPr>
            <w:tcW w:type="dxa" w:w="3389"/>
            <w:vAlign w:val="center"/>
            <w:shd w:fill="F2F6F8"/>
          </w:tcPr>
          <w:p>
            <w:pPr>
              <w:spacing w:after="20"/>
            </w:pPr>
            <w:r/>
            <w:r>
              <w:rPr>
                <w:rFonts w:ascii="Aptos" w:hAnsi="Aptos"/>
                <w:b w:val="0"/>
                <w:sz w:val="16"/>
              </w:rPr>
              <w:t>Agreement and access controls verified; test cases and operational sign-off complete.</w:t>
            </w:r>
          </w:p>
        </w:tc>
      </w:tr>
      <w:tr>
        <w:tc>
          <w:tcPr>
            <w:tcW w:type="dxa" w:w="3389"/>
            <w:vAlign w:val="center"/>
          </w:tcPr>
          <w:p>
            <w:pPr>
              <w:spacing w:after="20"/>
            </w:pPr>
            <w:r/>
            <w:r>
              <w:rPr>
                <w:rFonts w:ascii="Aptos" w:hAnsi="Aptos"/>
                <w:b w:val="0"/>
                <w:sz w:val="16"/>
              </w:rPr>
              <w:t>Approved automation — Per bank</w:t>
            </w:r>
          </w:p>
        </w:tc>
        <w:tc>
          <w:tcPr>
            <w:tcW w:type="dxa" w:w="3389"/>
            <w:vAlign w:val="center"/>
          </w:tcPr>
          <w:p>
            <w:pPr>
              <w:spacing w:after="20"/>
            </w:pPr>
            <w:r/>
            <w:r>
              <w:rPr>
                <w:rFonts w:ascii="Aptos" w:hAnsi="Aptos"/>
                <w:b w:val="0"/>
                <w:sz w:val="16"/>
              </w:rPr>
              <w:t>Enable approved bulk upload/API/webhook or other interface; acknowledgements, status sync, retries, idempotency, reconciliation, monitoring and fallback.</w:t>
            </w:r>
          </w:p>
        </w:tc>
        <w:tc>
          <w:tcPr>
            <w:tcW w:type="dxa" w:w="3389"/>
            <w:vAlign w:val="center"/>
          </w:tcPr>
          <w:p>
            <w:pPr>
              <w:spacing w:after="20"/>
            </w:pPr>
            <w:r/>
            <w:r>
              <w:rPr>
                <w:rFonts w:ascii="Aptos" w:hAnsi="Aptos"/>
                <w:b w:val="0"/>
                <w:sz w:val="16"/>
              </w:rPr>
              <w:t>Bank approval, end-to-end testing, security/compliance sign-off and exception playbooks complete.</w:t>
            </w:r>
          </w:p>
        </w:tc>
      </w:tr>
      <w:tr>
        <w:tc>
          <w:tcPr>
            <w:tcW w:type="dxa" w:w="3389"/>
            <w:vAlign w:val="center"/>
            <w:shd w:fill="F2F6F8"/>
          </w:tcPr>
          <w:p>
            <w:pPr>
              <w:spacing w:after="20"/>
            </w:pPr>
            <w:r/>
            <w:r>
              <w:rPr>
                <w:rFonts w:ascii="Aptos" w:hAnsi="Aptos"/>
                <w:b w:val="0"/>
                <w:sz w:val="16"/>
              </w:rPr>
              <w:t>Multi-bank DSA orchestration</w:t>
            </w:r>
          </w:p>
        </w:tc>
        <w:tc>
          <w:tcPr>
            <w:tcW w:type="dxa" w:w="3389"/>
            <w:vAlign w:val="center"/>
            <w:shd w:fill="F2F6F8"/>
          </w:tcPr>
          <w:p>
            <w:pPr>
              <w:spacing w:after="20"/>
            </w:pPr>
            <w:r/>
            <w:r>
              <w:rPr>
                <w:rFonts w:ascii="Aptos" w:hAnsi="Aptos"/>
                <w:b w:val="0"/>
                <w:sz w:val="16"/>
              </w:rPr>
              <w:t>Manage multiple active bank relationships, templates, permitted sourcing criteria, handoff channels, performance and commission rules.</w:t>
            </w:r>
          </w:p>
        </w:tc>
        <w:tc>
          <w:tcPr>
            <w:tcW w:type="dxa" w:w="3389"/>
            <w:vAlign w:val="center"/>
            <w:shd w:fill="F2F6F8"/>
          </w:tcPr>
          <w:p>
            <w:pPr>
              <w:spacing w:after="20"/>
            </w:pPr>
            <w:r/>
            <w:r>
              <w:rPr>
                <w:rFonts w:ascii="Aptos" w:hAnsi="Aptos"/>
                <w:b w:val="0"/>
                <w:sz w:val="16"/>
              </w:rPr>
              <w:t>Each bank independently configured and approved; cross-bank data, display, consent and governance controls validated.</w:t>
            </w:r>
          </w:p>
        </w:tc>
      </w:tr>
    </w:tbl>
    <w:p>
      <w:pPr>
        <w:spacing w:after="0"/>
      </w:pPr>
    </w:p>
    <w:p>
      <w:pPr>
        <w:pStyle w:val="Heading1"/>
      </w:pPr>
      <w:r>
        <w:t>14. Decisions to Resolve Before Live Customer Intake</w:t>
      </w:r>
    </w:p>
    <w:p>
      <w:pPr>
        <w:pStyle w:val="ListBullet"/>
        <w:spacing w:after="40"/>
      </w:pPr>
      <w:r>
        <w:t>Which initial legal/contractual route will be used: direct Corporate DSA, sub-DSA/master DSA, LSP arrangement or another reviewed structure?</w:t>
      </w:r>
    </w:p>
    <w:p>
      <w:pPr>
        <w:pStyle w:val="ListBullet"/>
        <w:spacing w:after="40"/>
      </w:pPr>
      <w:r>
        <w:t>Which named bank/product and exact purpose will justify collection and transfer of live applicant data?</w:t>
      </w:r>
    </w:p>
    <w:p>
      <w:pPr>
        <w:pStyle w:val="ListBullet"/>
        <w:spacing w:after="40"/>
      </w:pPr>
      <w:r>
        <w:t>What customer-facing disclosures, lender naming/display rules, grievance ownership and privacy notices apply?</w:t>
      </w:r>
    </w:p>
    <w:p>
      <w:pPr>
        <w:pStyle w:val="ListBullet"/>
        <w:spacing w:after="40"/>
      </w:pPr>
      <w:r>
        <w:t>Which identifiers and verification providers are permitted, and what Aadhaar/PAN handling controls are required?</w:t>
      </w:r>
    </w:p>
    <w:p>
      <w:pPr>
        <w:pStyle w:val="ListBullet"/>
        <w:spacing w:after="40"/>
      </w:pPr>
      <w:r>
        <w:t>What are the approved handoff channels, individual operator credentials, access logs and prohibited automation rules for each bank?</w:t>
      </w:r>
    </w:p>
    <w:p>
      <w:pPr>
        <w:pStyle w:val="ListBullet"/>
        <w:spacing w:after="40"/>
      </w:pPr>
      <w:r>
        <w:t>What bank MIS/status files, reference keys, commission rules, tax treatment, clawbacks and dispute processes apply?</w:t>
      </w:r>
    </w:p>
    <w:p>
      <w:pPr>
        <w:pStyle w:val="ListBullet"/>
        <w:spacing w:after="40"/>
      </w:pPr>
      <w:r>
        <w:t>What retention periods, deletion triggers, legal holds and purge evidence are required by purpose and agreement?</w:t>
      </w:r>
    </w:p>
    <w:p>
      <w:pPr>
        <w:pStyle w:val="ListBullet"/>
        <w:spacing w:after="40"/>
      </w:pPr>
      <w:r>
        <w:t>Which four MVP1 role groups and which privileged actions require dual control or independent approval?</w:t>
      </w:r>
    </w:p>
    <w:p>
      <w:pPr>
        <w:pStyle w:val="Heading1"/>
      </w:pPr>
      <w:r>
        <w:t>15. Customer-Facing Language Guardrails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6"/>
              </w:rPr>
              <w:t>Use</w:t>
            </w:r>
          </w:p>
        </w:tc>
        <w:tc>
          <w:tcPr>
            <w:tcW w:type="dxa" w:w="5083"/>
            <w:vAlign w:val="center"/>
            <w:shd w:fill="12304A"/>
          </w:tcPr>
          <w:p>
            <w:pPr>
              <w:spacing w:after="20"/>
            </w:pPr>
            <w:r/>
            <w:r>
              <w:rPr>
                <w:rFonts w:ascii="Aptos" w:hAnsi="Aptos"/>
                <w:b/>
                <w:color w:val="FFFFFF"/>
                <w:sz w:val="16"/>
              </w:rPr>
              <w:t>Avoid</w:t>
            </w:r>
          </w:p>
        </w:tc>
      </w:tr>
      <w:tr>
        <w:tc>
          <w:tcPr>
            <w:tcW w:type="dxa" w:w="5083"/>
            <w:vAlign w:val="center"/>
          </w:tcPr>
          <w:p>
            <w:pPr>
              <w:spacing w:after="20"/>
            </w:pPr>
            <w:r/>
            <w:r>
              <w:rPr>
                <w:rFonts w:ascii="Aptos" w:hAnsi="Aptos"/>
                <w:b w:val="0"/>
                <w:sz w:val="16"/>
              </w:rPr>
              <w:t>“Loans4India helps you prepare and submit a loan application through an authorised sourcing process.”</w:t>
            </w:r>
          </w:p>
        </w:tc>
        <w:tc>
          <w:tcPr>
            <w:tcW w:type="dxa" w:w="5083"/>
            <w:vAlign w:val="center"/>
          </w:tcPr>
          <w:p>
            <w:pPr>
              <w:spacing w:after="20"/>
            </w:pPr>
            <w:r/>
            <w:r>
              <w:rPr>
                <w:rFonts w:ascii="Aptos" w:hAnsi="Aptos"/>
                <w:b w:val="0"/>
                <w:sz w:val="16"/>
              </w:rPr>
              <w:t>“Loans4India gives/provides your loan.”</w:t>
            </w:r>
          </w:p>
        </w:tc>
      </w:tr>
      <w:tr>
        <w:tc>
          <w:tcPr>
            <w:tcW w:type="dxa" w:w="5083"/>
            <w:vAlign w:val="center"/>
            <w:shd w:fill="F2F6F8"/>
          </w:tcPr>
          <w:p>
            <w:pPr>
              <w:spacing w:after="20"/>
            </w:pPr>
            <w:r/>
            <w:r>
              <w:rPr>
                <w:rFonts w:ascii="Aptos" w:hAnsi="Aptos"/>
                <w:b w:val="0"/>
                <w:sz w:val="16"/>
              </w:rPr>
              <w:t>“Your application is being reviewed by our operations team.”</w:t>
            </w:r>
          </w:p>
        </w:tc>
        <w:tc>
          <w:tcPr>
            <w:tcW w:type="dxa" w:w="5083"/>
            <w:vAlign w:val="center"/>
            <w:shd w:fill="F2F6F8"/>
          </w:tcPr>
          <w:p>
            <w:pPr>
              <w:spacing w:after="20"/>
            </w:pPr>
            <w:r/>
            <w:r>
              <w:rPr>
                <w:rFonts w:ascii="Aptos" w:hAnsi="Aptos"/>
                <w:b w:val="0"/>
                <w:sz w:val="16"/>
              </w:rPr>
              <w:t>“Your loan is approved” when only internal review is complete.</w:t>
            </w:r>
          </w:p>
        </w:tc>
      </w:tr>
      <w:tr>
        <w:tc>
          <w:tcPr>
            <w:tcW w:type="dxa" w:w="5083"/>
            <w:vAlign w:val="center"/>
          </w:tcPr>
          <w:p>
            <w:pPr>
              <w:spacing w:after="20"/>
            </w:pPr>
            <w:r/>
            <w:r>
              <w:rPr>
                <w:rFonts w:ascii="Aptos" w:hAnsi="Aptos"/>
                <w:b w:val="0"/>
                <w:sz w:val="16"/>
              </w:rPr>
              <w:t>“Ready for Bank Handoff.”</w:t>
            </w:r>
          </w:p>
        </w:tc>
        <w:tc>
          <w:tcPr>
            <w:tcW w:type="dxa" w:w="5083"/>
            <w:vAlign w:val="center"/>
          </w:tcPr>
          <w:p>
            <w:pPr>
              <w:spacing w:after="20"/>
            </w:pPr>
            <w:r/>
            <w:r>
              <w:rPr>
                <w:rFonts w:ascii="Aptos" w:hAnsi="Aptos"/>
                <w:b w:val="0"/>
                <w:sz w:val="16"/>
              </w:rPr>
              <w:t>“Submitted to Bank” before submission evidence exists.</w:t>
            </w:r>
          </w:p>
        </w:tc>
      </w:tr>
      <w:tr>
        <w:tc>
          <w:tcPr>
            <w:tcW w:type="dxa" w:w="5083"/>
            <w:vAlign w:val="center"/>
            <w:shd w:fill="F2F6F8"/>
          </w:tcPr>
          <w:p>
            <w:pPr>
              <w:spacing w:after="20"/>
            </w:pPr>
            <w:r/>
            <w:r>
              <w:rPr>
                <w:rFonts w:ascii="Aptos" w:hAnsi="Aptos"/>
                <w:b w:val="0"/>
                <w:sz w:val="16"/>
              </w:rPr>
              <w:t>“The bank has requested additional information.” (only when confirmed)</w:t>
            </w:r>
          </w:p>
        </w:tc>
        <w:tc>
          <w:tcPr>
            <w:tcW w:type="dxa" w:w="5083"/>
            <w:vAlign w:val="center"/>
            <w:shd w:fill="F2F6F8"/>
          </w:tcPr>
          <w:p>
            <w:pPr>
              <w:spacing w:after="20"/>
            </w:pPr>
            <w:r/>
            <w:r>
              <w:rPr>
                <w:rFonts w:ascii="Aptos" w:hAnsi="Aptos"/>
                <w:b w:val="0"/>
                <w:sz w:val="16"/>
              </w:rPr>
              <w:t>Presenting an internal checklist issue as a bank query.</w:t>
            </w:r>
          </w:p>
        </w:tc>
      </w:tr>
      <w:tr>
        <w:tc>
          <w:tcPr>
            <w:tcW w:type="dxa" w:w="5083"/>
            <w:vAlign w:val="center"/>
          </w:tcPr>
          <w:p>
            <w:pPr>
              <w:spacing w:after="20"/>
            </w:pPr>
            <w:r/>
            <w:r>
              <w:rPr>
                <w:rFonts w:ascii="Aptos" w:hAnsi="Aptos"/>
                <w:b w:val="0"/>
                <w:sz w:val="16"/>
              </w:rPr>
              <w:t>“The bank has confirmed [status].” with source/date where appropriate.</w:t>
            </w:r>
          </w:p>
        </w:tc>
        <w:tc>
          <w:tcPr>
            <w:tcW w:type="dxa" w:w="5083"/>
            <w:vAlign w:val="center"/>
          </w:tcPr>
          <w:p>
            <w:pPr>
              <w:spacing w:after="20"/>
            </w:pPr>
            <w:r/>
            <w:r>
              <w:rPr>
                <w:rFonts w:ascii="Aptos" w:hAnsi="Aptos"/>
                <w:b w:val="0"/>
                <w:sz w:val="16"/>
              </w:rPr>
              <w:t>Treating indicative, conditional or unverified status as final sanction/disbursement.</w:t>
            </w:r>
          </w:p>
        </w:tc>
      </w:tr>
      <w:tr>
        <w:tc>
          <w:tcPr>
            <w:tcW w:type="dxa" w:w="5083"/>
            <w:vAlign w:val="center"/>
            <w:shd w:fill="F2F6F8"/>
          </w:tcPr>
          <w:p>
            <w:pPr>
              <w:spacing w:after="20"/>
            </w:pPr>
            <w:r/>
            <w:r>
              <w:rPr>
                <w:rFonts w:ascii="Aptos" w:hAnsi="Aptos"/>
                <w:b w:val="0"/>
                <w:sz w:val="16"/>
              </w:rPr>
              <w:t>“Eligibility indicators are preliminary and do not guarantee approval.”</w:t>
            </w:r>
          </w:p>
        </w:tc>
        <w:tc>
          <w:tcPr>
            <w:tcW w:type="dxa" w:w="5083"/>
            <w:vAlign w:val="center"/>
            <w:shd w:fill="F2F6F8"/>
          </w:tcPr>
          <w:p>
            <w:pPr>
              <w:spacing w:after="20"/>
            </w:pPr>
            <w:r/>
            <w:r>
              <w:rPr>
                <w:rFonts w:ascii="Aptos" w:hAnsi="Aptos"/>
                <w:b w:val="0"/>
                <w:sz w:val="16"/>
              </w:rPr>
              <w:t>“Guaranteed approval” or unsupported fixed-time approval/disbursal promises.</w:t>
            </w:r>
          </w:p>
        </w:tc>
      </w:tr>
    </w:tbl>
    <w:p>
      <w:pPr>
        <w:spacing w:after="0"/>
      </w:pPr>
    </w:p>
    <w:p>
      <w:pPr>
        <w:pStyle w:val="Heading1"/>
      </w:pPr>
      <w:r>
        <w:t>16. End-to-End Summary</w:t>
      </w:r>
    </w:p>
    <w:p>
      <w:r>
        <w:t>The borrower journey begins with a clear service explanation and a purpose-aligned consent process, then moves through structured data collection, secure document submission, internal data-quality review and application preparation. The Back Office owns queue management, assignment, review, exception handling, template mapping and readiness. Once an agreement and authorised channel exist, a named DSA operator or approved integration performs the bank handoff and records evidence. The bank then owns processing and all lending decisions. Loans4India tracks only the information made available under the agreement, supports customer communication and reconciles DSA commission against bank evidence.</w:t>
      </w:r>
    </w:p>
    <w:p>
      <w:r>
        <w:t>The central design rule is to preserve a clear boundary between internal preparation and bank-confirmed events. The platform should make it easy to answer: what has the applicant provided, what is still missing, who owns the next action, what has actually been sent to the bank, what has the bank confirmed, and what commission is supported by verified records.</w:t>
      </w:r>
    </w:p>
    <w:p>
      <w:pPr>
        <w:pStyle w:val="Heading1"/>
      </w:pPr>
      <w:r>
        <w:t>Appendix A — Suggested Core Application Workspace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6"/>
              </w:rPr>
              <w:t>Panel</w:t>
            </w:r>
          </w:p>
        </w:tc>
        <w:tc>
          <w:tcPr>
            <w:tcW w:type="dxa" w:w="5083"/>
            <w:vAlign w:val="center"/>
            <w:shd w:fill="12304A"/>
          </w:tcPr>
          <w:p>
            <w:pPr>
              <w:spacing w:after="20"/>
            </w:pPr>
            <w:r/>
            <w:r>
              <w:rPr>
                <w:rFonts w:ascii="Aptos" w:hAnsi="Aptos"/>
                <w:b/>
                <w:color w:val="FFFFFF"/>
                <w:sz w:val="16"/>
              </w:rPr>
              <w:t>Contents</w:t>
            </w:r>
          </w:p>
        </w:tc>
      </w:tr>
      <w:tr>
        <w:tc>
          <w:tcPr>
            <w:tcW w:type="dxa" w:w="5083"/>
            <w:vAlign w:val="center"/>
          </w:tcPr>
          <w:p>
            <w:pPr>
              <w:spacing w:after="20"/>
            </w:pPr>
            <w:r/>
            <w:r>
              <w:rPr>
                <w:rFonts w:ascii="Aptos" w:hAnsi="Aptos"/>
                <w:b w:val="0"/>
                <w:sz w:val="16"/>
              </w:rPr>
              <w:t>Header</w:t>
            </w:r>
          </w:p>
        </w:tc>
        <w:tc>
          <w:tcPr>
            <w:tcW w:type="dxa" w:w="5083"/>
            <w:vAlign w:val="center"/>
          </w:tcPr>
          <w:p>
            <w:pPr>
              <w:spacing w:after="20"/>
            </w:pPr>
            <w:r/>
            <w:r>
              <w:rPr>
                <w:rFonts w:ascii="Aptos" w:hAnsi="Aptos"/>
                <w:b w:val="0"/>
                <w:sz w:val="16"/>
              </w:rPr>
              <w:t>Application ID, internal status, product, source, owner, priority, created/updated dates.</w:t>
            </w:r>
          </w:p>
        </w:tc>
      </w:tr>
      <w:tr>
        <w:tc>
          <w:tcPr>
            <w:tcW w:type="dxa" w:w="5083"/>
            <w:vAlign w:val="center"/>
            <w:shd w:fill="F2F6F8"/>
          </w:tcPr>
          <w:p>
            <w:pPr>
              <w:spacing w:after="20"/>
            </w:pPr>
            <w:r/>
            <w:r>
              <w:rPr>
                <w:rFonts w:ascii="Aptos" w:hAnsi="Aptos"/>
                <w:b w:val="0"/>
                <w:sz w:val="16"/>
              </w:rPr>
              <w:t>Applicant profile</w:t>
            </w:r>
          </w:p>
        </w:tc>
        <w:tc>
          <w:tcPr>
            <w:tcW w:type="dxa" w:w="5083"/>
            <w:vAlign w:val="center"/>
            <w:shd w:fill="F2F6F8"/>
          </w:tcPr>
          <w:p>
            <w:pPr>
              <w:spacing w:after="20"/>
            </w:pPr>
            <w:r/>
            <w:r>
              <w:rPr>
                <w:rFonts w:ascii="Aptos" w:hAnsi="Aptos"/>
                <w:b w:val="0"/>
                <w:sz w:val="16"/>
              </w:rPr>
              <w:t>Contact and permitted profile fields, employment/income/requirement summary, restricted identifiers.</w:t>
            </w:r>
          </w:p>
        </w:tc>
      </w:tr>
      <w:tr>
        <w:tc>
          <w:tcPr>
            <w:tcW w:type="dxa" w:w="5083"/>
            <w:vAlign w:val="center"/>
          </w:tcPr>
          <w:p>
            <w:pPr>
              <w:spacing w:after="20"/>
            </w:pPr>
            <w:r/>
            <w:r>
              <w:rPr>
                <w:rFonts w:ascii="Aptos" w:hAnsi="Aptos"/>
                <w:b w:val="0"/>
                <w:sz w:val="16"/>
              </w:rPr>
              <w:t>Consent</w:t>
            </w:r>
          </w:p>
        </w:tc>
        <w:tc>
          <w:tcPr>
            <w:tcW w:type="dxa" w:w="5083"/>
            <w:vAlign w:val="center"/>
          </w:tcPr>
          <w:p>
            <w:pPr>
              <w:spacing w:after="20"/>
            </w:pPr>
            <w:r/>
            <w:r>
              <w:rPr>
                <w:rFonts w:ascii="Aptos" w:hAnsi="Aptos"/>
                <w:b w:val="0"/>
                <w:sz w:val="16"/>
              </w:rPr>
              <w:t>Purpose, notice version, scope, timestamp, evidence, current validity and revocation history.</w:t>
            </w:r>
          </w:p>
        </w:tc>
      </w:tr>
      <w:tr>
        <w:tc>
          <w:tcPr>
            <w:tcW w:type="dxa" w:w="5083"/>
            <w:vAlign w:val="center"/>
            <w:shd w:fill="F2F6F8"/>
          </w:tcPr>
          <w:p>
            <w:pPr>
              <w:spacing w:after="20"/>
            </w:pPr>
            <w:r/>
            <w:r>
              <w:rPr>
                <w:rFonts w:ascii="Aptos" w:hAnsi="Aptos"/>
                <w:b w:val="0"/>
                <w:sz w:val="16"/>
              </w:rPr>
              <w:t>Documents</w:t>
            </w:r>
          </w:p>
        </w:tc>
        <w:tc>
          <w:tcPr>
            <w:tcW w:type="dxa" w:w="5083"/>
            <w:vAlign w:val="center"/>
            <w:shd w:fill="F2F6F8"/>
          </w:tcPr>
          <w:p>
            <w:pPr>
              <w:spacing w:after="20"/>
            </w:pPr>
            <w:r/>
            <w:r>
              <w:rPr>
                <w:rFonts w:ascii="Aptos" w:hAnsi="Aptos"/>
                <w:b w:val="0"/>
                <w:sz w:val="16"/>
              </w:rPr>
              <w:t>Checklist, document type, version, scan/validation state, reviewer outcome, reason and access history.</w:t>
            </w:r>
          </w:p>
        </w:tc>
      </w:tr>
      <w:tr>
        <w:tc>
          <w:tcPr>
            <w:tcW w:type="dxa" w:w="5083"/>
            <w:vAlign w:val="center"/>
          </w:tcPr>
          <w:p>
            <w:pPr>
              <w:spacing w:after="20"/>
            </w:pPr>
            <w:r/>
            <w:r>
              <w:rPr>
                <w:rFonts w:ascii="Aptos" w:hAnsi="Aptos"/>
                <w:b w:val="0"/>
                <w:sz w:val="16"/>
              </w:rPr>
              <w:t>Data quality</w:t>
            </w:r>
          </w:p>
        </w:tc>
        <w:tc>
          <w:tcPr>
            <w:tcW w:type="dxa" w:w="5083"/>
            <w:vAlign w:val="center"/>
          </w:tcPr>
          <w:p>
            <w:pPr>
              <w:spacing w:after="20"/>
            </w:pPr>
            <w:r/>
            <w:r>
              <w:rPr>
                <w:rFonts w:ascii="Aptos" w:hAnsi="Aptos"/>
                <w:b w:val="0"/>
                <w:sz w:val="16"/>
              </w:rPr>
              <w:t>Missing fields, inconsistencies, expiry flags, clarification requests and resolutions.</w:t>
            </w:r>
          </w:p>
        </w:tc>
      </w:tr>
      <w:tr>
        <w:tc>
          <w:tcPr>
            <w:tcW w:type="dxa" w:w="5083"/>
            <w:vAlign w:val="center"/>
            <w:shd w:fill="F2F6F8"/>
          </w:tcPr>
          <w:p>
            <w:pPr>
              <w:spacing w:after="20"/>
            </w:pPr>
            <w:r/>
            <w:r>
              <w:rPr>
                <w:rFonts w:ascii="Aptos" w:hAnsi="Aptos"/>
                <w:b w:val="0"/>
                <w:sz w:val="16"/>
              </w:rPr>
              <w:t>Preparation</w:t>
            </w:r>
          </w:p>
        </w:tc>
        <w:tc>
          <w:tcPr>
            <w:tcW w:type="dxa" w:w="5083"/>
            <w:vAlign w:val="center"/>
            <w:shd w:fill="F2F6F8"/>
          </w:tcPr>
          <w:p>
            <w:pPr>
              <w:spacing w:after="20"/>
            </w:pPr>
            <w:r/>
            <w:r>
              <w:rPr>
                <w:rFonts w:ascii="Aptos" w:hAnsi="Aptos"/>
                <w:b w:val="0"/>
                <w:sz w:val="16"/>
              </w:rPr>
              <w:t>Canonical data, bank template version, mapped fields, required checklist, package preview.</w:t>
            </w:r>
          </w:p>
        </w:tc>
      </w:tr>
      <w:tr>
        <w:tc>
          <w:tcPr>
            <w:tcW w:type="dxa" w:w="5083"/>
            <w:vAlign w:val="center"/>
          </w:tcPr>
          <w:p>
            <w:pPr>
              <w:spacing w:after="20"/>
            </w:pPr>
            <w:r/>
            <w:r>
              <w:rPr>
                <w:rFonts w:ascii="Aptos" w:hAnsi="Aptos"/>
                <w:b w:val="0"/>
                <w:sz w:val="16"/>
              </w:rPr>
              <w:t>Handoff</w:t>
            </w:r>
          </w:p>
        </w:tc>
        <w:tc>
          <w:tcPr>
            <w:tcW w:type="dxa" w:w="5083"/>
            <w:vAlign w:val="center"/>
          </w:tcPr>
          <w:p>
            <w:pPr>
              <w:spacing w:after="20"/>
            </w:pPr>
            <w:r/>
            <w:r>
              <w:rPr>
                <w:rFonts w:ascii="Aptos" w:hAnsi="Aptos"/>
                <w:b w:val="0"/>
                <w:sz w:val="16"/>
              </w:rPr>
              <w:t>Agreement/channel configuration, named operator, attempts, bank reference/acknowledgement and evidence.</w:t>
            </w:r>
          </w:p>
        </w:tc>
      </w:tr>
      <w:tr>
        <w:tc>
          <w:tcPr>
            <w:tcW w:type="dxa" w:w="5083"/>
            <w:vAlign w:val="center"/>
            <w:shd w:fill="F2F6F8"/>
          </w:tcPr>
          <w:p>
            <w:pPr>
              <w:spacing w:after="20"/>
            </w:pPr>
            <w:r/>
            <w:r>
              <w:rPr>
                <w:rFonts w:ascii="Aptos" w:hAnsi="Aptos"/>
                <w:b w:val="0"/>
                <w:sz w:val="16"/>
              </w:rPr>
              <w:t>Bank updates</w:t>
            </w:r>
          </w:p>
        </w:tc>
        <w:tc>
          <w:tcPr>
            <w:tcW w:type="dxa" w:w="5083"/>
            <w:vAlign w:val="center"/>
            <w:shd w:fill="F2F6F8"/>
          </w:tcPr>
          <w:p>
            <w:pPr>
              <w:spacing w:after="20"/>
            </w:pPr>
            <w:r/>
            <w:r>
              <w:rPr>
                <w:rFonts w:ascii="Aptos" w:hAnsi="Aptos"/>
                <w:b w:val="0"/>
                <w:sz w:val="16"/>
              </w:rPr>
              <w:t>Source-attributed status, query, requested action, response, due date and confirmation.</w:t>
            </w:r>
          </w:p>
        </w:tc>
      </w:tr>
      <w:tr>
        <w:tc>
          <w:tcPr>
            <w:tcW w:type="dxa" w:w="5083"/>
            <w:vAlign w:val="center"/>
          </w:tcPr>
          <w:p>
            <w:pPr>
              <w:spacing w:after="20"/>
            </w:pPr>
            <w:r/>
            <w:r>
              <w:rPr>
                <w:rFonts w:ascii="Aptos" w:hAnsi="Aptos"/>
                <w:b w:val="0"/>
                <w:sz w:val="16"/>
              </w:rPr>
              <w:t>Activity / audit</w:t>
            </w:r>
          </w:p>
        </w:tc>
        <w:tc>
          <w:tcPr>
            <w:tcW w:type="dxa" w:w="5083"/>
            <w:vAlign w:val="center"/>
          </w:tcPr>
          <w:p>
            <w:pPr>
              <w:spacing w:after="20"/>
            </w:pPr>
            <w:r/>
            <w:r>
              <w:rPr>
                <w:rFonts w:ascii="Aptos" w:hAnsi="Aptos"/>
                <w:b w:val="0"/>
                <w:sz w:val="16"/>
              </w:rPr>
              <w:t>Chronological events, comments, assignment history, field changes and privileged actions.</w:t>
            </w:r>
          </w:p>
        </w:tc>
      </w:tr>
      <w:tr>
        <w:tc>
          <w:tcPr>
            <w:tcW w:type="dxa" w:w="5083"/>
            <w:vAlign w:val="center"/>
            <w:shd w:fill="F2F6F8"/>
          </w:tcPr>
          <w:p>
            <w:pPr>
              <w:spacing w:after="20"/>
            </w:pPr>
            <w:r/>
            <w:r>
              <w:rPr>
                <w:rFonts w:ascii="Aptos" w:hAnsi="Aptos"/>
                <w:b w:val="0"/>
                <w:sz w:val="16"/>
              </w:rPr>
              <w:t>Finance</w:t>
            </w:r>
          </w:p>
        </w:tc>
        <w:tc>
          <w:tcPr>
            <w:tcW w:type="dxa" w:w="5083"/>
            <w:vAlign w:val="center"/>
            <w:shd w:fill="F2F6F8"/>
          </w:tcPr>
          <w:p>
            <w:pPr>
              <w:spacing w:after="20"/>
            </w:pPr>
            <w:r/>
            <w:r>
              <w:rPr>
                <w:rFonts w:ascii="Aptos" w:hAnsi="Aptos"/>
                <w:b w:val="0"/>
                <w:sz w:val="16"/>
              </w:rPr>
              <w:t>Bank-confirmed disbursal reference, applicable commission rule snapshot, payout match, discrepancy and reversal.</w:t>
            </w:r>
          </w:p>
        </w:tc>
      </w:tr>
    </w:tbl>
    <w:p>
      <w:pPr>
        <w:spacing w:after="0"/>
      </w:pPr>
    </w:p>
    <w:p>
      <w:pPr>
        <w:pStyle w:val="Heading1"/>
      </w:pPr>
      <w:r>
        <w:t>Appendix B — Minimum Event Record</w:t>
      </w:r>
    </w:p>
    <w:p>
      <w:r>
        <w:t>Each material event should capture: event ID; application ID; event type; previous and new state where relevant; actor/user ID and role; timestamp; source/channel; related document/configuration version; reason/comment; evidence reference; correlation/idempotency key where applicable; and permitted visibility. Avoid copying sensitive document contents into event logs.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working document  •  Revised Virtual Corporate DSA model  •  02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737D"/>
        <w:sz w:val="16"/>
      </w:rPr>
      <w:t>LOANS4INDIA  |  PRODUCT &amp; OPERATIONS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