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472C4"/>
          <w:sz w:val="32"/>
        </w:rPr>
        <w:t>Loans4India</w:t>
      </w:r>
    </w:p>
    <w:p>
      <w:pPr>
        <w:pStyle w:val="Title"/>
        <w:jc w:val="center"/>
      </w:pPr>
      <w:r>
        <w:t>Platform Flow v3</w:t>
      </w:r>
    </w:p>
    <w:p>
      <w:pPr>
        <w:jc w:val="center"/>
      </w:pPr>
      <w:r>
        <w:rPr>
          <w:color w:val="526579"/>
          <w:sz w:val="26"/>
        </w:rPr>
        <w:t>Virtual Corporate DSA  |  Revised End-to-End Product &amp; Operations Flow</w:t>
      </w:r>
    </w:p>
    <w:p>
      <w:pPr>
        <w:spacing w:before="360"/>
        <w:jc w:val="center"/>
      </w:pPr>
      <w:r>
        <w:rPr>
          <w:i/>
        </w:rPr>
        <w:t>3 October 2026  •  Revised working baseline</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Document control</w:t>
            </w:r>
          </w:p>
        </w:tc>
        <w:tc>
          <w:tcPr>
            <w:tcW w:type="dxa" w:w="5083"/>
            <w:vAlign w:val="center"/>
            <w:shd w:fill="17365D"/>
          </w:tcPr>
          <w:p>
            <w:pPr>
              <w:spacing w:after="20"/>
            </w:pPr>
            <w:r/>
            <w:r>
              <w:rPr>
                <w:rFonts w:ascii="Aptos" w:hAnsi="Aptos"/>
                <w:b/>
                <w:color w:val="FFFFFF"/>
                <w:sz w:val="16"/>
              </w:rPr>
              <w:t>Details</w:t>
            </w:r>
          </w:p>
        </w:tc>
      </w:tr>
      <w:tr>
        <w:tc>
          <w:tcPr>
            <w:tcW w:type="dxa" w:w="5083"/>
            <w:vAlign w:val="center"/>
          </w:tcPr>
          <w:p>
            <w:pPr>
              <w:spacing w:after="20"/>
            </w:pPr>
            <w:r/>
            <w:r>
              <w:rPr>
                <w:rFonts w:ascii="Aptos" w:hAnsi="Aptos"/>
                <w:b w:val="0"/>
                <w:sz w:val="16"/>
              </w:rPr>
              <w:t>Version</w:t>
            </w:r>
          </w:p>
        </w:tc>
        <w:tc>
          <w:tcPr>
            <w:tcW w:type="dxa" w:w="5083"/>
            <w:vAlign w:val="center"/>
          </w:tcPr>
          <w:p>
            <w:pPr>
              <w:spacing w:after="20"/>
            </w:pPr>
            <w:r/>
            <w:r>
              <w:rPr>
                <w:rFonts w:ascii="Aptos" w:hAnsi="Aptos"/>
                <w:b w:val="0"/>
                <w:sz w:val="16"/>
              </w:rPr>
              <w:t>3.0 — revised from Platform Flow v2 and consolidated review points</w:t>
            </w:r>
          </w:p>
        </w:tc>
      </w:tr>
      <w:tr>
        <w:tc>
          <w:tcPr>
            <w:tcW w:type="dxa" w:w="5083"/>
            <w:vAlign w:val="center"/>
            <w:shd w:fill="F2F6FA"/>
          </w:tcPr>
          <w:p>
            <w:pPr>
              <w:spacing w:after="20"/>
            </w:pPr>
            <w:r/>
            <w:r>
              <w:rPr>
                <w:rFonts w:ascii="Aptos" w:hAnsi="Aptos"/>
                <w:b w:val="0"/>
                <w:sz w:val="16"/>
              </w:rPr>
              <w:t>Document owner</w:t>
            </w:r>
          </w:p>
        </w:tc>
        <w:tc>
          <w:tcPr>
            <w:tcW w:type="dxa" w:w="5083"/>
            <w:vAlign w:val="center"/>
            <w:shd w:fill="F2F6FA"/>
          </w:tcPr>
          <w:p>
            <w:pPr>
              <w:spacing w:after="20"/>
            </w:pPr>
            <w:r/>
            <w:r>
              <w:rPr>
                <w:rFonts w:ascii="Aptos" w:hAnsi="Aptos"/>
                <w:b w:val="0"/>
                <w:sz w:val="16"/>
              </w:rPr>
              <w:t>Loans4India Product / Solution Architecture (owner to confirm)</w:t>
            </w:r>
          </w:p>
        </w:tc>
      </w:tr>
      <w:tr>
        <w:tc>
          <w:tcPr>
            <w:tcW w:type="dxa" w:w="5083"/>
            <w:vAlign w:val="center"/>
          </w:tcPr>
          <w:p>
            <w:pPr>
              <w:spacing w:after="20"/>
            </w:pPr>
            <w:r/>
            <w:r>
              <w:rPr>
                <w:rFonts w:ascii="Aptos" w:hAnsi="Aptos"/>
                <w:b w:val="0"/>
                <w:sz w:val="16"/>
              </w:rPr>
              <w:t>Status</w:t>
            </w:r>
          </w:p>
        </w:tc>
        <w:tc>
          <w:tcPr>
            <w:tcW w:type="dxa" w:w="5083"/>
            <w:vAlign w:val="center"/>
          </w:tcPr>
          <w:p>
            <w:pPr>
              <w:spacing w:after="20"/>
            </w:pPr>
            <w:r/>
            <w:r>
              <w:rPr>
                <w:rFonts w:ascii="Aptos" w:hAnsi="Aptos"/>
                <w:b w:val="0"/>
                <w:sz w:val="16"/>
              </w:rPr>
              <w:t>Working specification — subject to product, engineering, operations and legal/compliance review</w:t>
            </w:r>
          </w:p>
        </w:tc>
      </w:tr>
      <w:tr>
        <w:tc>
          <w:tcPr>
            <w:tcW w:type="dxa" w:w="5083"/>
            <w:vAlign w:val="center"/>
            <w:shd w:fill="F2F6FA"/>
          </w:tcPr>
          <w:p>
            <w:pPr>
              <w:spacing w:after="20"/>
            </w:pPr>
            <w:r/>
            <w:r>
              <w:rPr>
                <w:rFonts w:ascii="Aptos" w:hAnsi="Aptos"/>
                <w:b w:val="0"/>
                <w:sz w:val="16"/>
              </w:rPr>
              <w:t>Approvers</w:t>
            </w:r>
          </w:p>
        </w:tc>
        <w:tc>
          <w:tcPr>
            <w:tcW w:type="dxa" w:w="5083"/>
            <w:vAlign w:val="center"/>
            <w:shd w:fill="F2F6FA"/>
          </w:tcPr>
          <w:p>
            <w:pPr>
              <w:spacing w:after="20"/>
            </w:pPr>
            <w:r/>
            <w:r>
              <w:rPr>
                <w:rFonts w:ascii="Aptos" w:hAnsi="Aptos"/>
                <w:b w:val="0"/>
                <w:sz w:val="16"/>
              </w:rPr>
              <w:t>Business owner, Product, Engineering/Security, Operations, Finance and Legal/Compliance (names to be assigned)</w:t>
            </w:r>
          </w:p>
        </w:tc>
      </w:tr>
      <w:tr>
        <w:tc>
          <w:tcPr>
            <w:tcW w:type="dxa" w:w="5083"/>
            <w:vAlign w:val="center"/>
          </w:tcPr>
          <w:p>
            <w:pPr>
              <w:spacing w:after="20"/>
            </w:pPr>
            <w:r/>
            <w:r>
              <w:rPr>
                <w:rFonts w:ascii="Aptos" w:hAnsi="Aptos"/>
                <w:b w:val="0"/>
                <w:sz w:val="16"/>
              </w:rPr>
              <w:t>Scope</w:t>
            </w:r>
          </w:p>
        </w:tc>
        <w:tc>
          <w:tcPr>
            <w:tcW w:type="dxa" w:w="5083"/>
            <w:vAlign w:val="center"/>
          </w:tcPr>
          <w:p>
            <w:pPr>
              <w:spacing w:after="20"/>
            </w:pPr>
            <w:r/>
            <w:r>
              <w:rPr>
                <w:rFonts w:ascii="Aptos" w:hAnsi="Aptos"/>
                <w:b w:val="0"/>
                <w:sz w:val="16"/>
              </w:rPr>
              <w:t>Customer journey, DSA back office, bank handoff, lifecycle, governance, MVP1 and phased operating model</w:t>
            </w:r>
          </w:p>
        </w:tc>
      </w:tr>
    </w:tbl>
    <w:p/>
    <w:p>
      <w:r>
        <w:t>Important compliance note: India-specific legal and regulatory interpretations in this document that are marked VERIFY are validation items, not legal conclusions. Confirm applicability with qualified counsel and the relevant bank/NBFC before processing real borrower data or launching customer-facing lending journeys.</w:t>
      </w:r>
    </w:p>
    <w:p>
      <w:r>
        <w:br w:type="page"/>
      </w:r>
    </w:p>
    <w:p>
      <w:pPr>
        <w:pStyle w:val="Heading1"/>
      </w:pPr>
      <w:r>
        <w:t>1. Executive summary</w:t>
      </w:r>
    </w:p>
    <w:p>
      <w:r>
        <w:t>Loans4India is a Virtual Corporate DSA layer. It sources borrowers, collects and quality-checks application information with appropriate consent, prepares bank-ready application packages, and performs controlled handoff only through a channel authorised by the relevant bank/NBFC or master DSA. It does not underwrite, sanction, disburse, service loans or independently make credit decisions.</w:t>
      </w:r>
    </w:p>
    <w:p>
      <w:r>
        <w:t>The bank/NBFC remains responsible for its KYC and due diligence, credit assessment, underwriting, approval/rejection, sanction, agreement, disbursement and servicing. Loans4India records bank-side outcomes only when supported by bank evidence.</w:t>
      </w:r>
    </w:p>
    <w:p>
      <w:r>
        <w:t>V3 extends v2 by defining returning-user access, named-bank consent gates, re-routing attempts, dormancy and expiry, separate internal and bank-confirmed status models, data-rights requests, communications, complaints, processor controls, export controls, affiliate payouts and measurable acceptance criteria.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Design principle</w:t>
            </w:r>
          </w:p>
        </w:tc>
        <w:tc>
          <w:tcPr>
            <w:tcW w:type="dxa" w:w="5083"/>
            <w:vAlign w:val="center"/>
            <w:shd w:fill="17365D"/>
          </w:tcPr>
          <w:p>
            <w:pPr>
              <w:spacing w:after="20"/>
            </w:pPr>
            <w:r/>
            <w:r>
              <w:rPr>
                <w:rFonts w:ascii="Aptos" w:hAnsi="Aptos"/>
                <w:b/>
                <w:color w:val="FFFFFF"/>
                <w:sz w:val="16"/>
              </w:rPr>
              <w:t>V3 rule</w:t>
            </w:r>
          </w:p>
        </w:tc>
      </w:tr>
      <w:tr>
        <w:tc>
          <w:tcPr>
            <w:tcW w:type="dxa" w:w="5083"/>
            <w:vAlign w:val="center"/>
          </w:tcPr>
          <w:p>
            <w:pPr>
              <w:spacing w:after="20"/>
            </w:pPr>
            <w:r/>
            <w:r>
              <w:rPr>
                <w:rFonts w:ascii="Aptos" w:hAnsi="Aptos"/>
                <w:b w:val="0"/>
                <w:sz w:val="16"/>
              </w:rPr>
              <w:t>DSA boundary</w:t>
            </w:r>
          </w:p>
        </w:tc>
        <w:tc>
          <w:tcPr>
            <w:tcW w:type="dxa" w:w="5083"/>
            <w:vAlign w:val="center"/>
          </w:tcPr>
          <w:p>
            <w:pPr>
              <w:spacing w:after="20"/>
            </w:pPr>
            <w:r/>
            <w:r>
              <w:rPr>
                <w:rFonts w:ascii="Aptos" w:hAnsi="Aptos"/>
                <w:b w:val="0"/>
                <w:sz w:val="16"/>
              </w:rPr>
              <w:t>Loans4India sources and prepares; lender owns lending decisions and bank-side obligations.</w:t>
            </w:r>
          </w:p>
        </w:tc>
      </w:tr>
      <w:tr>
        <w:tc>
          <w:tcPr>
            <w:tcW w:type="dxa" w:w="5083"/>
            <w:vAlign w:val="center"/>
            <w:shd w:fill="F2F6FA"/>
          </w:tcPr>
          <w:p>
            <w:pPr>
              <w:spacing w:after="20"/>
            </w:pPr>
            <w:r/>
            <w:r>
              <w:rPr>
                <w:rFonts w:ascii="Aptos" w:hAnsi="Aptos"/>
                <w:b w:val="0"/>
                <w:sz w:val="16"/>
              </w:rPr>
              <w:t>Consent before sharing</w:t>
            </w:r>
          </w:p>
        </w:tc>
        <w:tc>
          <w:tcPr>
            <w:tcW w:type="dxa" w:w="5083"/>
            <w:vAlign w:val="center"/>
            <w:shd w:fill="F2F6FA"/>
          </w:tcPr>
          <w:p>
            <w:pPr>
              <w:spacing w:after="20"/>
            </w:pPr>
            <w:r/>
            <w:r>
              <w:rPr>
                <w:rFonts w:ascii="Aptos" w:hAnsi="Aptos"/>
                <w:b w:val="0"/>
                <w:sz w:val="16"/>
              </w:rPr>
              <w:t>Each bank submission requires active, purpose-specific consent naming that bank and the relevant data-sharing purpose.</w:t>
            </w:r>
          </w:p>
        </w:tc>
      </w:tr>
      <w:tr>
        <w:tc>
          <w:tcPr>
            <w:tcW w:type="dxa" w:w="5083"/>
            <w:vAlign w:val="center"/>
          </w:tcPr>
          <w:p>
            <w:pPr>
              <w:spacing w:after="20"/>
            </w:pPr>
            <w:r/>
            <w:r>
              <w:rPr>
                <w:rFonts w:ascii="Aptos" w:hAnsi="Aptos"/>
                <w:b w:val="0"/>
                <w:sz w:val="16"/>
              </w:rPr>
              <w:t>Evidence-led statuses</w:t>
            </w:r>
          </w:p>
        </w:tc>
        <w:tc>
          <w:tcPr>
            <w:tcW w:type="dxa" w:w="5083"/>
            <w:vAlign w:val="center"/>
          </w:tcPr>
          <w:p>
            <w:pPr>
              <w:spacing w:after="20"/>
            </w:pPr>
            <w:r/>
            <w:r>
              <w:rPr>
                <w:rFonts w:ascii="Aptos" w:hAnsi="Aptos"/>
                <w:b w:val="0"/>
                <w:sz w:val="16"/>
              </w:rPr>
              <w:t>A bank status is bank-confirmed only when linked to accepted evidence and source provenance.</w:t>
            </w:r>
          </w:p>
        </w:tc>
      </w:tr>
      <w:tr>
        <w:tc>
          <w:tcPr>
            <w:tcW w:type="dxa" w:w="5083"/>
            <w:vAlign w:val="center"/>
            <w:shd w:fill="F2F6FA"/>
          </w:tcPr>
          <w:p>
            <w:pPr>
              <w:spacing w:after="20"/>
            </w:pPr>
            <w:r/>
            <w:r>
              <w:rPr>
                <w:rFonts w:ascii="Aptos" w:hAnsi="Aptos"/>
                <w:b w:val="0"/>
                <w:sz w:val="16"/>
              </w:rPr>
              <w:t>One bank per attempt</w:t>
            </w:r>
          </w:p>
        </w:tc>
        <w:tc>
          <w:tcPr>
            <w:tcW w:type="dxa" w:w="5083"/>
            <w:vAlign w:val="center"/>
            <w:shd w:fill="F2F6FA"/>
          </w:tcPr>
          <w:p>
            <w:pPr>
              <w:spacing w:after="20"/>
            </w:pPr>
            <w:r/>
            <w:r>
              <w:rPr>
                <w:rFonts w:ascii="Aptos" w:hAnsi="Aptos"/>
                <w:b w:val="0"/>
                <w:sz w:val="16"/>
              </w:rPr>
              <w:t>A submission attempt targets one bank. Re-routing creates a new attempt and a new named-bank consent gate.</w:t>
            </w:r>
          </w:p>
        </w:tc>
      </w:tr>
      <w:tr>
        <w:tc>
          <w:tcPr>
            <w:tcW w:type="dxa" w:w="5083"/>
            <w:vAlign w:val="center"/>
          </w:tcPr>
          <w:p>
            <w:pPr>
              <w:spacing w:after="20"/>
            </w:pPr>
            <w:r/>
            <w:r>
              <w:rPr>
                <w:rFonts w:ascii="Aptos" w:hAnsi="Aptos"/>
                <w:b w:val="0"/>
                <w:sz w:val="16"/>
              </w:rPr>
              <w:t>Privacy by design</w:t>
            </w:r>
          </w:p>
        </w:tc>
        <w:tc>
          <w:tcPr>
            <w:tcW w:type="dxa" w:w="5083"/>
            <w:vAlign w:val="center"/>
          </w:tcPr>
          <w:p>
            <w:pPr>
              <w:spacing w:after="20"/>
            </w:pPr>
            <w:r/>
            <w:r>
              <w:rPr>
                <w:rFonts w:ascii="Aptos" w:hAnsi="Aptos"/>
                <w:b w:val="0"/>
                <w:sz w:val="16"/>
              </w:rPr>
              <w:t>Collect the minimum data required; use synthetic data before go-live gates; restrict, protect, retain and purge according to validated rules.</w:t>
            </w:r>
          </w:p>
        </w:tc>
      </w:tr>
      <w:tr>
        <w:tc>
          <w:tcPr>
            <w:tcW w:type="dxa" w:w="5083"/>
            <w:vAlign w:val="center"/>
            <w:shd w:fill="F2F6FA"/>
          </w:tcPr>
          <w:p>
            <w:pPr>
              <w:spacing w:after="20"/>
            </w:pPr>
            <w:r/>
            <w:r>
              <w:rPr>
                <w:rFonts w:ascii="Aptos" w:hAnsi="Aptos"/>
                <w:b w:val="0"/>
                <w:sz w:val="16"/>
              </w:rPr>
              <w:t>Progressive automation</w:t>
            </w:r>
          </w:p>
        </w:tc>
        <w:tc>
          <w:tcPr>
            <w:tcW w:type="dxa" w:w="5083"/>
            <w:vAlign w:val="center"/>
            <w:shd w:fill="F2F6FA"/>
          </w:tcPr>
          <w:p>
            <w:pPr>
              <w:spacing w:after="20"/>
            </w:pPr>
            <w:r/>
            <w:r>
              <w:rPr>
                <w:rFonts w:ascii="Aptos" w:hAnsi="Aptos"/>
                <w:b w:val="0"/>
                <w:sz w:val="16"/>
              </w:rPr>
              <w:t>Start with controlled internal preparation; add each bank channel only after contractual and technical authorisation.</w:t>
            </w:r>
          </w:p>
        </w:tc>
      </w:tr>
      <w:tr>
        <w:tc>
          <w:tcPr>
            <w:tcW w:type="dxa" w:w="5083"/>
            <w:vAlign w:val="center"/>
          </w:tcPr>
          <w:p>
            <w:pPr>
              <w:spacing w:after="20"/>
            </w:pPr>
            <w:r/>
            <w:r>
              <w:rPr>
                <w:rFonts w:ascii="Aptos" w:hAnsi="Aptos"/>
                <w:b w:val="0"/>
                <w:sz w:val="16"/>
              </w:rPr>
              <w:t>Auditability</w:t>
            </w:r>
          </w:p>
        </w:tc>
        <w:tc>
          <w:tcPr>
            <w:tcW w:type="dxa" w:w="5083"/>
            <w:vAlign w:val="center"/>
          </w:tcPr>
          <w:p>
            <w:pPr>
              <w:spacing w:after="20"/>
            </w:pPr>
            <w:r/>
            <w:r>
              <w:rPr>
                <w:rFonts w:ascii="Aptos" w:hAnsi="Aptos"/>
                <w:b w:val="0"/>
                <w:sz w:val="16"/>
              </w:rPr>
              <w:t>Record actor, action, time, reason, scope and before/after values for sensitive or state-changing operations.</w:t>
            </w:r>
          </w:p>
        </w:tc>
      </w:tr>
    </w:tbl>
    <w:p/>
    <w:p>
      <w:pPr>
        <w:pStyle w:val="Heading1"/>
      </w:pPr>
      <w:r>
        <w:t>2. Operating model and responsibility boundary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Activity</w:t>
            </w:r>
          </w:p>
        </w:tc>
        <w:tc>
          <w:tcPr>
            <w:tcW w:type="dxa" w:w="3389"/>
            <w:vAlign w:val="center"/>
            <w:shd w:fill="17365D"/>
          </w:tcPr>
          <w:p>
            <w:pPr>
              <w:spacing w:after="20"/>
            </w:pPr>
            <w:r/>
            <w:r>
              <w:rPr>
                <w:rFonts w:ascii="Aptos" w:hAnsi="Aptos"/>
                <w:b/>
                <w:color w:val="FFFFFF"/>
                <w:sz w:val="16"/>
              </w:rPr>
              <w:t>Loans4India</w:t>
            </w:r>
          </w:p>
        </w:tc>
        <w:tc>
          <w:tcPr>
            <w:tcW w:type="dxa" w:w="3389"/>
            <w:vAlign w:val="center"/>
            <w:shd w:fill="17365D"/>
          </w:tcPr>
          <w:p>
            <w:pPr>
              <w:spacing w:after="20"/>
            </w:pPr>
            <w:r/>
            <w:r>
              <w:rPr>
                <w:rFonts w:ascii="Aptos" w:hAnsi="Aptos"/>
                <w:b/>
                <w:color w:val="FFFFFF"/>
                <w:sz w:val="16"/>
              </w:rPr>
              <w:t>Bank / NBFC / authorised master DSA</w:t>
            </w:r>
          </w:p>
        </w:tc>
      </w:tr>
      <w:tr>
        <w:tc>
          <w:tcPr>
            <w:tcW w:type="dxa" w:w="3389"/>
            <w:vAlign w:val="center"/>
          </w:tcPr>
          <w:p>
            <w:pPr>
              <w:spacing w:after="20"/>
            </w:pPr>
            <w:r/>
            <w:r>
              <w:rPr>
                <w:rFonts w:ascii="Aptos" w:hAnsi="Aptos"/>
                <w:b w:val="0"/>
                <w:sz w:val="16"/>
              </w:rPr>
              <w:t>Acquisition and attribution</w:t>
            </w:r>
          </w:p>
        </w:tc>
        <w:tc>
          <w:tcPr>
            <w:tcW w:type="dxa" w:w="3389"/>
            <w:vAlign w:val="center"/>
          </w:tcPr>
          <w:p>
            <w:pPr>
              <w:spacing w:after="20"/>
            </w:pPr>
            <w:r/>
            <w:r>
              <w:rPr>
                <w:rFonts w:ascii="Aptos" w:hAnsi="Aptos"/>
                <w:b w:val="0"/>
                <w:sz w:val="16"/>
              </w:rPr>
              <w:t>Own approved campaigns, referrals, affiliates and channel attribution.</w:t>
            </w:r>
          </w:p>
        </w:tc>
        <w:tc>
          <w:tcPr>
            <w:tcW w:type="dxa" w:w="3389"/>
            <w:vAlign w:val="center"/>
          </w:tcPr>
          <w:p>
            <w:pPr>
              <w:spacing w:after="20"/>
            </w:pPr>
            <w:r/>
            <w:r>
              <w:rPr>
                <w:rFonts w:ascii="Aptos" w:hAnsi="Aptos"/>
                <w:b w:val="0"/>
                <w:sz w:val="16"/>
              </w:rPr>
              <w:t>May define sourcing criteria and permitted channels.</w:t>
            </w:r>
          </w:p>
        </w:tc>
      </w:tr>
      <w:tr>
        <w:tc>
          <w:tcPr>
            <w:tcW w:type="dxa" w:w="3389"/>
            <w:vAlign w:val="center"/>
            <w:shd w:fill="F2F6FA"/>
          </w:tcPr>
          <w:p>
            <w:pPr>
              <w:spacing w:after="20"/>
            </w:pPr>
            <w:r/>
            <w:r>
              <w:rPr>
                <w:rFonts w:ascii="Aptos" w:hAnsi="Aptos"/>
                <w:b w:val="0"/>
                <w:sz w:val="16"/>
              </w:rPr>
              <w:t>Application intake and data collection</w:t>
            </w:r>
          </w:p>
        </w:tc>
        <w:tc>
          <w:tcPr>
            <w:tcW w:type="dxa" w:w="3389"/>
            <w:vAlign w:val="center"/>
            <w:shd w:fill="F2F6FA"/>
          </w:tcPr>
          <w:p>
            <w:pPr>
              <w:spacing w:after="20"/>
            </w:pPr>
            <w:r/>
            <w:r>
              <w:rPr>
                <w:rFonts w:ascii="Aptos" w:hAnsi="Aptos"/>
                <w:b w:val="0"/>
                <w:sz w:val="16"/>
              </w:rPr>
              <w:t>Collect minimum required information and record consent.</w:t>
            </w:r>
          </w:p>
        </w:tc>
        <w:tc>
          <w:tcPr>
            <w:tcW w:type="dxa" w:w="3389"/>
            <w:vAlign w:val="center"/>
            <w:shd w:fill="F2F6FA"/>
          </w:tcPr>
          <w:p>
            <w:pPr>
              <w:spacing w:after="20"/>
            </w:pPr>
            <w:r/>
            <w:r>
              <w:rPr>
                <w:rFonts w:ascii="Aptos" w:hAnsi="Aptos"/>
                <w:b w:val="0"/>
                <w:sz w:val="16"/>
              </w:rPr>
              <w:t>Define application requirements and data purpose.</w:t>
            </w:r>
          </w:p>
        </w:tc>
      </w:tr>
      <w:tr>
        <w:tc>
          <w:tcPr>
            <w:tcW w:type="dxa" w:w="3389"/>
            <w:vAlign w:val="center"/>
          </w:tcPr>
          <w:p>
            <w:pPr>
              <w:spacing w:after="20"/>
            </w:pPr>
            <w:r/>
            <w:r>
              <w:rPr>
                <w:rFonts w:ascii="Aptos" w:hAnsi="Aptos"/>
                <w:b w:val="0"/>
                <w:sz w:val="16"/>
              </w:rPr>
              <w:t>Data-quality review</w:t>
            </w:r>
          </w:p>
        </w:tc>
        <w:tc>
          <w:tcPr>
            <w:tcW w:type="dxa" w:w="3389"/>
            <w:vAlign w:val="center"/>
          </w:tcPr>
          <w:p>
            <w:pPr>
              <w:spacing w:after="20"/>
            </w:pPr>
            <w:r/>
            <w:r>
              <w:rPr>
                <w:rFonts w:ascii="Aptos" w:hAnsi="Aptos"/>
                <w:b w:val="0"/>
                <w:sz w:val="16"/>
              </w:rPr>
              <w:t>Check completeness, readability, expiry and permitted data matches; flag exceptions.</w:t>
            </w:r>
          </w:p>
        </w:tc>
        <w:tc>
          <w:tcPr>
            <w:tcW w:type="dxa" w:w="3389"/>
            <w:vAlign w:val="center"/>
          </w:tcPr>
          <w:p>
            <w:pPr>
              <w:spacing w:after="20"/>
            </w:pPr>
            <w:r/>
            <w:r>
              <w:rPr>
                <w:rFonts w:ascii="Aptos" w:hAnsi="Aptos"/>
                <w:b w:val="0"/>
                <w:sz w:val="16"/>
              </w:rPr>
              <w:t>Perform required KYC, due diligence and lender verification.</w:t>
            </w:r>
          </w:p>
        </w:tc>
      </w:tr>
      <w:tr>
        <w:tc>
          <w:tcPr>
            <w:tcW w:type="dxa" w:w="3389"/>
            <w:vAlign w:val="center"/>
            <w:shd w:fill="F2F6FA"/>
          </w:tcPr>
          <w:p>
            <w:pPr>
              <w:spacing w:after="20"/>
            </w:pPr>
            <w:r/>
            <w:r>
              <w:rPr>
                <w:rFonts w:ascii="Aptos" w:hAnsi="Aptos"/>
                <w:b w:val="0"/>
                <w:sz w:val="16"/>
              </w:rPr>
              <w:t>Application preparation</w:t>
            </w:r>
          </w:p>
        </w:tc>
        <w:tc>
          <w:tcPr>
            <w:tcW w:type="dxa" w:w="3389"/>
            <w:vAlign w:val="center"/>
            <w:shd w:fill="F2F6FA"/>
          </w:tcPr>
          <w:p>
            <w:pPr>
              <w:spacing w:after="20"/>
            </w:pPr>
            <w:r/>
            <w:r>
              <w:rPr>
                <w:rFonts w:ascii="Aptos" w:hAnsi="Aptos"/>
                <w:b w:val="0"/>
                <w:sz w:val="16"/>
              </w:rPr>
              <w:t>Map canonical application data to configured lender requirements; run completeness checks.</w:t>
            </w:r>
          </w:p>
        </w:tc>
        <w:tc>
          <w:tcPr>
            <w:tcW w:type="dxa" w:w="3389"/>
            <w:vAlign w:val="center"/>
            <w:shd w:fill="F2F6FA"/>
          </w:tcPr>
          <w:p>
            <w:pPr>
              <w:spacing w:after="20"/>
            </w:pPr>
            <w:r/>
            <w:r>
              <w:rPr>
                <w:rFonts w:ascii="Aptos" w:hAnsi="Aptos"/>
                <w:b w:val="0"/>
                <w:sz w:val="16"/>
              </w:rPr>
              <w:t>Define formats, product criteria and document requirements.</w:t>
            </w:r>
          </w:p>
        </w:tc>
      </w:tr>
      <w:tr>
        <w:tc>
          <w:tcPr>
            <w:tcW w:type="dxa" w:w="3389"/>
            <w:vAlign w:val="center"/>
          </w:tcPr>
          <w:p>
            <w:pPr>
              <w:spacing w:after="20"/>
            </w:pPr>
            <w:r/>
            <w:r>
              <w:rPr>
                <w:rFonts w:ascii="Aptos" w:hAnsi="Aptos"/>
                <w:b w:val="0"/>
                <w:sz w:val="16"/>
              </w:rPr>
              <w:t>Bank-system entry / submission</w:t>
            </w:r>
          </w:p>
        </w:tc>
        <w:tc>
          <w:tcPr>
            <w:tcW w:type="dxa" w:w="3389"/>
            <w:vAlign w:val="center"/>
          </w:tcPr>
          <w:p>
            <w:pPr>
              <w:spacing w:after="20"/>
            </w:pPr>
            <w:r/>
            <w:r>
              <w:rPr>
                <w:rFonts w:ascii="Aptos" w:hAnsi="Aptos"/>
                <w:b w:val="0"/>
                <w:sz w:val="16"/>
              </w:rPr>
              <w:t>Only by approved channel and authorised named operator or integration.</w:t>
            </w:r>
          </w:p>
        </w:tc>
        <w:tc>
          <w:tcPr>
            <w:tcW w:type="dxa" w:w="3389"/>
            <w:vAlign w:val="center"/>
          </w:tcPr>
          <w:p>
            <w:pPr>
              <w:spacing w:after="20"/>
            </w:pPr>
            <w:r/>
            <w:r>
              <w:rPr>
                <w:rFonts w:ascii="Aptos" w:hAnsi="Aptos"/>
                <w:b w:val="0"/>
                <w:sz w:val="16"/>
              </w:rPr>
              <w:t>Provide authorised access, channel instructions and acknowledgements.</w:t>
            </w:r>
          </w:p>
        </w:tc>
      </w:tr>
      <w:tr>
        <w:tc>
          <w:tcPr>
            <w:tcW w:type="dxa" w:w="3389"/>
            <w:vAlign w:val="center"/>
            <w:shd w:fill="F2F6FA"/>
          </w:tcPr>
          <w:p>
            <w:pPr>
              <w:spacing w:after="20"/>
            </w:pPr>
            <w:r/>
            <w:r>
              <w:rPr>
                <w:rFonts w:ascii="Aptos" w:hAnsi="Aptos"/>
                <w:b w:val="0"/>
                <w:sz w:val="16"/>
              </w:rPr>
              <w:t>Credit assessment and decision</w:t>
            </w:r>
          </w:p>
        </w:tc>
        <w:tc>
          <w:tcPr>
            <w:tcW w:type="dxa" w:w="3389"/>
            <w:vAlign w:val="center"/>
            <w:shd w:fill="F2F6FA"/>
          </w:tcPr>
          <w:p>
            <w:pPr>
              <w:spacing w:after="20"/>
            </w:pPr>
            <w:r/>
            <w:r>
              <w:rPr>
                <w:rFonts w:ascii="Aptos" w:hAnsi="Aptos"/>
                <w:b w:val="0"/>
                <w:sz w:val="16"/>
              </w:rPr>
              <w:t>No underwriting, approval or rejection decision.</w:t>
            </w:r>
          </w:p>
        </w:tc>
        <w:tc>
          <w:tcPr>
            <w:tcW w:type="dxa" w:w="3389"/>
            <w:vAlign w:val="center"/>
            <w:shd w:fill="F2F6FA"/>
          </w:tcPr>
          <w:p>
            <w:pPr>
              <w:spacing w:after="20"/>
            </w:pPr>
            <w:r/>
            <w:r>
              <w:rPr>
                <w:rFonts w:ascii="Aptos" w:hAnsi="Aptos"/>
                <w:b w:val="0"/>
                <w:sz w:val="16"/>
              </w:rPr>
              <w:t>Solely responsible.</w:t>
            </w:r>
          </w:p>
        </w:tc>
      </w:tr>
      <w:tr>
        <w:tc>
          <w:tcPr>
            <w:tcW w:type="dxa" w:w="3389"/>
            <w:vAlign w:val="center"/>
          </w:tcPr>
          <w:p>
            <w:pPr>
              <w:spacing w:after="20"/>
            </w:pPr>
            <w:r/>
            <w:r>
              <w:rPr>
                <w:rFonts w:ascii="Aptos" w:hAnsi="Aptos"/>
                <w:b w:val="0"/>
                <w:sz w:val="16"/>
              </w:rPr>
              <w:t>Sanction, agreement, disbursement, servicing</w:t>
            </w:r>
          </w:p>
        </w:tc>
        <w:tc>
          <w:tcPr>
            <w:tcW w:type="dxa" w:w="3389"/>
            <w:vAlign w:val="center"/>
          </w:tcPr>
          <w:p>
            <w:pPr>
              <w:spacing w:after="20"/>
            </w:pPr>
            <w:r/>
            <w:r>
              <w:rPr>
                <w:rFonts w:ascii="Aptos" w:hAnsi="Aptos"/>
                <w:b w:val="0"/>
                <w:sz w:val="16"/>
              </w:rPr>
              <w:t>Do not perform or represent as Loans4India actions.</w:t>
            </w:r>
          </w:p>
        </w:tc>
        <w:tc>
          <w:tcPr>
            <w:tcW w:type="dxa" w:w="3389"/>
            <w:vAlign w:val="center"/>
          </w:tcPr>
          <w:p>
            <w:pPr>
              <w:spacing w:after="20"/>
            </w:pPr>
            <w:r/>
            <w:r>
              <w:rPr>
                <w:rFonts w:ascii="Aptos" w:hAnsi="Aptos"/>
                <w:b w:val="0"/>
                <w:sz w:val="16"/>
              </w:rPr>
              <w:t>Responsible.</w:t>
            </w:r>
          </w:p>
        </w:tc>
      </w:tr>
      <w:tr>
        <w:tc>
          <w:tcPr>
            <w:tcW w:type="dxa" w:w="3389"/>
            <w:vAlign w:val="center"/>
            <w:shd w:fill="F2F6FA"/>
          </w:tcPr>
          <w:p>
            <w:pPr>
              <w:spacing w:after="20"/>
            </w:pPr>
            <w:r/>
            <w:r>
              <w:rPr>
                <w:rFonts w:ascii="Aptos" w:hAnsi="Aptos"/>
                <w:b w:val="0"/>
                <w:sz w:val="16"/>
              </w:rPr>
              <w:t>Status tracking</w:t>
            </w:r>
          </w:p>
        </w:tc>
        <w:tc>
          <w:tcPr>
            <w:tcW w:type="dxa" w:w="3389"/>
            <w:vAlign w:val="center"/>
            <w:shd w:fill="F2F6FA"/>
          </w:tcPr>
          <w:p>
            <w:pPr>
              <w:spacing w:after="20"/>
            </w:pPr>
            <w:r/>
            <w:r>
              <w:rPr>
                <w:rFonts w:ascii="Aptos" w:hAnsi="Aptos"/>
                <w:b w:val="0"/>
                <w:sz w:val="16"/>
              </w:rPr>
              <w:t>Record information received, provenance, follow-ups and exceptions.</w:t>
            </w:r>
          </w:p>
        </w:tc>
        <w:tc>
          <w:tcPr>
            <w:tcW w:type="dxa" w:w="3389"/>
            <w:vAlign w:val="center"/>
            <w:shd w:fill="F2F6FA"/>
          </w:tcPr>
          <w:p>
            <w:pPr>
              <w:spacing w:after="20"/>
            </w:pPr>
            <w:r/>
            <w:r>
              <w:rPr>
                <w:rFonts w:ascii="Aptos" w:hAnsi="Aptos"/>
                <w:b w:val="0"/>
                <w:sz w:val="16"/>
              </w:rPr>
              <w:t>Provide updates as agreed; confirm bank-side states.</w:t>
            </w:r>
          </w:p>
        </w:tc>
      </w:tr>
      <w:tr>
        <w:tc>
          <w:tcPr>
            <w:tcW w:type="dxa" w:w="3389"/>
            <w:vAlign w:val="center"/>
          </w:tcPr>
          <w:p>
            <w:pPr>
              <w:spacing w:after="20"/>
            </w:pPr>
            <w:r/>
            <w:r>
              <w:rPr>
                <w:rFonts w:ascii="Aptos" w:hAnsi="Aptos"/>
                <w:b w:val="0"/>
                <w:sz w:val="16"/>
              </w:rPr>
              <w:t>Commission and affiliate reconciliation</w:t>
            </w:r>
          </w:p>
        </w:tc>
        <w:tc>
          <w:tcPr>
            <w:tcW w:type="dxa" w:w="3389"/>
            <w:vAlign w:val="center"/>
          </w:tcPr>
          <w:p>
            <w:pPr>
              <w:spacing w:after="20"/>
            </w:pPr>
            <w:r/>
            <w:r>
              <w:rPr>
                <w:rFonts w:ascii="Aptos" w:hAnsi="Aptos"/>
                <w:b w:val="0"/>
                <w:sz w:val="16"/>
              </w:rPr>
              <w:t>Track lender commission receivables and approved affiliate payables under contracts.</w:t>
            </w:r>
          </w:p>
        </w:tc>
        <w:tc>
          <w:tcPr>
            <w:tcW w:type="dxa" w:w="3389"/>
            <w:vAlign w:val="center"/>
          </w:tcPr>
          <w:p>
            <w:pPr>
              <w:spacing w:after="20"/>
            </w:pPr>
            <w:r/>
            <w:r>
              <w:rPr>
                <w:rFonts w:ascii="Aptos" w:hAnsi="Aptos"/>
                <w:b w:val="0"/>
                <w:sz w:val="16"/>
              </w:rPr>
              <w:t>Pay commission according to executed agreement; confirm relevant records.</w:t>
            </w:r>
          </w:p>
        </w:tc>
      </w:tr>
    </w:tbl>
    <w:p/>
    <w:p>
      <w:r>
        <w:t>Internal verification improves application quality; it does not replace lender KYC, underwriting, compliance or a lender's decision. Loans4India must not imply that an application is approved, sanctioned, disbursed or even received by a bank without the applicable confirmation.</w:t>
      </w:r>
    </w:p>
    <w:p>
      <w:pPr>
        <w:pStyle w:val="Heading1"/>
      </w:pPr>
      <w:r>
        <w:t>3. Product scope and customer-facing principles</w:t>
      </w:r>
    </w:p>
    <w:p>
      <w:pPr>
        <w:pStyle w:val="ListBullet"/>
        <w:spacing w:after="40"/>
      </w:pPr>
      <w:r>
        <w:t>Use “Loan Application” from the first customer form. “Lead” may be used only as an internal acquisition/analytics term, not in customer-facing status copy.</w:t>
      </w:r>
    </w:p>
    <w:p>
      <w:pPr>
        <w:pStyle w:val="ListBullet"/>
        <w:spacing w:after="40"/>
      </w:pPr>
      <w:r>
        <w:t>Describe Loans4India as a loan sourcing service, not a lender. Do not use “we give loans” or claim an RBI-issued DSA licence.</w:t>
      </w:r>
    </w:p>
    <w:p>
      <w:pPr>
        <w:pStyle w:val="ListBullet"/>
        <w:spacing w:after="40"/>
      </w:pPr>
      <w:r>
        <w:t>Do not use bank names, logos or “partner bank” claims before the relevant agreement and brand-use permission are in place.</w:t>
      </w:r>
    </w:p>
    <w:p>
      <w:pPr>
        <w:pStyle w:val="ListBullet"/>
        <w:spacing w:after="40"/>
      </w:pPr>
      <w:r>
        <w:t>Do not promise eligibility, approval, rates, sanction or disbursement. Any permitted estimate must be explicitly indicative, based only on disclosed inputs, and must not imply lender assessment or bureau-derived eligibility.</w:t>
      </w:r>
    </w:p>
    <w:p>
      <w:pPr>
        <w:pStyle w:val="ListBullet"/>
        <w:spacing w:after="40"/>
      </w:pPr>
      <w:r>
        <w:t>Any bank-issued offer terms, Key Fact Statement (KFS), APR and other lender disclosures must be presented as issued by the bank, without Loans4India independently changing or paraphrasing financial terms. Confirm the required display and delivery method with the lender and counsel.</w:t>
      </w:r>
    </w:p>
    <w:p>
      <w:pPr>
        <w:pStyle w:val="ListBullet"/>
        <w:spacing w:after="40"/>
      </w:pPr>
      <w:r>
        <w:t>Borrower fee policy: proposed default is that Loans4India does not charge applicants and earns DSA commission from the lender under an executed agreement. This policy must be approved and consistently disclosed before launch.</w:t>
      </w:r>
    </w:p>
    <w:p>
      <w:pPr>
        <w:pStyle w:val="ListBullet"/>
        <w:spacing w:after="40"/>
      </w:pPr>
      <w:r>
        <w:t>Loans4India does not pull CIBIL or other credit-bureau reports under the proposed model. Any future bureau access is a separate scope and compliance decision requiring appropriate authority, consent and lender alignment.</w:t>
      </w:r>
    </w:p>
    <w:p>
      <w:r>
        <w:t>Multi-bank display: if multiple lender options are ever shown, selection, ordering, presentation, eligibility language and disclosures must be reviewed against applicable lender and regulatory requirements. Do not imply that routing is an independent credit recommendation.</w:t>
      </w:r>
    </w:p>
    <w:p>
      <w:pPr>
        <w:pStyle w:val="Heading1"/>
      </w:pPr>
      <w:r>
        <w:t>4. End-to-end borrower journey</w:t>
      </w:r>
    </w:p>
    <w:p>
      <w:pPr>
        <w:pStyle w:val="ListNumber"/>
        <w:spacing w:after="60"/>
      </w:pPr>
      <w:r>
        <w:t>Arrival and attribution. Applicant arrives through website, approved campaign, referral, affiliate or other approved channel. Store channel/campaign/referrer identifiers against the application record, subject to privacy notice and minimisation.</w:t>
      </w:r>
    </w:p>
    <w:p>
      <w:pPr>
        <w:pStyle w:val="ListNumber"/>
        <w:spacing w:after="60"/>
      </w:pPr>
      <w:r>
        <w:t>Start application. Applicant selects the product category and enters initial required fields such as requested amount and mobile number. Verify mobile ownership through OTP before exposing or linking an application to that number.</w:t>
      </w:r>
    </w:p>
    <w:p>
      <w:pPr>
        <w:pStyle w:val="ListNumber"/>
        <w:spacing w:after="60"/>
      </w:pPr>
      <w:r>
        <w:t>Consent and privacy notice. Present a versioned notice describing data categories, purposes, retention approach, contact preferences and relevant recipients. Record affirmative consent and its evidence. General marketing/contact preferences must be separate from application processing consent.</w:t>
      </w:r>
    </w:p>
    <w:p>
      <w:pPr>
        <w:pStyle w:val="ListNumber"/>
        <w:spacing w:after="60"/>
      </w:pPr>
      <w:r>
        <w:t>Profile completion. Collect only the personal, employment, income and loan-requirement fields required for the selected product and currently configured process. Explain mandatory versus optional fields.</w:t>
      </w:r>
    </w:p>
    <w:p>
      <w:pPr>
        <w:pStyle w:val="ListNumber"/>
        <w:spacing w:after="60"/>
      </w:pPr>
      <w:r>
        <w:t>Document upload. Show a product/bank-specific checklist only when the bank/product configuration is valid. Validate file type, size, readability and completeness. Do not request unnecessary documents.</w:t>
      </w:r>
    </w:p>
    <w:p>
      <w:pPr>
        <w:pStyle w:val="ListNumber"/>
        <w:spacing w:after="60"/>
      </w:pPr>
      <w:r>
        <w:t>Internal review. Show a plain-language status such as “Under review by Loans4India”. If an item is missing or unclear, create an Action Needed task with a reason, due date and secure resubmission path.</w:t>
      </w:r>
    </w:p>
    <w:p>
      <w:pPr>
        <w:pStyle w:val="ListNumber"/>
        <w:spacing w:after="60"/>
      </w:pPr>
      <w:r>
        <w:t>Bank selection and disclosure. Before a submission attempt, identify the proposed bank and the reason or applicable routing basis. Inform the applicant which bank will receive the application and what data will be shared.</w:t>
      </w:r>
    </w:p>
    <w:p>
      <w:pPr>
        <w:pStyle w:val="ListNumber"/>
        <w:spacing w:after="60"/>
      </w:pPr>
      <w:r>
        <w:t>Named-bank consent gate. Capture and verify the applicant’s consent to share the defined application package with that named bank before any data is submitted. Store the consent version, bank, purpose, data scope, timestamp and capture method.</w:t>
      </w:r>
    </w:p>
    <w:p>
      <w:pPr>
        <w:pStyle w:val="ListNumber"/>
        <w:spacing w:after="60"/>
      </w:pPr>
      <w:r>
        <w:t>Package preparation and independent review. Map data to the bank-specific template, validate required fields/documents, record package version and obtain the configured internal approval.</w:t>
      </w:r>
    </w:p>
    <w:p>
      <w:pPr>
        <w:pStyle w:val="ListNumber"/>
        <w:spacing w:after="60"/>
      </w:pPr>
      <w:r>
        <w:t>Ready to send. Internal state becomes READY_FOR_BANK only after completeness and approval gates pass. Customer copy: “Your application is ready to send to the bank.” This does not mean it has been sent or received.</w:t>
      </w:r>
    </w:p>
    <w:p>
      <w:pPr>
        <w:pStyle w:val="ListNumber"/>
        <w:spacing w:after="60"/>
      </w:pPr>
      <w:r>
        <w:t>Submission. A named authorised operator or approved integration submits the package through the bank-authorised channel. Record attempt ID, target bank, operator/channel, package version, timestamp and submission evidence.</w:t>
      </w:r>
    </w:p>
    <w:p>
      <w:pPr>
        <w:pStyle w:val="ListNumber"/>
        <w:spacing w:after="60"/>
      </w:pPr>
      <w:r>
        <w:t>Bank processing. Display only bank-confirmed information. Bank KYC, credit assessment, decision, sanction, agreement and disbursement remain lender-side. Bank queries create applicant tasks managed through the back office.</w:t>
      </w:r>
    </w:p>
    <w:p>
      <w:pPr>
        <w:pStyle w:val="ListNumber"/>
        <w:spacing w:after="60"/>
      </w:pPr>
      <w:r>
        <w:t>Outcome and next step. Record conditional/in-principle outcome, sanction, rejection or disbursement only when the lender confirms the corresponding state. Any further bank attempt follows the re-routing rules in Section 7.</w:t>
      </w:r>
    </w:p>
    <w:p>
      <w:pPr>
        <w:pStyle w:val="ListNumber"/>
        <w:spacing w:after="60"/>
      </w:pPr>
      <w:r>
        <w:t>Returning access. Applicant can return through OTP-based authentication, subject to rate limits, session expiry and step-up verification for sensitive actions. Show only applications the authenticated applicant is authorised to access.</w:t>
      </w:r>
    </w:p>
    <w:p>
      <w:pPr>
        <w:pStyle w:val="ListNumber"/>
        <w:spacing w:after="60"/>
      </w:pPr>
      <w:r>
        <w:t>Withdrawal and data requests. Applicant can request withdrawal or exercise applicable data rights through a “My Data” and support route. Stop future processing/sharing where required and route the request for controlled fulfilment.</w:t>
      </w:r>
    </w:p>
    <w:p>
      <w:pPr>
        <w:pStyle w:val="Heading1"/>
      </w:pPr>
      <w:r>
        <w:t>5. Returning users, authentication and sessions</w:t>
      </w:r>
    </w:p>
    <w:p>
      <w:pPr>
        <w:pStyle w:val="ListBullet"/>
        <w:spacing w:after="40"/>
      </w:pPr>
      <w:r>
        <w:t>Returning applicant enters the registered mobile number and completes OTP verification before application details or bank status are disclosed.</w:t>
      </w:r>
    </w:p>
    <w:p>
      <w:pPr>
        <w:pStyle w:val="ListBullet"/>
        <w:spacing w:after="40"/>
      </w:pPr>
      <w:r>
        <w:t>OTP verification proves control of the contact channel; it is not, by itself, proof of identity for every sensitive request. Apply step-up checks where risk, requested action or applicable rules require them.</w:t>
      </w:r>
    </w:p>
    <w:p>
      <w:pPr>
        <w:pStyle w:val="ListBullet"/>
        <w:spacing w:after="40"/>
      </w:pPr>
      <w:r>
        <w:t>Sessions expire after a configurable inactivity period; sensitive actions may require re-authentication.</w:t>
      </w:r>
    </w:p>
    <w:p>
      <w:pPr>
        <w:pStyle w:val="ListBullet"/>
        <w:spacing w:after="40"/>
      </w:pPr>
      <w:r>
        <w:t>Apply OTP attempt limits, resend throttling, abuse detection, session invalidation and secure recovery procedures.</w:t>
      </w:r>
    </w:p>
    <w:p>
      <w:pPr>
        <w:pStyle w:val="ListBullet"/>
        <w:spacing w:after="40"/>
      </w:pPr>
      <w:r>
        <w:t>Do not expose full PAN, Aadhaar, bank-account details, salary information or documents in notifications or unauthenticated screens.</w:t>
      </w:r>
    </w:p>
    <w:p>
      <w:pPr>
        <w:pStyle w:val="ListBullet"/>
        <w:spacing w:after="40"/>
      </w:pPr>
      <w:r>
        <w:t>Support multiple applications per applicant with clear application identifiers and separate lifecycle histories. Do not merge records solely on a shared mobile number.</w:t>
      </w:r>
    </w:p>
    <w:p>
      <w:pPr>
        <w:pStyle w:val="Heading1"/>
      </w:pPr>
      <w:r>
        <w:t>6. Bank selection, consent and re-routing</w:t>
      </w:r>
    </w:p>
    <w:p>
      <w:r>
        <w:t>The platform must not silently submit one application to multiple banks. Each bank submission is a distinct attempt with its own target, consent, package, evidence and outcome.</w:t>
      </w:r>
    </w:p>
    <w:p>
      <w:pPr>
        <w:pStyle w:val="ListNumber"/>
        <w:spacing w:after="60"/>
      </w:pPr>
      <w:r>
        <w:t>Select one target bank for the current attempt only from banks with an executed and active agreement or a validated authorised master-DSA route, approved product coverage and permitted submission channel.</w:t>
      </w:r>
    </w:p>
    <w:p>
      <w:pPr>
        <w:pStyle w:val="ListNumber"/>
        <w:spacing w:after="60"/>
      </w:pPr>
      <w:r>
        <w:t>Record the selection basis (for example, product coverage, applicant choice where offered, operational eligibility or agreed sourcing rules). Do not use an undisclosed credit-ranking or approval-probability claim.</w:t>
      </w:r>
    </w:p>
    <w:p>
      <w:pPr>
        <w:pStyle w:val="ListNumber"/>
        <w:spacing w:after="60"/>
      </w:pPr>
      <w:r>
        <w:t>Present the named bank, purpose and data categories to the applicant and obtain active named-bank consent before package release or submission.</w:t>
      </w:r>
    </w:p>
    <w:p>
      <w:pPr>
        <w:pStyle w:val="ListNumber"/>
        <w:spacing w:after="60"/>
      </w:pPr>
      <w:r>
        <w:t>Create a unique attempt ID and immutable attempt history. Preserve the prior attempt, including bank, consent evidence, package version, dates, status and outcome.</w:t>
      </w:r>
    </w:p>
    <w:p>
      <w:pPr>
        <w:pStyle w:val="ListNumber"/>
        <w:spacing w:after="60"/>
      </w:pPr>
      <w:r>
        <w:t>If the bank rejects, returns or cannot process the application, record the bank-confirmed reason where available. Re-routing requires a new attempt, fresh named-bank consent and a newly validated package.</w:t>
      </w:r>
    </w:p>
    <w:p>
      <w:pPr>
        <w:pStyle w:val="ListNumber"/>
        <w:spacing w:after="60"/>
      </w:pPr>
      <w:r>
        <w:t>Configure a maximum number of attempts, cooling-off or review rules, and eligible re-routing triggers before launch. The exact limit is an open product/compliance decision and must not be hardcoded without approval.</w:t>
      </w:r>
    </w:p>
    <w:p>
      <w:pPr>
        <w:pStyle w:val="ListNumber"/>
        <w:spacing w:after="60"/>
      </w:pPr>
      <w:r>
        <w:t>If consent is revoked or the applicant withdraws, block new submission attempts and apply the approved stop-processing, notification, retention and purge rules.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Attempt state</w:t>
            </w:r>
          </w:p>
        </w:tc>
        <w:tc>
          <w:tcPr>
            <w:tcW w:type="dxa" w:w="5083"/>
            <w:vAlign w:val="center"/>
            <w:shd w:fill="17365D"/>
          </w:tcPr>
          <w:p>
            <w:pPr>
              <w:spacing w:after="20"/>
            </w:pPr>
            <w:r/>
            <w:r>
              <w:rPr>
                <w:rFonts w:ascii="Aptos" w:hAnsi="Aptos"/>
                <w:b/>
                <w:color w:val="FFFFFF"/>
                <w:sz w:val="16"/>
              </w:rPr>
              <w:t>Meaning / control</w:t>
            </w:r>
          </w:p>
        </w:tc>
      </w:tr>
      <w:tr>
        <w:tc>
          <w:tcPr>
            <w:tcW w:type="dxa" w:w="5083"/>
            <w:vAlign w:val="center"/>
          </w:tcPr>
          <w:p>
            <w:pPr>
              <w:spacing w:after="20"/>
            </w:pPr>
            <w:r/>
            <w:r>
              <w:rPr>
                <w:rFonts w:ascii="Aptos" w:hAnsi="Aptos"/>
                <w:b w:val="0"/>
                <w:sz w:val="16"/>
              </w:rPr>
              <w:t>Prepared</w:t>
            </w:r>
          </w:p>
        </w:tc>
        <w:tc>
          <w:tcPr>
            <w:tcW w:type="dxa" w:w="5083"/>
            <w:vAlign w:val="center"/>
          </w:tcPr>
          <w:p>
            <w:pPr>
              <w:spacing w:after="20"/>
            </w:pPr>
            <w:r/>
            <w:r>
              <w:rPr>
                <w:rFonts w:ascii="Aptos" w:hAnsi="Aptos"/>
                <w:b w:val="0"/>
                <w:sz w:val="16"/>
              </w:rPr>
              <w:t>Target bank and package are selected internally; not yet submitted.</w:t>
            </w:r>
          </w:p>
        </w:tc>
      </w:tr>
      <w:tr>
        <w:tc>
          <w:tcPr>
            <w:tcW w:type="dxa" w:w="5083"/>
            <w:vAlign w:val="center"/>
            <w:shd w:fill="F2F6FA"/>
          </w:tcPr>
          <w:p>
            <w:pPr>
              <w:spacing w:after="20"/>
            </w:pPr>
            <w:r/>
            <w:r>
              <w:rPr>
                <w:rFonts w:ascii="Aptos" w:hAnsi="Aptos"/>
                <w:b w:val="0"/>
                <w:sz w:val="16"/>
              </w:rPr>
              <w:t>Consent pending</w:t>
            </w:r>
          </w:p>
        </w:tc>
        <w:tc>
          <w:tcPr>
            <w:tcW w:type="dxa" w:w="5083"/>
            <w:vAlign w:val="center"/>
            <w:shd w:fill="F2F6FA"/>
          </w:tcPr>
          <w:p>
            <w:pPr>
              <w:spacing w:after="20"/>
            </w:pPr>
            <w:r/>
            <w:r>
              <w:rPr>
                <w:rFonts w:ascii="Aptos" w:hAnsi="Aptos"/>
                <w:b w:val="0"/>
                <w:sz w:val="16"/>
              </w:rPr>
              <w:t>Named-bank consent is required or has not been captured.</w:t>
            </w:r>
          </w:p>
        </w:tc>
      </w:tr>
      <w:tr>
        <w:tc>
          <w:tcPr>
            <w:tcW w:type="dxa" w:w="5083"/>
            <w:vAlign w:val="center"/>
          </w:tcPr>
          <w:p>
            <w:pPr>
              <w:spacing w:after="20"/>
            </w:pPr>
            <w:r/>
            <w:r>
              <w:rPr>
                <w:rFonts w:ascii="Aptos" w:hAnsi="Aptos"/>
                <w:b w:val="0"/>
                <w:sz w:val="16"/>
              </w:rPr>
              <w:t>Ready to submit</w:t>
            </w:r>
          </w:p>
        </w:tc>
        <w:tc>
          <w:tcPr>
            <w:tcW w:type="dxa" w:w="5083"/>
            <w:vAlign w:val="center"/>
          </w:tcPr>
          <w:p>
            <w:pPr>
              <w:spacing w:after="20"/>
            </w:pPr>
            <w:r/>
            <w:r>
              <w:rPr>
                <w:rFonts w:ascii="Aptos" w:hAnsi="Aptos"/>
                <w:b w:val="0"/>
                <w:sz w:val="16"/>
              </w:rPr>
              <w:t>Consent, package completeness, internal approval and operator/channel authority are valid.</w:t>
            </w:r>
          </w:p>
        </w:tc>
      </w:tr>
      <w:tr>
        <w:tc>
          <w:tcPr>
            <w:tcW w:type="dxa" w:w="5083"/>
            <w:vAlign w:val="center"/>
            <w:shd w:fill="F2F6FA"/>
          </w:tcPr>
          <w:p>
            <w:pPr>
              <w:spacing w:after="20"/>
            </w:pPr>
            <w:r/>
            <w:r>
              <w:rPr>
                <w:rFonts w:ascii="Aptos" w:hAnsi="Aptos"/>
                <w:b w:val="0"/>
                <w:sz w:val="16"/>
              </w:rPr>
              <w:t>Submitted</w:t>
            </w:r>
          </w:p>
        </w:tc>
        <w:tc>
          <w:tcPr>
            <w:tcW w:type="dxa" w:w="5083"/>
            <w:vAlign w:val="center"/>
            <w:shd w:fill="F2F6FA"/>
          </w:tcPr>
          <w:p>
            <w:pPr>
              <w:spacing w:after="20"/>
            </w:pPr>
            <w:r/>
            <w:r>
              <w:rPr>
                <w:rFonts w:ascii="Aptos" w:hAnsi="Aptos"/>
                <w:b w:val="0"/>
                <w:sz w:val="16"/>
              </w:rPr>
              <w:t>Submission evidence exists and is linked to this attempt.</w:t>
            </w:r>
          </w:p>
        </w:tc>
      </w:tr>
      <w:tr>
        <w:tc>
          <w:tcPr>
            <w:tcW w:type="dxa" w:w="5083"/>
            <w:vAlign w:val="center"/>
          </w:tcPr>
          <w:p>
            <w:pPr>
              <w:spacing w:after="20"/>
            </w:pPr>
            <w:r/>
            <w:r>
              <w:rPr>
                <w:rFonts w:ascii="Aptos" w:hAnsi="Aptos"/>
                <w:b w:val="0"/>
                <w:sz w:val="16"/>
              </w:rPr>
              <w:t>Bank processing</w:t>
            </w:r>
          </w:p>
        </w:tc>
        <w:tc>
          <w:tcPr>
            <w:tcW w:type="dxa" w:w="5083"/>
            <w:vAlign w:val="center"/>
          </w:tcPr>
          <w:p>
            <w:pPr>
              <w:spacing w:after="20"/>
            </w:pPr>
            <w:r/>
            <w:r>
              <w:rPr>
                <w:rFonts w:ascii="Aptos" w:hAnsi="Aptos"/>
                <w:b w:val="0"/>
                <w:sz w:val="16"/>
              </w:rPr>
              <w:t>Bank has acknowledged or otherwise confirmed processing.</w:t>
            </w:r>
          </w:p>
        </w:tc>
      </w:tr>
      <w:tr>
        <w:tc>
          <w:tcPr>
            <w:tcW w:type="dxa" w:w="5083"/>
            <w:vAlign w:val="center"/>
            <w:shd w:fill="F2F6FA"/>
          </w:tcPr>
          <w:p>
            <w:pPr>
              <w:spacing w:after="20"/>
            </w:pPr>
            <w:r/>
            <w:r>
              <w:rPr>
                <w:rFonts w:ascii="Aptos" w:hAnsi="Aptos"/>
                <w:b w:val="0"/>
                <w:sz w:val="16"/>
              </w:rPr>
              <w:t>Returned / failed</w:t>
            </w:r>
          </w:p>
        </w:tc>
        <w:tc>
          <w:tcPr>
            <w:tcW w:type="dxa" w:w="5083"/>
            <w:vAlign w:val="center"/>
            <w:shd w:fill="F2F6FA"/>
          </w:tcPr>
          <w:p>
            <w:pPr>
              <w:spacing w:after="20"/>
            </w:pPr>
            <w:r/>
            <w:r>
              <w:rPr>
                <w:rFonts w:ascii="Aptos" w:hAnsi="Aptos"/>
                <w:b w:val="0"/>
                <w:sz w:val="16"/>
              </w:rPr>
              <w:t>Bank or channel has returned/failed the attempt; reason and evidence recorded.</w:t>
            </w:r>
          </w:p>
        </w:tc>
      </w:tr>
      <w:tr>
        <w:tc>
          <w:tcPr>
            <w:tcW w:type="dxa" w:w="5083"/>
            <w:vAlign w:val="center"/>
          </w:tcPr>
          <w:p>
            <w:pPr>
              <w:spacing w:after="20"/>
            </w:pPr>
            <w:r/>
            <w:r>
              <w:rPr>
                <w:rFonts w:ascii="Aptos" w:hAnsi="Aptos"/>
                <w:b w:val="0"/>
                <w:sz w:val="16"/>
              </w:rPr>
              <w:t>Bank outcome received</w:t>
            </w:r>
          </w:p>
        </w:tc>
        <w:tc>
          <w:tcPr>
            <w:tcW w:type="dxa" w:w="5083"/>
            <w:vAlign w:val="center"/>
          </w:tcPr>
          <w:p>
            <w:pPr>
              <w:spacing w:after="20"/>
            </w:pPr>
            <w:r/>
            <w:r>
              <w:rPr>
                <w:rFonts w:ascii="Aptos" w:hAnsi="Aptos"/>
                <w:b w:val="0"/>
                <w:sz w:val="16"/>
              </w:rPr>
              <w:t>A bank-confirmed outcome is recorded against this attempt.</w:t>
            </w:r>
          </w:p>
        </w:tc>
      </w:tr>
      <w:tr>
        <w:tc>
          <w:tcPr>
            <w:tcW w:type="dxa" w:w="5083"/>
            <w:vAlign w:val="center"/>
            <w:shd w:fill="F2F6FA"/>
          </w:tcPr>
          <w:p>
            <w:pPr>
              <w:spacing w:after="20"/>
            </w:pPr>
            <w:r/>
            <w:r>
              <w:rPr>
                <w:rFonts w:ascii="Aptos" w:hAnsi="Aptos"/>
                <w:b w:val="0"/>
                <w:sz w:val="16"/>
              </w:rPr>
              <w:t>Superseded / closed</w:t>
            </w:r>
          </w:p>
        </w:tc>
        <w:tc>
          <w:tcPr>
            <w:tcW w:type="dxa" w:w="5083"/>
            <w:vAlign w:val="center"/>
            <w:shd w:fill="F2F6FA"/>
          </w:tcPr>
          <w:p>
            <w:pPr>
              <w:spacing w:after="20"/>
            </w:pPr>
            <w:r/>
            <w:r>
              <w:rPr>
                <w:rFonts w:ascii="Aptos" w:hAnsi="Aptos"/>
                <w:b w:val="0"/>
                <w:sz w:val="16"/>
              </w:rPr>
              <w:t>Attempt is no longer active because of a later attempt, withdrawal or closure; history remains traceable.</w:t>
            </w:r>
          </w:p>
        </w:tc>
      </w:tr>
    </w:tbl>
    <w:p/>
    <w:p>
      <w:pPr>
        <w:pStyle w:val="Heading1"/>
      </w:pPr>
      <w:r>
        <w:t>7. Canonical application lifecycle and status model</w:t>
      </w:r>
    </w:p>
    <w:p>
      <w:r>
        <w:t>Use separate fields for internal workflow state and bank-confirmed status. Customer-facing labels are a presentation layer and must never be used as the system-of-record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Canonical internal state</w:t>
            </w:r>
          </w:p>
        </w:tc>
        <w:tc>
          <w:tcPr>
            <w:tcW w:type="dxa" w:w="3389"/>
            <w:vAlign w:val="center"/>
            <w:shd w:fill="17365D"/>
          </w:tcPr>
          <w:p>
            <w:pPr>
              <w:spacing w:after="20"/>
            </w:pPr>
            <w:r/>
            <w:r>
              <w:rPr>
                <w:rFonts w:ascii="Aptos" w:hAnsi="Aptos"/>
                <w:b/>
                <w:color w:val="FFFFFF"/>
                <w:sz w:val="16"/>
              </w:rPr>
              <w:t>Definition / entry gate</w:t>
            </w:r>
          </w:p>
        </w:tc>
        <w:tc>
          <w:tcPr>
            <w:tcW w:type="dxa" w:w="3389"/>
            <w:vAlign w:val="center"/>
            <w:shd w:fill="17365D"/>
          </w:tcPr>
          <w:p>
            <w:pPr>
              <w:spacing w:after="20"/>
            </w:pPr>
            <w:r/>
            <w:r>
              <w:rPr>
                <w:rFonts w:ascii="Aptos" w:hAnsi="Aptos"/>
                <w:b/>
                <w:color w:val="FFFFFF"/>
                <w:sz w:val="16"/>
              </w:rPr>
              <w:t>Customer-facing label (example)</w:t>
            </w:r>
          </w:p>
        </w:tc>
      </w:tr>
      <w:tr>
        <w:tc>
          <w:tcPr>
            <w:tcW w:type="dxa" w:w="3389"/>
            <w:vAlign w:val="center"/>
          </w:tcPr>
          <w:p>
            <w:pPr>
              <w:spacing w:after="20"/>
            </w:pPr>
            <w:r/>
            <w:r>
              <w:rPr>
                <w:rFonts w:ascii="Aptos" w:hAnsi="Aptos"/>
                <w:b w:val="0"/>
                <w:sz w:val="16"/>
              </w:rPr>
              <w:t>ENQUIRY</w:t>
            </w:r>
          </w:p>
        </w:tc>
        <w:tc>
          <w:tcPr>
            <w:tcW w:type="dxa" w:w="3389"/>
            <w:vAlign w:val="center"/>
          </w:tcPr>
          <w:p>
            <w:pPr>
              <w:spacing w:after="20"/>
            </w:pPr>
            <w:r/>
            <w:r>
              <w:rPr>
                <w:rFonts w:ascii="Aptos" w:hAnsi="Aptos"/>
                <w:b w:val="0"/>
                <w:sz w:val="16"/>
              </w:rPr>
              <w:t>Application record created; no implication of bank receipt.</w:t>
            </w:r>
          </w:p>
        </w:tc>
        <w:tc>
          <w:tcPr>
            <w:tcW w:type="dxa" w:w="3389"/>
            <w:vAlign w:val="center"/>
          </w:tcPr>
          <w:p>
            <w:pPr>
              <w:spacing w:after="20"/>
            </w:pPr>
            <w:r/>
            <w:r>
              <w:rPr>
                <w:rFonts w:ascii="Aptos" w:hAnsi="Aptos"/>
                <w:b w:val="0"/>
                <w:sz w:val="16"/>
              </w:rPr>
              <w:t>Application started</w:t>
            </w:r>
          </w:p>
        </w:tc>
      </w:tr>
      <w:tr>
        <w:tc>
          <w:tcPr>
            <w:tcW w:type="dxa" w:w="3389"/>
            <w:vAlign w:val="center"/>
            <w:shd w:fill="F2F6FA"/>
          </w:tcPr>
          <w:p>
            <w:pPr>
              <w:spacing w:after="20"/>
            </w:pPr>
            <w:r/>
            <w:r>
              <w:rPr>
                <w:rFonts w:ascii="Aptos" w:hAnsi="Aptos"/>
                <w:b w:val="0"/>
                <w:sz w:val="16"/>
              </w:rPr>
              <w:t>CONSENT_PENDING</w:t>
            </w:r>
          </w:p>
        </w:tc>
        <w:tc>
          <w:tcPr>
            <w:tcW w:type="dxa" w:w="3389"/>
            <w:vAlign w:val="center"/>
            <w:shd w:fill="F2F6FA"/>
          </w:tcPr>
          <w:p>
            <w:pPr>
              <w:spacing w:after="20"/>
            </w:pPr>
            <w:r/>
            <w:r>
              <w:rPr>
                <w:rFonts w:ascii="Aptos" w:hAnsi="Aptos"/>
                <w:b w:val="0"/>
                <w:sz w:val="16"/>
              </w:rPr>
              <w:t>Required application consent not yet captured.</w:t>
            </w:r>
          </w:p>
        </w:tc>
        <w:tc>
          <w:tcPr>
            <w:tcW w:type="dxa" w:w="3389"/>
            <w:vAlign w:val="center"/>
            <w:shd w:fill="F2F6FA"/>
          </w:tcPr>
          <w:p>
            <w:pPr>
              <w:spacing w:after="20"/>
            </w:pPr>
            <w:r/>
            <w:r>
              <w:rPr>
                <w:rFonts w:ascii="Aptos" w:hAnsi="Aptos"/>
                <w:b w:val="0"/>
                <w:sz w:val="16"/>
              </w:rPr>
              <w:t>Consent needed</w:t>
            </w:r>
          </w:p>
        </w:tc>
      </w:tr>
      <w:tr>
        <w:tc>
          <w:tcPr>
            <w:tcW w:type="dxa" w:w="3389"/>
            <w:vAlign w:val="center"/>
          </w:tcPr>
          <w:p>
            <w:pPr>
              <w:spacing w:after="20"/>
            </w:pPr>
            <w:r/>
            <w:r>
              <w:rPr>
                <w:rFonts w:ascii="Aptos" w:hAnsi="Aptos"/>
                <w:b w:val="0"/>
                <w:sz w:val="16"/>
              </w:rPr>
              <w:t>PROFILE_IN_PROGRESS</w:t>
            </w:r>
          </w:p>
        </w:tc>
        <w:tc>
          <w:tcPr>
            <w:tcW w:type="dxa" w:w="3389"/>
            <w:vAlign w:val="center"/>
          </w:tcPr>
          <w:p>
            <w:pPr>
              <w:spacing w:after="20"/>
            </w:pPr>
            <w:r/>
            <w:r>
              <w:rPr>
                <w:rFonts w:ascii="Aptos" w:hAnsi="Aptos"/>
                <w:b w:val="0"/>
                <w:sz w:val="16"/>
              </w:rPr>
              <w:t>Required profile fields incomplete.</w:t>
            </w:r>
          </w:p>
        </w:tc>
        <w:tc>
          <w:tcPr>
            <w:tcW w:type="dxa" w:w="3389"/>
            <w:vAlign w:val="center"/>
          </w:tcPr>
          <w:p>
            <w:pPr>
              <w:spacing w:after="20"/>
            </w:pPr>
            <w:r/>
            <w:r>
              <w:rPr>
                <w:rFonts w:ascii="Aptos" w:hAnsi="Aptos"/>
                <w:b w:val="0"/>
                <w:sz w:val="16"/>
              </w:rPr>
              <w:t>Details needed</w:t>
            </w:r>
          </w:p>
        </w:tc>
      </w:tr>
      <w:tr>
        <w:tc>
          <w:tcPr>
            <w:tcW w:type="dxa" w:w="3389"/>
            <w:vAlign w:val="center"/>
            <w:shd w:fill="F2F6FA"/>
          </w:tcPr>
          <w:p>
            <w:pPr>
              <w:spacing w:after="20"/>
            </w:pPr>
            <w:r/>
            <w:r>
              <w:rPr>
                <w:rFonts w:ascii="Aptos" w:hAnsi="Aptos"/>
                <w:b w:val="0"/>
                <w:sz w:val="16"/>
              </w:rPr>
              <w:t>DOCUMENTS_PENDING</w:t>
            </w:r>
          </w:p>
        </w:tc>
        <w:tc>
          <w:tcPr>
            <w:tcW w:type="dxa" w:w="3389"/>
            <w:vAlign w:val="center"/>
            <w:shd w:fill="F2F6FA"/>
          </w:tcPr>
          <w:p>
            <w:pPr>
              <w:spacing w:after="20"/>
            </w:pPr>
            <w:r/>
            <w:r>
              <w:rPr>
                <w:rFonts w:ascii="Aptos" w:hAnsi="Aptos"/>
                <w:b w:val="0"/>
                <w:sz w:val="16"/>
              </w:rPr>
              <w:t>Required documents missing or invalid.</w:t>
            </w:r>
          </w:p>
        </w:tc>
        <w:tc>
          <w:tcPr>
            <w:tcW w:type="dxa" w:w="3389"/>
            <w:vAlign w:val="center"/>
            <w:shd w:fill="F2F6FA"/>
          </w:tcPr>
          <w:p>
            <w:pPr>
              <w:spacing w:after="20"/>
            </w:pPr>
            <w:r/>
            <w:r>
              <w:rPr>
                <w:rFonts w:ascii="Aptos" w:hAnsi="Aptos"/>
                <w:b w:val="0"/>
                <w:sz w:val="16"/>
              </w:rPr>
              <w:t>Documents needed</w:t>
            </w:r>
          </w:p>
        </w:tc>
      </w:tr>
      <w:tr>
        <w:tc>
          <w:tcPr>
            <w:tcW w:type="dxa" w:w="3389"/>
            <w:vAlign w:val="center"/>
          </w:tcPr>
          <w:p>
            <w:pPr>
              <w:spacing w:after="20"/>
            </w:pPr>
            <w:r/>
            <w:r>
              <w:rPr>
                <w:rFonts w:ascii="Aptos" w:hAnsi="Aptos"/>
                <w:b w:val="0"/>
                <w:sz w:val="16"/>
              </w:rPr>
              <w:t>VERIFICATION_REVIEW</w:t>
            </w:r>
          </w:p>
        </w:tc>
        <w:tc>
          <w:tcPr>
            <w:tcW w:type="dxa" w:w="3389"/>
            <w:vAlign w:val="center"/>
          </w:tcPr>
          <w:p>
            <w:pPr>
              <w:spacing w:after="20"/>
            </w:pPr>
            <w:r/>
            <w:r>
              <w:rPr>
                <w:rFonts w:ascii="Aptos" w:hAnsi="Aptos"/>
                <w:b w:val="0"/>
                <w:sz w:val="16"/>
              </w:rPr>
              <w:t>Internal data-quality/document review in progress.</w:t>
            </w:r>
          </w:p>
        </w:tc>
        <w:tc>
          <w:tcPr>
            <w:tcW w:type="dxa" w:w="3389"/>
            <w:vAlign w:val="center"/>
          </w:tcPr>
          <w:p>
            <w:pPr>
              <w:spacing w:after="20"/>
            </w:pPr>
            <w:r/>
            <w:r>
              <w:rPr>
                <w:rFonts w:ascii="Aptos" w:hAnsi="Aptos"/>
                <w:b w:val="0"/>
                <w:sz w:val="16"/>
              </w:rPr>
              <w:t>Under review by Loans4India</w:t>
            </w:r>
          </w:p>
        </w:tc>
      </w:tr>
      <w:tr>
        <w:tc>
          <w:tcPr>
            <w:tcW w:type="dxa" w:w="3389"/>
            <w:vAlign w:val="center"/>
            <w:shd w:fill="F2F6FA"/>
          </w:tcPr>
          <w:p>
            <w:pPr>
              <w:spacing w:after="20"/>
            </w:pPr>
            <w:r/>
            <w:r>
              <w:rPr>
                <w:rFonts w:ascii="Aptos" w:hAnsi="Aptos"/>
                <w:b w:val="0"/>
                <w:sz w:val="16"/>
              </w:rPr>
              <w:t>ACTION_NEEDED</w:t>
            </w:r>
          </w:p>
        </w:tc>
        <w:tc>
          <w:tcPr>
            <w:tcW w:type="dxa" w:w="3389"/>
            <w:vAlign w:val="center"/>
            <w:shd w:fill="F2F6FA"/>
          </w:tcPr>
          <w:p>
            <w:pPr>
              <w:spacing w:after="20"/>
            </w:pPr>
            <w:r/>
            <w:r>
              <w:rPr>
                <w:rFonts w:ascii="Aptos" w:hAnsi="Aptos"/>
                <w:b w:val="0"/>
                <w:sz w:val="16"/>
              </w:rPr>
              <w:t>Applicant action required, with reason and task.</w:t>
            </w:r>
          </w:p>
        </w:tc>
        <w:tc>
          <w:tcPr>
            <w:tcW w:type="dxa" w:w="3389"/>
            <w:vAlign w:val="center"/>
            <w:shd w:fill="F2F6FA"/>
          </w:tcPr>
          <w:p>
            <w:pPr>
              <w:spacing w:after="20"/>
            </w:pPr>
            <w:r/>
            <w:r>
              <w:rPr>
                <w:rFonts w:ascii="Aptos" w:hAnsi="Aptos"/>
                <w:b w:val="0"/>
                <w:sz w:val="16"/>
              </w:rPr>
              <w:t>Action needed</w:t>
            </w:r>
          </w:p>
        </w:tc>
      </w:tr>
      <w:tr>
        <w:tc>
          <w:tcPr>
            <w:tcW w:type="dxa" w:w="3389"/>
            <w:vAlign w:val="center"/>
          </w:tcPr>
          <w:p>
            <w:pPr>
              <w:spacing w:after="20"/>
            </w:pPr>
            <w:r/>
            <w:r>
              <w:rPr>
                <w:rFonts w:ascii="Aptos" w:hAnsi="Aptos"/>
                <w:b w:val="0"/>
                <w:sz w:val="16"/>
              </w:rPr>
              <w:t>APPLICATION_PREPARATION</w:t>
            </w:r>
          </w:p>
        </w:tc>
        <w:tc>
          <w:tcPr>
            <w:tcW w:type="dxa" w:w="3389"/>
            <w:vAlign w:val="center"/>
          </w:tcPr>
          <w:p>
            <w:pPr>
              <w:spacing w:after="20"/>
            </w:pPr>
            <w:r/>
            <w:r>
              <w:rPr>
                <w:rFonts w:ascii="Aptos" w:hAnsi="Aptos"/>
                <w:b w:val="0"/>
                <w:sz w:val="16"/>
              </w:rPr>
              <w:t>Mapping to selected bank/product requirements.</w:t>
            </w:r>
          </w:p>
        </w:tc>
        <w:tc>
          <w:tcPr>
            <w:tcW w:type="dxa" w:w="3389"/>
            <w:vAlign w:val="center"/>
          </w:tcPr>
          <w:p>
            <w:pPr>
              <w:spacing w:after="20"/>
            </w:pPr>
            <w:r/>
            <w:r>
              <w:rPr>
                <w:rFonts w:ascii="Aptos" w:hAnsi="Aptos"/>
                <w:b w:val="0"/>
                <w:sz w:val="16"/>
              </w:rPr>
              <w:t>Application being prepared</w:t>
            </w:r>
          </w:p>
        </w:tc>
      </w:tr>
      <w:tr>
        <w:tc>
          <w:tcPr>
            <w:tcW w:type="dxa" w:w="3389"/>
            <w:vAlign w:val="center"/>
            <w:shd w:fill="F2F6FA"/>
          </w:tcPr>
          <w:p>
            <w:pPr>
              <w:spacing w:after="20"/>
            </w:pPr>
            <w:r/>
            <w:r>
              <w:rPr>
                <w:rFonts w:ascii="Aptos" w:hAnsi="Aptos"/>
                <w:b w:val="0"/>
                <w:sz w:val="16"/>
              </w:rPr>
              <w:t>INTERNAL_REVIEW</w:t>
            </w:r>
          </w:p>
        </w:tc>
        <w:tc>
          <w:tcPr>
            <w:tcW w:type="dxa" w:w="3389"/>
            <w:vAlign w:val="center"/>
            <w:shd w:fill="F2F6FA"/>
          </w:tcPr>
          <w:p>
            <w:pPr>
              <w:spacing w:after="20"/>
            </w:pPr>
            <w:r/>
            <w:r>
              <w:rPr>
                <w:rFonts w:ascii="Aptos" w:hAnsi="Aptos"/>
                <w:b w:val="0"/>
                <w:sz w:val="16"/>
              </w:rPr>
              <w:t>Second-person or configured reviewer sign-off required.</w:t>
            </w:r>
          </w:p>
        </w:tc>
        <w:tc>
          <w:tcPr>
            <w:tcW w:type="dxa" w:w="3389"/>
            <w:vAlign w:val="center"/>
            <w:shd w:fill="F2F6FA"/>
          </w:tcPr>
          <w:p>
            <w:pPr>
              <w:spacing w:after="20"/>
            </w:pPr>
            <w:r/>
            <w:r>
              <w:rPr>
                <w:rFonts w:ascii="Aptos" w:hAnsi="Aptos"/>
                <w:b w:val="0"/>
                <w:sz w:val="16"/>
              </w:rPr>
              <w:t>Final internal review</w:t>
            </w:r>
          </w:p>
        </w:tc>
      </w:tr>
      <w:tr>
        <w:tc>
          <w:tcPr>
            <w:tcW w:type="dxa" w:w="3389"/>
            <w:vAlign w:val="center"/>
          </w:tcPr>
          <w:p>
            <w:pPr>
              <w:spacing w:after="20"/>
            </w:pPr>
            <w:r/>
            <w:r>
              <w:rPr>
                <w:rFonts w:ascii="Aptos" w:hAnsi="Aptos"/>
                <w:b w:val="0"/>
                <w:sz w:val="16"/>
              </w:rPr>
              <w:t>READY_FOR_BANK</w:t>
            </w:r>
          </w:p>
        </w:tc>
        <w:tc>
          <w:tcPr>
            <w:tcW w:type="dxa" w:w="3389"/>
            <w:vAlign w:val="center"/>
          </w:tcPr>
          <w:p>
            <w:pPr>
              <w:spacing w:after="20"/>
            </w:pPr>
            <w:r/>
            <w:r>
              <w:rPr>
                <w:rFonts w:ascii="Aptos" w:hAnsi="Aptos"/>
                <w:b w:val="0"/>
                <w:sz w:val="16"/>
              </w:rPr>
              <w:t>Package complete, approved, named-bank consent valid, and authorised route configured.</w:t>
            </w:r>
          </w:p>
        </w:tc>
        <w:tc>
          <w:tcPr>
            <w:tcW w:type="dxa" w:w="3389"/>
            <w:vAlign w:val="center"/>
          </w:tcPr>
          <w:p>
            <w:pPr>
              <w:spacing w:after="20"/>
            </w:pPr>
            <w:r/>
            <w:r>
              <w:rPr>
                <w:rFonts w:ascii="Aptos" w:hAnsi="Aptos"/>
                <w:b w:val="0"/>
                <w:sz w:val="16"/>
              </w:rPr>
              <w:t>Your application is ready to send to the bank</w:t>
            </w:r>
          </w:p>
        </w:tc>
      </w:tr>
      <w:tr>
        <w:tc>
          <w:tcPr>
            <w:tcW w:type="dxa" w:w="3389"/>
            <w:vAlign w:val="center"/>
            <w:shd w:fill="F2F6FA"/>
          </w:tcPr>
          <w:p>
            <w:pPr>
              <w:spacing w:after="20"/>
            </w:pPr>
            <w:r/>
            <w:r>
              <w:rPr>
                <w:rFonts w:ascii="Aptos" w:hAnsi="Aptos"/>
                <w:b w:val="0"/>
                <w:sz w:val="16"/>
              </w:rPr>
              <w:t>ON_HOLD</w:t>
            </w:r>
          </w:p>
        </w:tc>
        <w:tc>
          <w:tcPr>
            <w:tcW w:type="dxa" w:w="3389"/>
            <w:vAlign w:val="center"/>
            <w:shd w:fill="F2F6FA"/>
          </w:tcPr>
          <w:p>
            <w:pPr>
              <w:spacing w:after="20"/>
            </w:pPr>
            <w:r/>
            <w:r>
              <w:rPr>
                <w:rFonts w:ascii="Aptos" w:hAnsi="Aptos"/>
                <w:b w:val="0"/>
                <w:sz w:val="16"/>
              </w:rPr>
              <w:t>Temporarily paused with reason, owner, review date and release authority.</w:t>
            </w:r>
          </w:p>
        </w:tc>
        <w:tc>
          <w:tcPr>
            <w:tcW w:type="dxa" w:w="3389"/>
            <w:vAlign w:val="center"/>
            <w:shd w:fill="F2F6FA"/>
          </w:tcPr>
          <w:p>
            <w:pPr>
              <w:spacing w:after="20"/>
            </w:pPr>
            <w:r/>
            <w:r>
              <w:rPr>
                <w:rFonts w:ascii="Aptos" w:hAnsi="Aptos"/>
                <w:b w:val="0"/>
                <w:sz w:val="16"/>
              </w:rPr>
              <w:t>Application temporarily on hold</w:t>
            </w:r>
          </w:p>
        </w:tc>
      </w:tr>
      <w:tr>
        <w:tc>
          <w:tcPr>
            <w:tcW w:type="dxa" w:w="3389"/>
            <w:vAlign w:val="center"/>
          </w:tcPr>
          <w:p>
            <w:pPr>
              <w:spacing w:after="20"/>
            </w:pPr>
            <w:r/>
            <w:r>
              <w:rPr>
                <w:rFonts w:ascii="Aptos" w:hAnsi="Aptos"/>
                <w:b w:val="0"/>
                <w:sz w:val="16"/>
              </w:rPr>
              <w:t>SUBMITTED_TO_BANK</w:t>
            </w:r>
          </w:p>
        </w:tc>
        <w:tc>
          <w:tcPr>
            <w:tcW w:type="dxa" w:w="3389"/>
            <w:vAlign w:val="center"/>
          </w:tcPr>
          <w:p>
            <w:pPr>
              <w:spacing w:after="20"/>
            </w:pPr>
            <w:r/>
            <w:r>
              <w:rPr>
                <w:rFonts w:ascii="Aptos" w:hAnsi="Aptos"/>
                <w:b w:val="0"/>
                <w:sz w:val="16"/>
              </w:rPr>
              <w:t>Attempt-specific submission evidence recorded.</w:t>
            </w:r>
          </w:p>
        </w:tc>
        <w:tc>
          <w:tcPr>
            <w:tcW w:type="dxa" w:w="3389"/>
            <w:vAlign w:val="center"/>
          </w:tcPr>
          <w:p>
            <w:pPr>
              <w:spacing w:after="20"/>
            </w:pPr>
            <w:r/>
            <w:r>
              <w:rPr>
                <w:rFonts w:ascii="Aptos" w:hAnsi="Aptos"/>
                <w:b w:val="0"/>
                <w:sz w:val="16"/>
              </w:rPr>
              <w:t>Submitted to [Bank]</w:t>
            </w:r>
          </w:p>
        </w:tc>
      </w:tr>
      <w:tr>
        <w:tc>
          <w:tcPr>
            <w:tcW w:type="dxa" w:w="3389"/>
            <w:vAlign w:val="center"/>
            <w:shd w:fill="F2F6FA"/>
          </w:tcPr>
          <w:p>
            <w:pPr>
              <w:spacing w:after="20"/>
            </w:pPr>
            <w:r/>
            <w:r>
              <w:rPr>
                <w:rFonts w:ascii="Aptos" w:hAnsi="Aptos"/>
                <w:b w:val="0"/>
                <w:sz w:val="16"/>
              </w:rPr>
              <w:t>BANK_PROCESSING</w:t>
            </w:r>
          </w:p>
        </w:tc>
        <w:tc>
          <w:tcPr>
            <w:tcW w:type="dxa" w:w="3389"/>
            <w:vAlign w:val="center"/>
            <w:shd w:fill="F2F6FA"/>
          </w:tcPr>
          <w:p>
            <w:pPr>
              <w:spacing w:after="20"/>
            </w:pPr>
            <w:r/>
            <w:r>
              <w:rPr>
                <w:rFonts w:ascii="Aptos" w:hAnsi="Aptos"/>
                <w:b w:val="0"/>
                <w:sz w:val="16"/>
              </w:rPr>
              <w:t>Bank-confirmed processing state only.</w:t>
            </w:r>
          </w:p>
        </w:tc>
        <w:tc>
          <w:tcPr>
            <w:tcW w:type="dxa" w:w="3389"/>
            <w:vAlign w:val="center"/>
            <w:shd w:fill="F2F6FA"/>
          </w:tcPr>
          <w:p>
            <w:pPr>
              <w:spacing w:after="20"/>
            </w:pPr>
            <w:r/>
            <w:r>
              <w:rPr>
                <w:rFonts w:ascii="Aptos" w:hAnsi="Aptos"/>
                <w:b w:val="0"/>
                <w:sz w:val="16"/>
              </w:rPr>
              <w:t>[Bank] is reviewing your application</w:t>
            </w:r>
          </w:p>
        </w:tc>
      </w:tr>
      <w:tr>
        <w:tc>
          <w:tcPr>
            <w:tcW w:type="dxa" w:w="3389"/>
            <w:vAlign w:val="center"/>
          </w:tcPr>
          <w:p>
            <w:pPr>
              <w:spacing w:after="20"/>
            </w:pPr>
            <w:r/>
            <w:r>
              <w:rPr>
                <w:rFonts w:ascii="Aptos" w:hAnsi="Aptos"/>
                <w:b w:val="0"/>
                <w:sz w:val="16"/>
              </w:rPr>
              <w:t>BANK_QUERY</w:t>
            </w:r>
          </w:p>
        </w:tc>
        <w:tc>
          <w:tcPr>
            <w:tcW w:type="dxa" w:w="3389"/>
            <w:vAlign w:val="center"/>
          </w:tcPr>
          <w:p>
            <w:pPr>
              <w:spacing w:after="20"/>
            </w:pPr>
            <w:r/>
            <w:r>
              <w:rPr>
                <w:rFonts w:ascii="Aptos" w:hAnsi="Aptos"/>
                <w:b w:val="0"/>
                <w:sz w:val="16"/>
              </w:rPr>
              <w:t>Bank requests further information; customer task created.</w:t>
            </w:r>
          </w:p>
        </w:tc>
        <w:tc>
          <w:tcPr>
            <w:tcW w:type="dxa" w:w="3389"/>
            <w:vAlign w:val="center"/>
          </w:tcPr>
          <w:p>
            <w:pPr>
              <w:spacing w:after="20"/>
            </w:pPr>
            <w:r/>
            <w:r>
              <w:rPr>
                <w:rFonts w:ascii="Aptos" w:hAnsi="Aptos"/>
                <w:b w:val="0"/>
                <w:sz w:val="16"/>
              </w:rPr>
              <w:t>[Bank] needs more information</w:t>
            </w:r>
          </w:p>
        </w:tc>
      </w:tr>
      <w:tr>
        <w:tc>
          <w:tcPr>
            <w:tcW w:type="dxa" w:w="3389"/>
            <w:vAlign w:val="center"/>
            <w:shd w:fill="F2F6FA"/>
          </w:tcPr>
          <w:p>
            <w:pPr>
              <w:spacing w:after="20"/>
            </w:pPr>
            <w:r/>
            <w:r>
              <w:rPr>
                <w:rFonts w:ascii="Aptos" w:hAnsi="Aptos"/>
                <w:b w:val="0"/>
                <w:sz w:val="16"/>
              </w:rPr>
              <w:t>RETURNED_BY_BANK</w:t>
            </w:r>
          </w:p>
        </w:tc>
        <w:tc>
          <w:tcPr>
            <w:tcW w:type="dxa" w:w="3389"/>
            <w:vAlign w:val="center"/>
            <w:shd w:fill="F2F6FA"/>
          </w:tcPr>
          <w:p>
            <w:pPr>
              <w:spacing w:after="20"/>
            </w:pPr>
            <w:r/>
            <w:r>
              <w:rPr>
                <w:rFonts w:ascii="Aptos" w:hAnsi="Aptos"/>
                <w:b w:val="0"/>
                <w:sz w:val="16"/>
              </w:rPr>
              <w:t>Bank returns application/package; reason recorded.</w:t>
            </w:r>
          </w:p>
        </w:tc>
        <w:tc>
          <w:tcPr>
            <w:tcW w:type="dxa" w:w="3389"/>
            <w:vAlign w:val="center"/>
            <w:shd w:fill="F2F6FA"/>
          </w:tcPr>
          <w:p>
            <w:pPr>
              <w:spacing w:after="20"/>
            </w:pPr>
            <w:r/>
            <w:r>
              <w:rPr>
                <w:rFonts w:ascii="Aptos" w:hAnsi="Aptos"/>
                <w:b w:val="0"/>
                <w:sz w:val="16"/>
              </w:rPr>
              <w:t>The bank has requested a correction</w:t>
            </w:r>
          </w:p>
        </w:tc>
      </w:tr>
      <w:tr>
        <w:tc>
          <w:tcPr>
            <w:tcW w:type="dxa" w:w="3389"/>
            <w:vAlign w:val="center"/>
          </w:tcPr>
          <w:p>
            <w:pPr>
              <w:spacing w:after="20"/>
            </w:pPr>
            <w:r/>
            <w:r>
              <w:rPr>
                <w:rFonts w:ascii="Aptos" w:hAnsi="Aptos"/>
                <w:b w:val="0"/>
                <w:sz w:val="16"/>
              </w:rPr>
              <w:t>CLOSED</w:t>
            </w:r>
          </w:p>
        </w:tc>
        <w:tc>
          <w:tcPr>
            <w:tcW w:type="dxa" w:w="3389"/>
            <w:vAlign w:val="center"/>
          </w:tcPr>
          <w:p>
            <w:pPr>
              <w:spacing w:after="20"/>
            </w:pPr>
            <w:r/>
            <w:r>
              <w:rPr>
                <w:rFonts w:ascii="Aptos" w:hAnsi="Aptos"/>
                <w:b w:val="0"/>
                <w:sz w:val="16"/>
              </w:rPr>
              <w:t>Final internal closure with reason and evidence; no active attempt.</w:t>
            </w:r>
          </w:p>
        </w:tc>
        <w:tc>
          <w:tcPr>
            <w:tcW w:type="dxa" w:w="3389"/>
            <w:vAlign w:val="center"/>
          </w:tcPr>
          <w:p>
            <w:pPr>
              <w:spacing w:after="20"/>
            </w:pPr>
            <w:r/>
            <w:r>
              <w:rPr>
                <w:rFonts w:ascii="Aptos" w:hAnsi="Aptos"/>
                <w:b w:val="0"/>
                <w:sz w:val="16"/>
              </w:rPr>
              <w:t>Application closed</w:t>
            </w:r>
          </w:p>
        </w:tc>
      </w:tr>
    </w:tbl>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Bank-confirmed status field</w:t>
            </w:r>
          </w:p>
        </w:tc>
        <w:tc>
          <w:tcPr>
            <w:tcW w:type="dxa" w:w="5083"/>
            <w:vAlign w:val="center"/>
            <w:shd w:fill="17365D"/>
          </w:tcPr>
          <w:p>
            <w:pPr>
              <w:spacing w:after="20"/>
            </w:pPr>
            <w:r/>
            <w:r>
              <w:rPr>
                <w:rFonts w:ascii="Aptos" w:hAnsi="Aptos"/>
                <w:b/>
                <w:color w:val="FFFFFF"/>
                <w:sz w:val="16"/>
              </w:rPr>
              <w:t>Definition / evidence requirement</w:t>
            </w:r>
          </w:p>
        </w:tc>
      </w:tr>
      <w:tr>
        <w:tc>
          <w:tcPr>
            <w:tcW w:type="dxa" w:w="5083"/>
            <w:vAlign w:val="center"/>
          </w:tcPr>
          <w:p>
            <w:pPr>
              <w:spacing w:after="20"/>
            </w:pPr>
            <w:r/>
            <w:r>
              <w:rPr>
                <w:rFonts w:ascii="Aptos" w:hAnsi="Aptos"/>
                <w:b w:val="0"/>
                <w:sz w:val="16"/>
              </w:rPr>
              <w:t>NOT_CONFIRMED</w:t>
            </w:r>
          </w:p>
        </w:tc>
        <w:tc>
          <w:tcPr>
            <w:tcW w:type="dxa" w:w="5083"/>
            <w:vAlign w:val="center"/>
          </w:tcPr>
          <w:p>
            <w:pPr>
              <w:spacing w:after="20"/>
            </w:pPr>
            <w:r/>
            <w:r>
              <w:rPr>
                <w:rFonts w:ascii="Aptos" w:hAnsi="Aptos"/>
                <w:b w:val="0"/>
                <w:sz w:val="16"/>
              </w:rPr>
              <w:t>No bank-side state has been evidenced.</w:t>
            </w:r>
          </w:p>
        </w:tc>
      </w:tr>
      <w:tr>
        <w:tc>
          <w:tcPr>
            <w:tcW w:type="dxa" w:w="5083"/>
            <w:vAlign w:val="center"/>
            <w:shd w:fill="F2F6FA"/>
          </w:tcPr>
          <w:p>
            <w:pPr>
              <w:spacing w:after="20"/>
            </w:pPr>
            <w:r/>
            <w:r>
              <w:rPr>
                <w:rFonts w:ascii="Aptos" w:hAnsi="Aptos"/>
                <w:b w:val="0"/>
                <w:sz w:val="16"/>
              </w:rPr>
              <w:t>RECEIVED / ACKNOWLEDGED</w:t>
            </w:r>
          </w:p>
        </w:tc>
        <w:tc>
          <w:tcPr>
            <w:tcW w:type="dxa" w:w="5083"/>
            <w:vAlign w:val="center"/>
            <w:shd w:fill="F2F6FA"/>
          </w:tcPr>
          <w:p>
            <w:pPr>
              <w:spacing w:after="20"/>
            </w:pPr>
            <w:r/>
            <w:r>
              <w:rPr>
                <w:rFonts w:ascii="Aptos" w:hAnsi="Aptos"/>
                <w:b w:val="0"/>
                <w:sz w:val="16"/>
              </w:rPr>
              <w:t>Bank reference, portal receipt, MIS record or approved acknowledgement is retained.</w:t>
            </w:r>
          </w:p>
        </w:tc>
      </w:tr>
      <w:tr>
        <w:tc>
          <w:tcPr>
            <w:tcW w:type="dxa" w:w="5083"/>
            <w:vAlign w:val="center"/>
          </w:tcPr>
          <w:p>
            <w:pPr>
              <w:spacing w:after="20"/>
            </w:pPr>
            <w:r/>
            <w:r>
              <w:rPr>
                <w:rFonts w:ascii="Aptos" w:hAnsi="Aptos"/>
                <w:b w:val="0"/>
                <w:sz w:val="16"/>
              </w:rPr>
              <w:t>PROCESSING</w:t>
            </w:r>
          </w:p>
        </w:tc>
        <w:tc>
          <w:tcPr>
            <w:tcW w:type="dxa" w:w="5083"/>
            <w:vAlign w:val="center"/>
          </w:tcPr>
          <w:p>
            <w:pPr>
              <w:spacing w:after="20"/>
            </w:pPr>
            <w:r/>
            <w:r>
              <w:rPr>
                <w:rFonts w:ascii="Aptos" w:hAnsi="Aptos"/>
                <w:b w:val="0"/>
                <w:sz w:val="16"/>
              </w:rPr>
              <w:t>Bank reports the application is under processing.</w:t>
            </w:r>
          </w:p>
        </w:tc>
      </w:tr>
      <w:tr>
        <w:tc>
          <w:tcPr>
            <w:tcW w:type="dxa" w:w="5083"/>
            <w:vAlign w:val="center"/>
            <w:shd w:fill="F2F6FA"/>
          </w:tcPr>
          <w:p>
            <w:pPr>
              <w:spacing w:after="20"/>
            </w:pPr>
            <w:r/>
            <w:r>
              <w:rPr>
                <w:rFonts w:ascii="Aptos" w:hAnsi="Aptos"/>
                <w:b w:val="0"/>
                <w:sz w:val="16"/>
              </w:rPr>
              <w:t>QUERY / INFORMATION_REQUIRED</w:t>
            </w:r>
          </w:p>
        </w:tc>
        <w:tc>
          <w:tcPr>
            <w:tcW w:type="dxa" w:w="5083"/>
            <w:vAlign w:val="center"/>
            <w:shd w:fill="F2F6FA"/>
          </w:tcPr>
          <w:p>
            <w:pPr>
              <w:spacing w:after="20"/>
            </w:pPr>
            <w:r/>
            <w:r>
              <w:rPr>
                <w:rFonts w:ascii="Aptos" w:hAnsi="Aptos"/>
                <w:b w:val="0"/>
                <w:sz w:val="16"/>
              </w:rPr>
              <w:t>Bank reports additional information is required.</w:t>
            </w:r>
          </w:p>
        </w:tc>
      </w:tr>
      <w:tr>
        <w:tc>
          <w:tcPr>
            <w:tcW w:type="dxa" w:w="5083"/>
            <w:vAlign w:val="center"/>
          </w:tcPr>
          <w:p>
            <w:pPr>
              <w:spacing w:after="20"/>
            </w:pPr>
            <w:r/>
            <w:r>
              <w:rPr>
                <w:rFonts w:ascii="Aptos" w:hAnsi="Aptos"/>
                <w:b w:val="0"/>
                <w:sz w:val="16"/>
              </w:rPr>
              <w:t>CONDITIONAL / IN_PRINCIPLE</w:t>
            </w:r>
          </w:p>
        </w:tc>
        <w:tc>
          <w:tcPr>
            <w:tcW w:type="dxa" w:w="5083"/>
            <w:vAlign w:val="center"/>
          </w:tcPr>
          <w:p>
            <w:pPr>
              <w:spacing w:after="20"/>
            </w:pPr>
            <w:r/>
            <w:r>
              <w:rPr>
                <w:rFonts w:ascii="Aptos" w:hAnsi="Aptos"/>
                <w:b w:val="0"/>
                <w:sz w:val="16"/>
              </w:rPr>
              <w:t>Bank reports a conditional or in-principle outcome; not equivalent to sanction.</w:t>
            </w:r>
          </w:p>
        </w:tc>
      </w:tr>
      <w:tr>
        <w:tc>
          <w:tcPr>
            <w:tcW w:type="dxa" w:w="5083"/>
            <w:vAlign w:val="center"/>
            <w:shd w:fill="F2F6FA"/>
          </w:tcPr>
          <w:p>
            <w:pPr>
              <w:spacing w:after="20"/>
            </w:pPr>
            <w:r/>
            <w:r>
              <w:rPr>
                <w:rFonts w:ascii="Aptos" w:hAnsi="Aptos"/>
                <w:b w:val="0"/>
                <w:sz w:val="16"/>
              </w:rPr>
              <w:t>SANCTIONED</w:t>
            </w:r>
          </w:p>
        </w:tc>
        <w:tc>
          <w:tcPr>
            <w:tcW w:type="dxa" w:w="5083"/>
            <w:vAlign w:val="center"/>
            <w:shd w:fill="F2F6FA"/>
          </w:tcPr>
          <w:p>
            <w:pPr>
              <w:spacing w:after="20"/>
            </w:pPr>
            <w:r/>
            <w:r>
              <w:rPr>
                <w:rFonts w:ascii="Aptos" w:hAnsi="Aptos"/>
                <w:b w:val="0"/>
                <w:sz w:val="16"/>
              </w:rPr>
              <w:t>Formal sanction is confirmed by the bank and evidence is linked.</w:t>
            </w:r>
          </w:p>
        </w:tc>
      </w:tr>
      <w:tr>
        <w:tc>
          <w:tcPr>
            <w:tcW w:type="dxa" w:w="5083"/>
            <w:vAlign w:val="center"/>
          </w:tcPr>
          <w:p>
            <w:pPr>
              <w:spacing w:after="20"/>
            </w:pPr>
            <w:r/>
            <w:r>
              <w:rPr>
                <w:rFonts w:ascii="Aptos" w:hAnsi="Aptos"/>
                <w:b w:val="0"/>
                <w:sz w:val="16"/>
              </w:rPr>
              <w:t>REJECTED</w:t>
            </w:r>
          </w:p>
        </w:tc>
        <w:tc>
          <w:tcPr>
            <w:tcW w:type="dxa" w:w="5083"/>
            <w:vAlign w:val="center"/>
          </w:tcPr>
          <w:p>
            <w:pPr>
              <w:spacing w:after="20"/>
            </w:pPr>
            <w:r/>
            <w:r>
              <w:rPr>
                <w:rFonts w:ascii="Aptos" w:hAnsi="Aptos"/>
                <w:b w:val="0"/>
                <w:sz w:val="16"/>
              </w:rPr>
              <w:t>Rejection is confirmed by the bank; reason retained where lawfully provided.</w:t>
            </w:r>
          </w:p>
        </w:tc>
      </w:tr>
      <w:tr>
        <w:tc>
          <w:tcPr>
            <w:tcW w:type="dxa" w:w="5083"/>
            <w:vAlign w:val="center"/>
            <w:shd w:fill="F2F6FA"/>
          </w:tcPr>
          <w:p>
            <w:pPr>
              <w:spacing w:after="20"/>
            </w:pPr>
            <w:r/>
            <w:r>
              <w:rPr>
                <w:rFonts w:ascii="Aptos" w:hAnsi="Aptos"/>
                <w:b w:val="0"/>
                <w:sz w:val="16"/>
              </w:rPr>
              <w:t>AGREEMENT_COMPLETED</w:t>
            </w:r>
          </w:p>
        </w:tc>
        <w:tc>
          <w:tcPr>
            <w:tcW w:type="dxa" w:w="5083"/>
            <w:vAlign w:val="center"/>
            <w:shd w:fill="F2F6FA"/>
          </w:tcPr>
          <w:p>
            <w:pPr>
              <w:spacing w:after="20"/>
            </w:pPr>
            <w:r/>
            <w:r>
              <w:rPr>
                <w:rFonts w:ascii="Aptos" w:hAnsi="Aptos"/>
                <w:b w:val="0"/>
                <w:sz w:val="16"/>
              </w:rPr>
              <w:t>Bank confirms execution/completion of loan agreement, if reported.</w:t>
            </w:r>
          </w:p>
        </w:tc>
      </w:tr>
      <w:tr>
        <w:tc>
          <w:tcPr>
            <w:tcW w:type="dxa" w:w="5083"/>
            <w:vAlign w:val="center"/>
          </w:tcPr>
          <w:p>
            <w:pPr>
              <w:spacing w:after="20"/>
            </w:pPr>
            <w:r/>
            <w:r>
              <w:rPr>
                <w:rFonts w:ascii="Aptos" w:hAnsi="Aptos"/>
                <w:b w:val="0"/>
                <w:sz w:val="16"/>
              </w:rPr>
              <w:t>DISBURSED</w:t>
            </w:r>
          </w:p>
        </w:tc>
        <w:tc>
          <w:tcPr>
            <w:tcW w:type="dxa" w:w="5083"/>
            <w:vAlign w:val="center"/>
          </w:tcPr>
          <w:p>
            <w:pPr>
              <w:spacing w:after="20"/>
            </w:pPr>
            <w:r/>
            <w:r>
              <w:rPr>
                <w:rFonts w:ascii="Aptos" w:hAnsi="Aptos"/>
                <w:b w:val="0"/>
                <w:sz w:val="16"/>
              </w:rPr>
              <w:t>Bank confirms disbursement; date/reference/amount recorded as permitted.</w:t>
            </w:r>
          </w:p>
        </w:tc>
      </w:tr>
      <w:tr>
        <w:tc>
          <w:tcPr>
            <w:tcW w:type="dxa" w:w="5083"/>
            <w:vAlign w:val="center"/>
            <w:shd w:fill="F2F6FA"/>
          </w:tcPr>
          <w:p>
            <w:pPr>
              <w:spacing w:after="20"/>
            </w:pPr>
            <w:r/>
            <w:r>
              <w:rPr>
                <w:rFonts w:ascii="Aptos" w:hAnsi="Aptos"/>
                <w:b w:val="0"/>
                <w:sz w:val="16"/>
              </w:rPr>
              <w:t>CANCELLED / WITHDRAWN_BY_BANK</w:t>
            </w:r>
          </w:p>
        </w:tc>
        <w:tc>
          <w:tcPr>
            <w:tcW w:type="dxa" w:w="5083"/>
            <w:vAlign w:val="center"/>
            <w:shd w:fill="F2F6FA"/>
          </w:tcPr>
          <w:p>
            <w:pPr>
              <w:spacing w:after="20"/>
            </w:pPr>
            <w:r/>
            <w:r>
              <w:rPr>
                <w:rFonts w:ascii="Aptos" w:hAnsi="Aptos"/>
                <w:b w:val="0"/>
                <w:sz w:val="16"/>
              </w:rPr>
              <w:t>Bank confirms cancellation/withdrawal, where applicable.</w:t>
            </w:r>
          </w:p>
        </w:tc>
      </w:tr>
      <w:tr>
        <w:tc>
          <w:tcPr>
            <w:tcW w:type="dxa" w:w="5083"/>
            <w:vAlign w:val="center"/>
          </w:tcPr>
          <w:p>
            <w:pPr>
              <w:spacing w:after="20"/>
            </w:pPr>
            <w:r/>
            <w:r>
              <w:rPr>
                <w:rFonts w:ascii="Aptos" w:hAnsi="Aptos"/>
                <w:b w:val="0"/>
                <w:sz w:val="16"/>
              </w:rPr>
              <w:t>CORRECTION_PENDING</w:t>
            </w:r>
          </w:p>
        </w:tc>
        <w:tc>
          <w:tcPr>
            <w:tcW w:type="dxa" w:w="5083"/>
            <w:vAlign w:val="center"/>
          </w:tcPr>
          <w:p>
            <w:pPr>
              <w:spacing w:after="20"/>
            </w:pPr>
            <w:r/>
            <w:r>
              <w:rPr>
                <w:rFonts w:ascii="Aptos" w:hAnsi="Aptos"/>
                <w:b w:val="0"/>
                <w:sz w:val="16"/>
              </w:rPr>
              <w:t>A previously imported or entered bank status is disputed or under correction; preserve prior value and evidence.</w:t>
            </w:r>
          </w:p>
        </w:tc>
      </w:tr>
    </w:tbl>
    <w:p/>
    <w:p>
      <w:r>
        <w:t>State transitions must be configured and validated. No direct transition to SUBMITTED_TO_BANK without submission evidence; no transition to a bank-confirmed state based only on internal inference; and no overwrite of prior bank evidence. Manual corrections require reason, source evidence, actor and configured approval.</w:t>
      </w:r>
    </w:p>
    <w:p>
      <w:pPr>
        <w:pStyle w:val="Heading1"/>
      </w:pPr>
      <w:r>
        <w:t>8. Abandonment, dormancy, expiry and closure</w:t>
      </w:r>
    </w:p>
    <w:p>
      <w:pPr>
        <w:pStyle w:val="ListBullet"/>
        <w:spacing w:after="40"/>
      </w:pPr>
      <w:r>
        <w:t>Define a configurable dormancy period by product and application stage. The period and number/cadence of reminders are open decisions for product, operations and compliance approval.</w:t>
      </w:r>
    </w:p>
    <w:p>
      <w:pPr>
        <w:pStyle w:val="ListBullet"/>
        <w:spacing w:after="40"/>
      </w:pPr>
      <w:r>
        <w:t>Send reminders only through channels for which the applicant has the relevant contact/notification permission and where the message is permitted. Do not include sensitive application details in message content.</w:t>
      </w:r>
    </w:p>
    <w:p>
      <w:pPr>
        <w:pStyle w:val="ListBullet"/>
        <w:spacing w:after="40"/>
      </w:pPr>
      <w:r>
        <w:t>After the configured dormancy period and reminder sequence, move the application to EXPIRED or CLOSED with a reason and timestamp. Decide whether EXPIRED is a distinct internal state or a closure reason; use one canonical approach consistently.</w:t>
      </w:r>
    </w:p>
    <w:p>
      <w:pPr>
        <w:pStyle w:val="ListBullet"/>
        <w:spacing w:after="40"/>
      </w:pPr>
      <w:r>
        <w:t>Allow a returning applicant to resume only while the application remains resumable and the required consent is still valid. If consent has expired or been revoked, obtain fresh consent before resuming processing or sharing.</w:t>
      </w:r>
    </w:p>
    <w:p>
      <w:pPr>
        <w:pStyle w:val="ListBullet"/>
        <w:spacing w:after="40"/>
      </w:pPr>
      <w:r>
        <w:t>Define whether expired applications can be reopened, which data must be reconfirmed, and whether documents must be re-uploaded due to age or changed bank requirements.</w:t>
      </w:r>
    </w:p>
    <w:p>
      <w:pPr>
        <w:pStyle w:val="ListBullet"/>
        <w:spacing w:after="40"/>
      </w:pPr>
      <w:r>
        <w:t>Purge or restrict data according to the approved retention schedule. Preserve only the minimum necessary audit evidence and any data subject to a validated legal or contractual retention basis.</w:t>
      </w:r>
    </w:p>
    <w:p>
      <w:pPr>
        <w:pStyle w:val="Heading1"/>
      </w:pPr>
      <w:r>
        <w:t>9. DSA back-office operations</w:t>
      </w:r>
    </w:p>
    <w:p>
      <w:pPr>
        <w:pStyle w:val="ListNumber"/>
        <w:spacing w:after="60"/>
      </w:pPr>
      <w:r>
        <w:t>Intake and deduplication: create a unique application ID; flag possible duplicates using approved matching signals. Shared identifiers are indicators for review, not automatic proof of identity.</w:t>
      </w:r>
    </w:p>
    <w:p>
      <w:pPr>
        <w:pStyle w:val="ListNumber"/>
        <w:spacing w:after="60"/>
      </w:pPr>
      <w:r>
        <w:t>Assignment: operations lead assigns an owner and due dates; reassignment is logged with reason.</w:t>
      </w:r>
    </w:p>
    <w:p>
      <w:pPr>
        <w:pStyle w:val="ListNumber"/>
        <w:spacing w:after="60"/>
      </w:pPr>
      <w:r>
        <w:t>Data-quality review: check completeness, readability, expiry and only those identity/data checks expressly permitted under the relevant arrangement.</w:t>
      </w:r>
    </w:p>
    <w:p>
      <w:pPr>
        <w:pStyle w:val="ListNumber"/>
        <w:spacing w:after="60"/>
      </w:pPr>
      <w:r>
        <w:t>Action-needed loop: create reason-coded tasks, notify applicant through permitted channels, track response and return the record to the appropriate review state.</w:t>
      </w:r>
    </w:p>
    <w:p>
      <w:pPr>
        <w:pStyle w:val="ListNumber"/>
        <w:spacing w:after="60"/>
      </w:pPr>
      <w:r>
        <w:t>Application preparation: map canonical data to the versioned bank/product template and produce a package manifest.</w:t>
      </w:r>
    </w:p>
    <w:p>
      <w:pPr>
        <w:pStyle w:val="ListNumber"/>
        <w:spacing w:after="60"/>
      </w:pPr>
      <w:r>
        <w:t>Independent review: a different authorised person approves the package where separation of duties is configured; record reviewer, timestamp, checklist and exceptions.</w:t>
      </w:r>
    </w:p>
    <w:p>
      <w:pPr>
        <w:pStyle w:val="ListNumber"/>
        <w:spacing w:after="60"/>
      </w:pPr>
      <w:r>
        <w:t>Exception management: route suspected fraud, conflicting data, status disputes, consent issues, bank returns and operational failures to dedicated queues; avoid automatic rejection solely from an unverified flag.</w:t>
      </w:r>
    </w:p>
    <w:p>
      <w:pPr>
        <w:pStyle w:val="ListNumber"/>
        <w:spacing w:after="60"/>
      </w:pPr>
      <w:r>
        <w:t>Handoff: only an authorised named operator or approved integration may submit, using the configured bank channel and valid consent/package evidence.</w:t>
      </w:r>
    </w:p>
    <w:p>
      <w:pPr>
        <w:pStyle w:val="ListNumber"/>
        <w:spacing w:after="60"/>
      </w:pPr>
      <w:r>
        <w:t>Post-handoff follow-up: assign a case owner, next follow-up date and escalation rules; monitor stale applications and bank queries.</w:t>
      </w:r>
    </w:p>
    <w:p>
      <w:pPr>
        <w:pStyle w:val="ListNumber"/>
        <w:spacing w:after="60"/>
      </w:pPr>
      <w:r>
        <w:t>Closure: close with a controlled reason, outcome, required applicant communication and retention/purge disposition.</w:t>
      </w:r>
    </w:p>
    <w:p>
      <w:pPr>
        <w:pStyle w:val="Heading1"/>
      </w:pPr>
      <w:r>
        <w:t>10. Data governance, consent and borrower rights</w:t>
      </w:r>
    </w:p>
    <w:p>
      <w:pPr>
        <w:pStyle w:val="Heading2"/>
      </w:pPr>
      <w:r>
        <w:t>10.1 Consent record and purpose control</w:t>
      </w:r>
    </w:p>
    <w:p>
      <w:pPr>
        <w:pStyle w:val="ListBullet"/>
        <w:spacing w:after="40"/>
      </w:pPr>
      <w:r>
        <w:t>Maintain a versioned consent record linked to applicant, application, purpose, data categories, recipient/bank, timestamp, capture channel and consent status.</w:t>
      </w:r>
    </w:p>
    <w:p>
      <w:pPr>
        <w:pStyle w:val="ListBullet"/>
        <w:spacing w:after="40"/>
      </w:pPr>
      <w:r>
        <w:t>Separate application processing consent from optional marketing, affiliate communication and other unrelated permissions.</w:t>
      </w:r>
    </w:p>
    <w:p>
      <w:pPr>
        <w:pStyle w:val="ListBullet"/>
        <w:spacing w:after="40"/>
      </w:pPr>
      <w:r>
        <w:t>Before each bank attempt, verify that consent names the target bank and covers the exact intended sharing purpose and data scope.</w:t>
      </w:r>
    </w:p>
    <w:p>
      <w:pPr>
        <w:pStyle w:val="ListBullet"/>
        <w:spacing w:after="40"/>
      </w:pPr>
      <w:r>
        <w:t>If recipient, purpose, data scope or channel materially changes, stop the affected processing and obtain new or updated consent as required.</w:t>
      </w:r>
    </w:p>
    <w:p>
      <w:pPr>
        <w:pStyle w:val="ListBullet"/>
        <w:spacing w:after="40"/>
      </w:pPr>
      <w:r>
        <w:t>Record withdrawal/revocation as an event; immediately block future sharing and route the application into the approved withdrawal and data-handling workflow.</w:t>
      </w:r>
    </w:p>
    <w:p>
      <w:pPr>
        <w:pStyle w:val="Heading2"/>
      </w:pPr>
      <w:r>
        <w:t>10.2 Data minimisation, storage and localisation</w:t>
      </w:r>
    </w:p>
    <w:p>
      <w:pPr>
        <w:pStyle w:val="ListBullet"/>
        <w:spacing w:after="40"/>
      </w:pPr>
      <w:r>
        <w:t>Collect only fields and documents necessary for the current product and authorised DSA activity. Each bank template should identify mandatory, conditional and optional data.</w:t>
      </w:r>
    </w:p>
    <w:p>
      <w:pPr>
        <w:pStyle w:val="ListBullet"/>
        <w:spacing w:after="40"/>
      </w:pPr>
      <w:r>
        <w:t>Use synthetic/test data until the real-data go-live gate is approved.</w:t>
      </w:r>
    </w:p>
    <w:p>
      <w:pPr>
        <w:pStyle w:val="ListBullet"/>
        <w:spacing w:after="40"/>
      </w:pPr>
      <w:r>
        <w:t>VERIFY: confirm with counsel and the bank whether RBI digital-lending requirements applicable to the final model restrict LSP storage of borrower documents or other data, and whether documents must be bank-hosted, transiently processed or purged after handoff.</w:t>
      </w:r>
    </w:p>
    <w:p>
      <w:pPr>
        <w:pStyle w:val="ListBullet"/>
        <w:spacing w:after="40"/>
      </w:pPr>
      <w:r>
        <w:t>VERIFY: confirm applicable India data-localisation requirements and implement approved hosting, backup, disaster-recovery and support-access locations accordingly.</w:t>
      </w:r>
    </w:p>
    <w:p>
      <w:pPr>
        <w:pStyle w:val="ListBullet"/>
        <w:spacing w:after="40"/>
      </w:pPr>
      <w:r>
        <w:t>VERIFY: prohibit access to contacts, call logs, media or other device resources unless a specifically authorised, necessary and legally validated use case exists. The proposed baseline is not to request such permissions.</w:t>
      </w:r>
    </w:p>
    <w:p>
      <w:pPr>
        <w:pStyle w:val="ListBullet"/>
        <w:spacing w:after="40"/>
      </w:pPr>
      <w:r>
        <w:t>Do not collect or store biometrics under the proposed baseline. VERIFY any future exception with counsel and the relevant regulated entity.</w:t>
      </w:r>
    </w:p>
    <w:p>
      <w:pPr>
        <w:pStyle w:val="ListBullet"/>
        <w:spacing w:after="40"/>
      </w:pPr>
      <w:r>
        <w:t>Aadhaar: do not perform Aadhaar authentication unless the required authority and arrangement exist. Mask Aadhaar and do not store the full number under the proposed baseline.</w:t>
      </w:r>
    </w:p>
    <w:p>
      <w:pPr>
        <w:pStyle w:val="Heading2"/>
      </w:pPr>
      <w:r>
        <w:t>10.3 My Data request flow</w:t>
      </w:r>
    </w:p>
    <w:p>
      <w:pPr>
        <w:pStyle w:val="ListNumber"/>
        <w:spacing w:after="60"/>
      </w:pPr>
      <w:r>
        <w:t>Applicant submits a request through authenticated “My Data” or a supported grievance/contact channel.</w:t>
      </w:r>
    </w:p>
    <w:p>
      <w:pPr>
        <w:pStyle w:val="ListNumber"/>
        <w:spacing w:after="60"/>
      </w:pPr>
      <w:r>
        <w:t>Create a request case with request type, applicant/application references, received time, verification level, owner and target response date.</w:t>
      </w:r>
    </w:p>
    <w:p>
      <w:pPr>
        <w:pStyle w:val="ListNumber"/>
        <w:spacing w:after="60"/>
      </w:pPr>
      <w:r>
        <w:t>Verify the requester proportionately before disclosing or changing personal data. Avoid collecting additional sensitive data unnecessarily.</w:t>
      </w:r>
    </w:p>
    <w:p>
      <w:pPr>
        <w:pStyle w:val="ListNumber"/>
        <w:spacing w:after="60"/>
      </w:pPr>
      <w:r>
        <w:t>Classify the request as access, correction, erasure/deletion, nomination or other applicable request; determine scope and any valid retention/exception basis.</w:t>
      </w:r>
    </w:p>
    <w:p>
      <w:pPr>
        <w:pStyle w:val="ListNumber"/>
        <w:spacing w:after="60"/>
      </w:pPr>
      <w:r>
        <w:t>Route to the responsible data/privacy owner and relevant operations, security or bank-contact owner as needed.</w:t>
      </w:r>
    </w:p>
    <w:p>
      <w:pPr>
        <w:pStyle w:val="ListNumber"/>
        <w:spacing w:after="60"/>
      </w:pPr>
      <w:r>
        <w:t>Fulfil, partially fulfil or decline with documented reasons and appropriate communication, subject to applicable law and contractual duties.</w:t>
      </w:r>
    </w:p>
    <w:p>
      <w:pPr>
        <w:pStyle w:val="ListNumber"/>
        <w:spacing w:after="60"/>
      </w:pPr>
      <w:r>
        <w:t>Record actions, data sources checked, downstream notifications where needed, completion evidence and closure. Retain the minimum necessary request/audit record.</w:t>
      </w:r>
    </w:p>
    <w:p>
      <w:pPr>
        <w:pStyle w:val="Heading2"/>
      </w:pPr>
      <w:r>
        <w:t>10.4 Retention, purge and audit</w:t>
      </w:r>
    </w:p>
    <w:p>
      <w:pPr>
        <w:pStyle w:val="ListBullet"/>
        <w:spacing w:after="40"/>
      </w:pPr>
      <w:r>
        <w:t>Maintain a retention schedule by data category, purpose, application state, recipient and contractual/legal requirement. Periods remain configurable pending validation.</w:t>
      </w:r>
    </w:p>
    <w:p>
      <w:pPr>
        <w:pStyle w:val="ListBullet"/>
        <w:spacing w:after="40"/>
      </w:pPr>
      <w:r>
        <w:t>Define purge for active storage, replicas, derived files, exports, caches and backups; document any technically delayed deletion and its control.</w:t>
      </w:r>
    </w:p>
    <w:p>
      <w:pPr>
        <w:pStyle w:val="ListBullet"/>
        <w:spacing w:after="40"/>
      </w:pPr>
      <w:r>
        <w:t>Where data has already been shared with a bank, master DSA or processor, define notification and coordination responsibilities; do not imply Loans4India can delete another party’s copy.</w:t>
      </w:r>
    </w:p>
    <w:p>
      <w:pPr>
        <w:pStyle w:val="ListBullet"/>
        <w:spacing w:after="40"/>
      </w:pPr>
      <w:r>
        <w:t>Pseudonymise or redact personal identifiers in audit events when personal data is no longer required, while retaining the event history and integrity controls needed for accountability.</w:t>
      </w:r>
    </w:p>
    <w:p>
      <w:pPr>
        <w:pStyle w:val="ListBullet"/>
        <w:spacing w:after="40"/>
      </w:pPr>
      <w:r>
        <w:t>Record purge execution, scope, timestamp, result, exceptions and approving authority. A purge must not silently erase the evidence that the purge occurred.</w:t>
      </w:r>
    </w:p>
    <w:p>
      <w:pPr>
        <w:pStyle w:val="Heading1"/>
      </w:pPr>
      <w:r>
        <w:t>11. Security, PAM and third-party processors</w:t>
      </w:r>
    </w:p>
    <w:p>
      <w:pPr>
        <w:pStyle w:val="ListBullet"/>
        <w:spacing w:after="40"/>
      </w:pPr>
      <w:r>
        <w:t>Enforce deny-by-default RBAC with application, bank, product, geography/team and data-category scopes as applicable; enforce permissions server-side.</w:t>
      </w:r>
    </w:p>
    <w:p>
      <w:pPr>
        <w:pStyle w:val="ListBullet"/>
        <w:spacing w:after="40"/>
      </w:pPr>
      <w:r>
        <w:t>Use named user accounts and named bank-portal credentials. No pooled bank credentials. Apply MFA where supported and approved.</w:t>
      </w:r>
    </w:p>
    <w:p>
      <w:pPr>
        <w:pStyle w:val="ListBullet"/>
        <w:spacing w:after="40"/>
      </w:pPr>
      <w:r>
        <w:t>Use time-bound elevated access for sensitive document access, bulk export, configuration changes and break-glass operations; require reason, approval where configured, and post-event review.</w:t>
      </w:r>
    </w:p>
    <w:p>
      <w:pPr>
        <w:pStyle w:val="ListBullet"/>
        <w:spacing w:after="40"/>
      </w:pPr>
      <w:r>
        <w:t>Encrypt sensitive data in transit and at rest; manage secrets and keys separately from application data; restrict production access.</w:t>
      </w:r>
    </w:p>
    <w:p>
      <w:pPr>
        <w:pStyle w:val="ListBullet"/>
        <w:spacing w:after="40"/>
      </w:pPr>
      <w:r>
        <w:t>Log document views/downloads, exports, permission changes, configuration changes, status changes, approvals, handoffs and privileged actions.</w:t>
      </w:r>
    </w:p>
    <w:p>
      <w:pPr>
        <w:pStyle w:val="ListBullet"/>
        <w:spacing w:after="40"/>
      </w:pPr>
      <w:r>
        <w:t>Control exports with least privilege, purpose/reason capture, row/volume limits, expiry, secure delivery and watermarking where appropriate. CSV export must not be available by default to all admin users.</w:t>
      </w:r>
    </w:p>
    <w:p>
      <w:pPr>
        <w:pStyle w:val="ListBullet"/>
        <w:spacing w:after="40"/>
      </w:pPr>
      <w:r>
        <w:t>Maintain a processor register for cloud hosting, SMS/voice, OTP, OCR, PAN/name verification, analytics and other vendors. Record purpose, data fields, access, hosting location, subcontractors, security review, contract/DPA status and deletion/return terms.</w:t>
      </w:r>
    </w:p>
    <w:p>
      <w:pPr>
        <w:pStyle w:val="ListBullet"/>
        <w:spacing w:after="40"/>
      </w:pPr>
      <w:r>
        <w:t>VERIFY: validate applicable CERT-In incident reporting and log-retention duties, including the stated six-hour reporting window and 180-day log retention, against current directions and Loans4India’s role. Define an incident runbook, decision owner, clock-start criteria, evidence preservation and reporting workflow.</w:t>
      </w:r>
    </w:p>
    <w:p>
      <w:pPr>
        <w:pStyle w:val="ListBullet"/>
        <w:spacing w:after="40"/>
      </w:pPr>
      <w:r>
        <w:t>VERIFY: define personal-data breach assessment, notification, escalation and recordkeeping requirements under the applicable DPDP framework and rules in force at launch.</w:t>
      </w:r>
    </w:p>
    <w:p>
      <w:pPr>
        <w:pStyle w:val="ListBullet"/>
        <w:spacing w:after="40"/>
      </w:pPr>
      <w:r>
        <w:t>Maintain backup/restore, vulnerability management, access review, incident response, business continuity and disaster-recovery procedures.</w:t>
      </w:r>
    </w:p>
    <w:p>
      <w:pPr>
        <w:pStyle w:val="Heading1"/>
      </w:pPr>
      <w:r>
        <w:t>12. Customer communications, notifications and grievances</w:t>
      </w:r>
    </w:p>
    <w:p>
      <w:pPr>
        <w:pStyle w:val="Heading2"/>
      </w:pPr>
      <w:r>
        <w:t>12.1 Communications</w:t>
      </w:r>
    </w:p>
    <w:p>
      <w:pPr>
        <w:pStyle w:val="ListBullet"/>
        <w:spacing w:after="40"/>
      </w:pPr>
      <w:r>
        <w:t>Maintain approved templates for OTP, application progress, Action Needed, bank query, submission confirmation, expiry, withdrawal, grievance acknowledgement and other operational messages.</w:t>
      </w:r>
    </w:p>
    <w:p>
      <w:pPr>
        <w:pStyle w:val="ListBullet"/>
        <w:spacing w:after="40"/>
      </w:pPr>
      <w:r>
        <w:t>Keep application-processing messages distinct from marketing messages and maintain channel-specific preferences and consent where required.</w:t>
      </w:r>
    </w:p>
    <w:p>
      <w:pPr>
        <w:pStyle w:val="ListBullet"/>
        <w:spacing w:after="40"/>
      </w:pPr>
      <w:r>
        <w:t>VERIFY: validate TRAI/DLT requirements applicable to SMS, including registration, headers/sender IDs, templates, consent/preference handling and DND controls.</w:t>
      </w:r>
    </w:p>
    <w:p>
      <w:pPr>
        <w:pStyle w:val="ListBullet"/>
        <w:spacing w:after="40"/>
      </w:pPr>
      <w:r>
        <w:t>VERIFY: validate applicable calling-hour restrictions, DSA conduct requirements, staff scripts/training and permitted call purposes.</w:t>
      </w:r>
    </w:p>
    <w:p>
      <w:pPr>
        <w:pStyle w:val="ListBullet"/>
        <w:spacing w:after="40"/>
      </w:pPr>
      <w:r>
        <w:t>Obtain and record appropriate consent before call recording where required; define recording access, retention, disclosure and deletion controls.</w:t>
      </w:r>
    </w:p>
    <w:p>
      <w:pPr>
        <w:pStyle w:val="ListBullet"/>
        <w:spacing w:after="40"/>
      </w:pPr>
      <w:r>
        <w:t>Maintain message/call attempt logs, delivery outcomes, template version, recipient channel, timestamp and failure handling. Never place full sensitive data in message content.</w:t>
      </w:r>
    </w:p>
    <w:p>
      <w:pPr>
        <w:pStyle w:val="Heading2"/>
      </w:pPr>
      <w:r>
        <w:t>12.2 Complaints and grievance case management</w:t>
      </w:r>
    </w:p>
    <w:p>
      <w:pPr>
        <w:pStyle w:val="ListBullet"/>
        <w:spacing w:after="40"/>
      </w:pPr>
      <w:r>
        <w:t>Provide a clearly disclosed grievance contact/channel and route each complaint to a case queue.</w:t>
      </w:r>
    </w:p>
    <w:p>
      <w:pPr>
        <w:pStyle w:val="ListBullet"/>
        <w:spacing w:after="40"/>
      </w:pPr>
      <w:r>
        <w:t>Capture case ID, applicant reference, issue category, received date, severity, owner, response target, escalation, communication history and resolution evidence.</w:t>
      </w:r>
    </w:p>
    <w:p>
      <w:pPr>
        <w:pStyle w:val="ListBullet"/>
        <w:spacing w:after="40"/>
      </w:pPr>
      <w:r>
        <w:t>Define acknowledgement, response and escalation timelines after validating applicable regulatory and contractual requirements.</w:t>
      </w:r>
    </w:p>
    <w:p>
      <w:pPr>
        <w:pStyle w:val="ListBullet"/>
        <w:spacing w:after="40"/>
      </w:pPr>
      <w:r>
        <w:t>Track overdue cases and recurring root causes; restrict complaint records to authorised roles.</w:t>
      </w:r>
    </w:p>
    <w:p>
      <w:pPr>
        <w:pStyle w:val="ListBullet"/>
        <w:spacing w:after="40"/>
      </w:pPr>
      <w:r>
        <w:t>Publish the grievance officer/contact and applicable disclosures before customer-facing go-live, subject to legal/compliance approval.</w:t>
      </w:r>
    </w:p>
    <w:p>
      <w:pPr>
        <w:pStyle w:val="Heading1"/>
      </w:pPr>
      <w:r>
        <w:t>13. Bank handoff and bank status tracking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Channel</w:t>
            </w:r>
          </w:p>
        </w:tc>
        <w:tc>
          <w:tcPr>
            <w:tcW w:type="dxa" w:w="3389"/>
            <w:vAlign w:val="center"/>
            <w:shd w:fill="17365D"/>
          </w:tcPr>
          <w:p>
            <w:pPr>
              <w:spacing w:after="20"/>
            </w:pPr>
            <w:r/>
            <w:r>
              <w:rPr>
                <w:rFonts w:ascii="Aptos" w:hAnsi="Aptos"/>
                <w:b/>
                <w:color w:val="FFFFFF"/>
                <w:sz w:val="16"/>
              </w:rPr>
              <w:t>Permitted condition</w:t>
            </w:r>
          </w:p>
        </w:tc>
        <w:tc>
          <w:tcPr>
            <w:tcW w:type="dxa" w:w="3389"/>
            <w:vAlign w:val="center"/>
            <w:shd w:fill="17365D"/>
          </w:tcPr>
          <w:p>
            <w:pPr>
              <w:spacing w:after="20"/>
            </w:pPr>
            <w:r/>
            <w:r>
              <w:rPr>
                <w:rFonts w:ascii="Aptos" w:hAnsi="Aptos"/>
                <w:b/>
                <w:color w:val="FFFFFF"/>
                <w:sz w:val="16"/>
              </w:rPr>
              <w:t>Minimum controls</w:t>
            </w:r>
          </w:p>
        </w:tc>
      </w:tr>
      <w:tr>
        <w:tc>
          <w:tcPr>
            <w:tcW w:type="dxa" w:w="3389"/>
            <w:vAlign w:val="center"/>
          </w:tcPr>
          <w:p>
            <w:pPr>
              <w:spacing w:after="20"/>
            </w:pPr>
            <w:r/>
            <w:r>
              <w:rPr>
                <w:rFonts w:ascii="Aptos" w:hAnsi="Aptos"/>
                <w:b w:val="0"/>
                <w:sz w:val="16"/>
              </w:rPr>
              <w:t>Master DSA / sub-DSA / connector</w:t>
            </w:r>
          </w:p>
        </w:tc>
        <w:tc>
          <w:tcPr>
            <w:tcW w:type="dxa" w:w="3389"/>
            <w:vAlign w:val="center"/>
          </w:tcPr>
          <w:p>
            <w:pPr>
              <w:spacing w:after="20"/>
            </w:pPr>
            <w:r/>
            <w:r>
              <w:rPr>
                <w:rFonts w:ascii="Aptos" w:hAnsi="Aptos"/>
                <w:b w:val="0"/>
                <w:sz w:val="16"/>
              </w:rPr>
              <w:t>Only under a validated contractual and data-sharing arrangement.</w:t>
            </w:r>
          </w:p>
        </w:tc>
        <w:tc>
          <w:tcPr>
            <w:tcW w:type="dxa" w:w="3389"/>
            <w:vAlign w:val="center"/>
          </w:tcPr>
          <w:p>
            <w:pPr>
              <w:spacing w:after="20"/>
            </w:pPr>
            <w:r/>
            <w:r>
              <w:rPr>
                <w:rFonts w:ascii="Aptos" w:hAnsi="Aptos"/>
                <w:b w:val="0"/>
                <w:sz w:val="16"/>
              </w:rPr>
              <w:t>Named recipient, permitted purpose, data scope, evidence of receipt, onward-submission responsibility and status feedback path.</w:t>
            </w:r>
          </w:p>
        </w:tc>
      </w:tr>
      <w:tr>
        <w:tc>
          <w:tcPr>
            <w:tcW w:type="dxa" w:w="3389"/>
            <w:vAlign w:val="center"/>
            <w:shd w:fill="F2F6FA"/>
          </w:tcPr>
          <w:p>
            <w:pPr>
              <w:spacing w:after="20"/>
            </w:pPr>
            <w:r/>
            <w:r>
              <w:rPr>
                <w:rFonts w:ascii="Aptos" w:hAnsi="Aptos"/>
                <w:b w:val="0"/>
                <w:sz w:val="16"/>
              </w:rPr>
              <w:t>Authorised manual entry</w:t>
            </w:r>
          </w:p>
        </w:tc>
        <w:tc>
          <w:tcPr>
            <w:tcW w:type="dxa" w:w="3389"/>
            <w:vAlign w:val="center"/>
            <w:shd w:fill="F2F6FA"/>
          </w:tcPr>
          <w:p>
            <w:pPr>
              <w:spacing w:after="20"/>
            </w:pPr>
            <w:r/>
            <w:r>
              <w:rPr>
                <w:rFonts w:ascii="Aptos" w:hAnsi="Aptos"/>
                <w:b w:val="0"/>
                <w:sz w:val="16"/>
              </w:rPr>
              <w:t>Bank has approved DSA portal access and manual entry.</w:t>
            </w:r>
          </w:p>
        </w:tc>
        <w:tc>
          <w:tcPr>
            <w:tcW w:type="dxa" w:w="3389"/>
            <w:vAlign w:val="center"/>
            <w:shd w:fill="F2F6FA"/>
          </w:tcPr>
          <w:p>
            <w:pPr>
              <w:spacing w:after="20"/>
            </w:pPr>
            <w:r/>
            <w:r>
              <w:rPr>
                <w:rFonts w:ascii="Aptos" w:hAnsi="Aptos"/>
                <w:b w:val="0"/>
                <w:sz w:val="16"/>
              </w:rPr>
              <w:t>Named operator, individual credentials, training, package checklist, entry evidence and independent review where configured.</w:t>
            </w:r>
          </w:p>
        </w:tc>
      </w:tr>
      <w:tr>
        <w:tc>
          <w:tcPr>
            <w:tcW w:type="dxa" w:w="3389"/>
            <w:vAlign w:val="center"/>
          </w:tcPr>
          <w:p>
            <w:pPr>
              <w:spacing w:after="20"/>
            </w:pPr>
            <w:r/>
            <w:r>
              <w:rPr>
                <w:rFonts w:ascii="Aptos" w:hAnsi="Aptos"/>
                <w:b w:val="0"/>
                <w:sz w:val="16"/>
              </w:rPr>
              <w:t>Bank portal upload</w:t>
            </w:r>
          </w:p>
        </w:tc>
        <w:tc>
          <w:tcPr>
            <w:tcW w:type="dxa" w:w="3389"/>
            <w:vAlign w:val="center"/>
          </w:tcPr>
          <w:p>
            <w:pPr>
              <w:spacing w:after="20"/>
            </w:pPr>
            <w:r/>
            <w:r>
              <w:rPr>
                <w:rFonts w:ascii="Aptos" w:hAnsi="Aptos"/>
                <w:b w:val="0"/>
                <w:sz w:val="16"/>
              </w:rPr>
              <w:t>Bank portal explicitly supports upload.</w:t>
            </w:r>
          </w:p>
        </w:tc>
        <w:tc>
          <w:tcPr>
            <w:tcW w:type="dxa" w:w="3389"/>
            <w:vAlign w:val="center"/>
          </w:tcPr>
          <w:p>
            <w:pPr>
              <w:spacing w:after="20"/>
            </w:pPr>
            <w:r/>
            <w:r>
              <w:rPr>
                <w:rFonts w:ascii="Aptos" w:hAnsi="Aptos"/>
                <w:b w:val="0"/>
                <w:sz w:val="16"/>
              </w:rPr>
              <w:t>Approved file format, secure transfer, receipt/acknowledgement, duplicate prevention and failure handling.</w:t>
            </w:r>
          </w:p>
        </w:tc>
      </w:tr>
      <w:tr>
        <w:tc>
          <w:tcPr>
            <w:tcW w:type="dxa" w:w="3389"/>
            <w:vAlign w:val="center"/>
            <w:shd w:fill="F2F6FA"/>
          </w:tcPr>
          <w:p>
            <w:pPr>
              <w:spacing w:after="20"/>
            </w:pPr>
            <w:r/>
            <w:r>
              <w:rPr>
                <w:rFonts w:ascii="Aptos" w:hAnsi="Aptos"/>
                <w:b w:val="0"/>
                <w:sz w:val="16"/>
              </w:rPr>
              <w:t>Bulk upload</w:t>
            </w:r>
          </w:p>
        </w:tc>
        <w:tc>
          <w:tcPr>
            <w:tcW w:type="dxa" w:w="3389"/>
            <w:vAlign w:val="center"/>
            <w:shd w:fill="F2F6FA"/>
          </w:tcPr>
          <w:p>
            <w:pPr>
              <w:spacing w:after="20"/>
            </w:pPr>
            <w:r/>
            <w:r>
              <w:rPr>
                <w:rFonts w:ascii="Aptos" w:hAnsi="Aptos"/>
                <w:b w:val="0"/>
                <w:sz w:val="16"/>
              </w:rPr>
              <w:t>Bank authorises batch submission.</w:t>
            </w:r>
          </w:p>
        </w:tc>
        <w:tc>
          <w:tcPr>
            <w:tcW w:type="dxa" w:w="3389"/>
            <w:vAlign w:val="center"/>
            <w:shd w:fill="F2F6FA"/>
          </w:tcPr>
          <w:p>
            <w:pPr>
              <w:spacing w:after="20"/>
            </w:pPr>
            <w:r/>
            <w:r>
              <w:rPr>
                <w:rFonts w:ascii="Aptos" w:hAnsi="Aptos"/>
                <w:b w:val="0"/>
                <w:sz w:val="16"/>
              </w:rPr>
              <w:t>Versioned schema, batch manifest, row-level outcomes, rejected-row handling, reconciliation and replay controls.</w:t>
            </w:r>
          </w:p>
        </w:tc>
      </w:tr>
      <w:tr>
        <w:tc>
          <w:tcPr>
            <w:tcW w:type="dxa" w:w="3389"/>
            <w:vAlign w:val="center"/>
          </w:tcPr>
          <w:p>
            <w:pPr>
              <w:spacing w:after="20"/>
            </w:pPr>
            <w:r/>
            <w:r>
              <w:rPr>
                <w:rFonts w:ascii="Aptos" w:hAnsi="Aptos"/>
                <w:b w:val="0"/>
                <w:sz w:val="16"/>
              </w:rPr>
              <w:t>API integration</w:t>
            </w:r>
          </w:p>
        </w:tc>
        <w:tc>
          <w:tcPr>
            <w:tcW w:type="dxa" w:w="3389"/>
            <w:vAlign w:val="center"/>
          </w:tcPr>
          <w:p>
            <w:pPr>
              <w:spacing w:after="20"/>
            </w:pPr>
            <w:r/>
            <w:r>
              <w:rPr>
                <w:rFonts w:ascii="Aptos" w:hAnsi="Aptos"/>
                <w:b w:val="0"/>
                <w:sz w:val="16"/>
              </w:rPr>
              <w:t>Bank authorises the integration and credentials.</w:t>
            </w:r>
          </w:p>
        </w:tc>
        <w:tc>
          <w:tcPr>
            <w:tcW w:type="dxa" w:w="3389"/>
            <w:vAlign w:val="center"/>
          </w:tcPr>
          <w:p>
            <w:pPr>
              <w:spacing w:after="20"/>
            </w:pPr>
            <w:r/>
            <w:r>
              <w:rPr>
                <w:rFonts w:ascii="Aptos" w:hAnsi="Aptos"/>
                <w:b w:val="0"/>
                <w:sz w:val="16"/>
              </w:rPr>
              <w:t>Contracted API schema, authentication, idempotency, acknowledgement, retries, status mapping, monitoring and reconciliation.</w:t>
            </w:r>
          </w:p>
        </w:tc>
      </w:tr>
    </w:tbl>
    <w:p/>
    <w:p>
      <w:pPr>
        <w:pStyle w:val="ListBullet"/>
        <w:spacing w:after="40"/>
      </w:pPr>
      <w:r>
        <w:t>Do not use RPA or scripted portal entry without the bank’s written approval.</w:t>
      </w:r>
    </w:p>
    <w:p>
      <w:pPr>
        <w:pStyle w:val="ListBullet"/>
        <w:spacing w:after="40"/>
      </w:pPr>
      <w:r>
        <w:t>Mark an attempt SUBMITTED only with a bank reference, acknowledgement or documented confirmation from an authorised operator according to the approved channel procedure.</w:t>
      </w:r>
    </w:p>
    <w:p>
      <w:pPr>
        <w:pStyle w:val="ListBullet"/>
        <w:spacing w:after="40"/>
      </w:pPr>
      <w:r>
        <w:t>MIS imports must retain source file identity, upload actor/time, schema version, row-level match result and original source values. Unmatched or conflicting rows enter an exception queue.</w:t>
      </w:r>
    </w:p>
    <w:p>
      <w:pPr>
        <w:pStyle w:val="ListBullet"/>
        <w:spacing w:after="40"/>
      </w:pPr>
      <w:r>
        <w:t>Bank-confirmed status changes must preserve source, evidence, timestamp, importing operator/system and prior value. Corrections are append-only events or versioned updates, not silent overwrites.</w:t>
      </w:r>
    </w:p>
    <w:p>
      <w:pPr>
        <w:pStyle w:val="ListBullet"/>
        <w:spacing w:after="40"/>
      </w:pPr>
      <w:r>
        <w:t>Bank queries create customer tasks with a named owner, due date and response evidence. Keep the bank query and the platform’s internal Action Needed task distinguishable.</w:t>
      </w:r>
    </w:p>
    <w:p>
      <w:pPr>
        <w:pStyle w:val="Heading1"/>
      </w:pPr>
      <w:r>
        <w:t>14. Commission, affiliate and channel finance</w:t>
      </w:r>
    </w:p>
    <w:p>
      <w:pPr>
        <w:pStyle w:val="ListBullet"/>
        <w:spacing w:after="40"/>
      </w:pPr>
      <w:r>
        <w:t>Configure lender commission terms by executed agreement, bank, product, effective date, qualifying event, calculation basis, payout timing, clawback and permitted charges. Never hardcode assumed rates.</w:t>
      </w:r>
    </w:p>
    <w:p>
      <w:pPr>
        <w:pStyle w:val="ListBullet"/>
        <w:spacing w:after="40"/>
      </w:pPr>
      <w:r>
        <w:t>Track attribution, application ID, attempt ID, bank reference, bank-confirmed approval/disbursement, agreement version, expected receivable, received amount, outstanding amount and discrepancy.</w:t>
      </w:r>
    </w:p>
    <w:p>
      <w:pPr>
        <w:pStyle w:val="ListBullet"/>
        <w:spacing w:after="40"/>
      </w:pPr>
      <w:r>
        <w:t>Import bank MIS and payout files with source provenance, row matching, duplicate detection and exception handling.</w:t>
      </w:r>
    </w:p>
    <w:p>
      <w:pPr>
        <w:pStyle w:val="ListBullet"/>
        <w:spacing w:after="40"/>
      </w:pPr>
      <w:r>
        <w:t>Require controlled approval for manual adjustments, write-offs, clawbacks and reversals; preserve links to original entries.</w:t>
      </w:r>
    </w:p>
    <w:p>
      <w:pPr>
        <w:pStyle w:val="ListBullet"/>
        <w:spacing w:after="40"/>
      </w:pPr>
      <w:r>
        <w:t>Track applicable TDS/GST treatment only after finance/tax validation for the actual transaction and contractual structure.</w:t>
      </w:r>
    </w:p>
    <w:p>
      <w:pPr>
        <w:pStyle w:val="ListBullet"/>
        <w:spacing w:after="40"/>
      </w:pPr>
      <w:r>
        <w:t>Maintain affiliate/channel agreements, attribution windows, payable rules, approval, payout status, disputes, reversals and fraud controls separately from lender commission receivables.</w:t>
      </w:r>
    </w:p>
    <w:p>
      <w:pPr>
        <w:pStyle w:val="ListBullet"/>
        <w:spacing w:after="40"/>
      </w:pPr>
      <w:r>
        <w:t>Do not charge applicants under the proposed lender-paid model unless a separately approved, legally validated and clearly disclosed policy is adopted.</w:t>
      </w:r>
    </w:p>
    <w:p>
      <w:pPr>
        <w:pStyle w:val="Heading1"/>
      </w:pPr>
      <w:r>
        <w:t>15. Roles, RBAC and separation of duties</w:t>
      </w:r>
    </w:p>
    <w:p>
      <w:r>
        <w:t>The target operating model may contain specialist roles, while MVP1 begins with four role groups. The four groups are a release simplification, not permission to grant every capability within a broad role.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6"/>
              </w:rPr>
              <w:t>MVP1 role group</w:t>
            </w:r>
          </w:p>
        </w:tc>
        <w:tc>
          <w:tcPr>
            <w:tcW w:type="dxa" w:w="2541"/>
            <w:vAlign w:val="center"/>
            <w:shd w:fill="17365D"/>
          </w:tcPr>
          <w:p>
            <w:pPr>
              <w:spacing w:after="20"/>
            </w:pPr>
            <w:r/>
            <w:r>
              <w:rPr>
                <w:rFonts w:ascii="Aptos" w:hAnsi="Aptos"/>
                <w:b/>
                <w:color w:val="FFFFFF"/>
                <w:sz w:val="16"/>
              </w:rPr>
              <w:t>Bundled target functions</w:t>
            </w:r>
          </w:p>
        </w:tc>
        <w:tc>
          <w:tcPr>
            <w:tcW w:type="dxa" w:w="2541"/>
            <w:vAlign w:val="center"/>
            <w:shd w:fill="17365D"/>
          </w:tcPr>
          <w:p>
            <w:pPr>
              <w:spacing w:after="20"/>
            </w:pPr>
            <w:r/>
            <w:r>
              <w:rPr>
                <w:rFonts w:ascii="Aptos" w:hAnsi="Aptos"/>
                <w:b/>
                <w:color w:val="FFFFFF"/>
                <w:sz w:val="16"/>
              </w:rPr>
              <w:t>Allowed scope (summary)</w:t>
            </w:r>
          </w:p>
        </w:tc>
        <w:tc>
          <w:tcPr>
            <w:tcW w:type="dxa" w:w="2541"/>
            <w:vAlign w:val="center"/>
            <w:shd w:fill="17365D"/>
          </w:tcPr>
          <w:p>
            <w:pPr>
              <w:spacing w:after="20"/>
            </w:pPr>
            <w:r/>
            <w:r>
              <w:rPr>
                <w:rFonts w:ascii="Aptos" w:hAnsi="Aptos"/>
                <w:b/>
                <w:color w:val="FFFFFF"/>
                <w:sz w:val="16"/>
              </w:rPr>
              <w:t>Explicit restrictions / approvals</w:t>
            </w:r>
          </w:p>
        </w:tc>
      </w:tr>
      <w:tr>
        <w:tc>
          <w:tcPr>
            <w:tcW w:type="dxa" w:w="2541"/>
            <w:vAlign w:val="center"/>
          </w:tcPr>
          <w:p>
            <w:pPr>
              <w:spacing w:after="20"/>
            </w:pPr>
            <w:r/>
            <w:r>
              <w:rPr>
                <w:rFonts w:ascii="Aptos" w:hAnsi="Aptos"/>
                <w:b w:val="0"/>
                <w:sz w:val="16"/>
              </w:rPr>
              <w:t>Admin / PAM Owner</w:t>
            </w:r>
          </w:p>
        </w:tc>
        <w:tc>
          <w:tcPr>
            <w:tcW w:type="dxa" w:w="2541"/>
            <w:vAlign w:val="center"/>
          </w:tcPr>
          <w:p>
            <w:pPr>
              <w:spacing w:after="20"/>
            </w:pPr>
            <w:r/>
            <w:r>
              <w:rPr>
                <w:rFonts w:ascii="Aptos" w:hAnsi="Aptos"/>
                <w:b w:val="0"/>
                <w:sz w:val="16"/>
              </w:rPr>
              <w:t>User Master, System Administrator/PAM Owner</w:t>
            </w:r>
          </w:p>
        </w:tc>
        <w:tc>
          <w:tcPr>
            <w:tcW w:type="dxa" w:w="2541"/>
            <w:vAlign w:val="center"/>
          </w:tcPr>
          <w:p>
            <w:pPr>
              <w:spacing w:after="20"/>
            </w:pPr>
            <w:r/>
            <w:r>
              <w:rPr>
                <w:rFonts w:ascii="Aptos" w:hAnsi="Aptos"/>
                <w:b w:val="0"/>
                <w:sz w:val="16"/>
              </w:rPr>
              <w:t>User and role lifecycle, configuration, access review, audit access and controlled privileged grants.</w:t>
            </w:r>
          </w:p>
        </w:tc>
        <w:tc>
          <w:tcPr>
            <w:tcW w:type="dxa" w:w="2541"/>
            <w:vAlign w:val="center"/>
          </w:tcPr>
          <w:p>
            <w:pPr>
              <w:spacing w:after="20"/>
            </w:pPr>
            <w:r/>
            <w:r>
              <w:rPr>
                <w:rFonts w:ascii="Aptos" w:hAnsi="Aptos"/>
                <w:b w:val="0"/>
                <w:sz w:val="16"/>
              </w:rPr>
              <w:t>Cannot silently edit application or financial records; privileged grants and high-impact configuration require independent approval where configured.</w:t>
            </w:r>
          </w:p>
        </w:tc>
      </w:tr>
      <w:tr>
        <w:tc>
          <w:tcPr>
            <w:tcW w:type="dxa" w:w="2541"/>
            <w:vAlign w:val="center"/>
            <w:shd w:fill="F2F6FA"/>
          </w:tcPr>
          <w:p>
            <w:pPr>
              <w:spacing w:after="20"/>
            </w:pPr>
            <w:r/>
            <w:r>
              <w:rPr>
                <w:rFonts w:ascii="Aptos" w:hAnsi="Aptos"/>
                <w:b w:val="0"/>
                <w:sz w:val="16"/>
              </w:rPr>
              <w:t>Ops Lead</w:t>
            </w:r>
          </w:p>
        </w:tc>
        <w:tc>
          <w:tcPr>
            <w:tcW w:type="dxa" w:w="2541"/>
            <w:vAlign w:val="center"/>
            <w:shd w:fill="F2F6FA"/>
          </w:tcPr>
          <w:p>
            <w:pPr>
              <w:spacing w:after="20"/>
            </w:pPr>
            <w:r/>
            <w:r>
              <w:rPr>
                <w:rFonts w:ascii="Aptos" w:hAnsi="Aptos"/>
                <w:b w:val="0"/>
                <w:sz w:val="16"/>
              </w:rPr>
              <w:t>Operations Lead/Manager; limited Compliance/Fraud/Partner coordination only if formally assigned</w:t>
            </w:r>
          </w:p>
        </w:tc>
        <w:tc>
          <w:tcPr>
            <w:tcW w:type="dxa" w:w="2541"/>
            <w:vAlign w:val="center"/>
            <w:shd w:fill="F2F6FA"/>
          </w:tcPr>
          <w:p>
            <w:pPr>
              <w:spacing w:after="20"/>
            </w:pPr>
            <w:r/>
            <w:r>
              <w:rPr>
                <w:rFonts w:ascii="Aptos" w:hAnsi="Aptos"/>
                <w:b w:val="0"/>
                <w:sz w:val="16"/>
              </w:rPr>
              <w:t>Queue oversight, assignment, review sign-off, exceptions, follow-ups and operational configuration within approved scope.</w:t>
            </w:r>
          </w:p>
        </w:tc>
        <w:tc>
          <w:tcPr>
            <w:tcW w:type="dxa" w:w="2541"/>
            <w:vAlign w:val="center"/>
            <w:shd w:fill="F2F6FA"/>
          </w:tcPr>
          <w:p>
            <w:pPr>
              <w:spacing w:after="20"/>
            </w:pPr>
            <w:r/>
            <w:r>
              <w:rPr>
                <w:rFonts w:ascii="Aptos" w:hAnsi="Aptos"/>
                <w:b w:val="0"/>
                <w:sz w:val="16"/>
              </w:rPr>
              <w:t>No unilateral role grants, commission-term changes or unsupported bank-status changes; scope limited by team/bank/product.</w:t>
            </w:r>
          </w:p>
        </w:tc>
      </w:tr>
      <w:tr>
        <w:tc>
          <w:tcPr>
            <w:tcW w:type="dxa" w:w="2541"/>
            <w:vAlign w:val="center"/>
          </w:tcPr>
          <w:p>
            <w:pPr>
              <w:spacing w:after="20"/>
            </w:pPr>
            <w:r/>
            <w:r>
              <w:rPr>
                <w:rFonts w:ascii="Aptos" w:hAnsi="Aptos"/>
                <w:b w:val="0"/>
                <w:sz w:val="16"/>
              </w:rPr>
              <w:t>DSA Operations Executive</w:t>
            </w:r>
          </w:p>
        </w:tc>
        <w:tc>
          <w:tcPr>
            <w:tcW w:type="dxa" w:w="2541"/>
            <w:vAlign w:val="center"/>
          </w:tcPr>
          <w:p>
            <w:pPr>
              <w:spacing w:after="20"/>
            </w:pPr>
            <w:r/>
            <w:r>
              <w:rPr>
                <w:rFonts w:ascii="Aptos" w:hAnsi="Aptos"/>
                <w:b w:val="0"/>
                <w:sz w:val="16"/>
              </w:rPr>
              <w:t>Application Operations, Document/Data Review and authorised DSA Operator only where individually approved</w:t>
            </w:r>
          </w:p>
        </w:tc>
        <w:tc>
          <w:tcPr>
            <w:tcW w:type="dxa" w:w="2541"/>
            <w:vAlign w:val="center"/>
          </w:tcPr>
          <w:p>
            <w:pPr>
              <w:spacing w:after="20"/>
            </w:pPr>
            <w:r/>
            <w:r>
              <w:rPr>
                <w:rFonts w:ascii="Aptos" w:hAnsi="Aptos"/>
                <w:b w:val="0"/>
                <w:sz w:val="16"/>
              </w:rPr>
              <w:t>Applicant communication, data-quality review, document checklist, package preparation, task updates and authorised handoff.</w:t>
            </w:r>
          </w:p>
        </w:tc>
        <w:tc>
          <w:tcPr>
            <w:tcW w:type="dxa" w:w="2541"/>
            <w:vAlign w:val="center"/>
          </w:tcPr>
          <w:p>
            <w:pPr>
              <w:spacing w:after="20"/>
            </w:pPr>
            <w:r/>
            <w:r>
              <w:rPr>
                <w:rFonts w:ascii="Aptos" w:hAnsi="Aptos"/>
                <w:b w:val="0"/>
                <w:sz w:val="16"/>
              </w:rPr>
              <w:t>No bulk PII export, finance data, role/config management or bank portal access without explicit named-operator authorisation.</w:t>
            </w:r>
          </w:p>
        </w:tc>
      </w:tr>
      <w:tr>
        <w:tc>
          <w:tcPr>
            <w:tcW w:type="dxa" w:w="2541"/>
            <w:vAlign w:val="center"/>
            <w:shd w:fill="F2F6FA"/>
          </w:tcPr>
          <w:p>
            <w:pPr>
              <w:spacing w:after="20"/>
            </w:pPr>
            <w:r/>
            <w:r>
              <w:rPr>
                <w:rFonts w:ascii="Aptos" w:hAnsi="Aptos"/>
                <w:b w:val="0"/>
                <w:sz w:val="16"/>
              </w:rPr>
              <w:t>Finance</w:t>
            </w:r>
          </w:p>
        </w:tc>
        <w:tc>
          <w:tcPr>
            <w:tcW w:type="dxa" w:w="2541"/>
            <w:vAlign w:val="center"/>
            <w:shd w:fill="F2F6FA"/>
          </w:tcPr>
          <w:p>
            <w:pPr>
              <w:spacing w:after="20"/>
            </w:pPr>
            <w:r/>
            <w:r>
              <w:rPr>
                <w:rFonts w:ascii="Aptos" w:hAnsi="Aptos"/>
                <w:b w:val="0"/>
                <w:sz w:val="16"/>
              </w:rPr>
              <w:t>Finance/Reconciliation</w:t>
            </w:r>
          </w:p>
        </w:tc>
        <w:tc>
          <w:tcPr>
            <w:tcW w:type="dxa" w:w="2541"/>
            <w:vAlign w:val="center"/>
            <w:shd w:fill="F2F6FA"/>
          </w:tcPr>
          <w:p>
            <w:pPr>
              <w:spacing w:after="20"/>
            </w:pPr>
            <w:r/>
            <w:r>
              <w:rPr>
                <w:rFonts w:ascii="Aptos" w:hAnsi="Aptos"/>
                <w:b w:val="0"/>
                <w:sz w:val="16"/>
              </w:rPr>
              <w:t>Payout import, expected/received reconciliation, approved tax records, affiliate payable tracking and finance reporting.</w:t>
            </w:r>
          </w:p>
        </w:tc>
        <w:tc>
          <w:tcPr>
            <w:tcW w:type="dxa" w:w="2541"/>
            <w:vAlign w:val="center"/>
            <w:shd w:fill="F2F6FA"/>
          </w:tcPr>
          <w:p>
            <w:pPr>
              <w:spacing w:after="20"/>
            </w:pPr>
            <w:r/>
            <w:r>
              <w:rPr>
                <w:rFonts w:ascii="Aptos" w:hAnsi="Aptos"/>
                <w:b w:val="0"/>
                <w:sz w:val="16"/>
              </w:rPr>
              <w:t>No full KYC document access by default; manual adjustments and write-offs require configured independent approval.</w:t>
            </w:r>
          </w:p>
        </w:tc>
      </w:tr>
    </w:tbl>
    <w:p/>
    <w:p>
      <w:r>
        <w:t>Target specialist functions can be separated into Compliance/Privacy, Fraud/Exception Review, Customer Support, Bank/Partner Management and Reporting roles as volume and risk justify. Until then, any bundled capability must be explicitly assigned, scoped, conflict-checked and audited.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Action</w:t>
            </w:r>
          </w:p>
        </w:tc>
        <w:tc>
          <w:tcPr>
            <w:tcW w:type="dxa" w:w="5083"/>
            <w:vAlign w:val="center"/>
            <w:shd w:fill="17365D"/>
          </w:tcPr>
          <w:p>
            <w:pPr>
              <w:spacing w:after="20"/>
            </w:pPr>
            <w:r/>
            <w:r>
              <w:rPr>
                <w:rFonts w:ascii="Aptos" w:hAnsi="Aptos"/>
                <w:b/>
                <w:color w:val="FFFFFF"/>
                <w:sz w:val="16"/>
              </w:rPr>
              <w:t>Minimum permission / control</w:t>
            </w:r>
          </w:p>
        </w:tc>
      </w:tr>
      <w:tr>
        <w:tc>
          <w:tcPr>
            <w:tcW w:type="dxa" w:w="5083"/>
            <w:vAlign w:val="center"/>
          </w:tcPr>
          <w:p>
            <w:pPr>
              <w:spacing w:after="20"/>
            </w:pPr>
            <w:r/>
            <w:r>
              <w:rPr>
                <w:rFonts w:ascii="Aptos" w:hAnsi="Aptos"/>
                <w:b w:val="0"/>
                <w:sz w:val="16"/>
              </w:rPr>
              <w:t>View application</w:t>
            </w:r>
          </w:p>
        </w:tc>
        <w:tc>
          <w:tcPr>
            <w:tcW w:type="dxa" w:w="5083"/>
            <w:vAlign w:val="center"/>
          </w:tcPr>
          <w:p>
            <w:pPr>
              <w:spacing w:after="20"/>
            </w:pPr>
            <w:r/>
            <w:r>
              <w:rPr>
                <w:rFonts w:ascii="Aptos" w:hAnsi="Aptos"/>
                <w:b w:val="0"/>
                <w:sz w:val="16"/>
              </w:rPr>
              <w:t>Role plus application/team/bank/product scope; sensitive fields masked by default where possible.</w:t>
            </w:r>
          </w:p>
        </w:tc>
      </w:tr>
      <w:tr>
        <w:tc>
          <w:tcPr>
            <w:tcW w:type="dxa" w:w="5083"/>
            <w:vAlign w:val="center"/>
            <w:shd w:fill="F2F6FA"/>
          </w:tcPr>
          <w:p>
            <w:pPr>
              <w:spacing w:after="20"/>
            </w:pPr>
            <w:r/>
            <w:r>
              <w:rPr>
                <w:rFonts w:ascii="Aptos" w:hAnsi="Aptos"/>
                <w:b w:val="0"/>
                <w:sz w:val="16"/>
              </w:rPr>
              <w:t>View/download document</w:t>
            </w:r>
          </w:p>
        </w:tc>
        <w:tc>
          <w:tcPr>
            <w:tcW w:type="dxa" w:w="5083"/>
            <w:vAlign w:val="center"/>
            <w:shd w:fill="F2F6FA"/>
          </w:tcPr>
          <w:p>
            <w:pPr>
              <w:spacing w:after="20"/>
            </w:pPr>
            <w:r/>
            <w:r>
              <w:rPr>
                <w:rFonts w:ascii="Aptos" w:hAnsi="Aptos"/>
                <w:b w:val="0"/>
                <w:sz w:val="16"/>
              </w:rPr>
              <w:t>Specific document permission; reason capture and access logging; elevated/time-bound access for sensitive or bulk access.</w:t>
            </w:r>
          </w:p>
        </w:tc>
      </w:tr>
      <w:tr>
        <w:tc>
          <w:tcPr>
            <w:tcW w:type="dxa" w:w="5083"/>
            <w:vAlign w:val="center"/>
          </w:tcPr>
          <w:p>
            <w:pPr>
              <w:spacing w:after="20"/>
            </w:pPr>
            <w:r/>
            <w:r>
              <w:rPr>
                <w:rFonts w:ascii="Aptos" w:hAnsi="Aptos"/>
                <w:b w:val="0"/>
                <w:sz w:val="16"/>
              </w:rPr>
              <w:t>Edit applicant data</w:t>
            </w:r>
          </w:p>
        </w:tc>
        <w:tc>
          <w:tcPr>
            <w:tcW w:type="dxa" w:w="5083"/>
            <w:vAlign w:val="center"/>
          </w:tcPr>
          <w:p>
            <w:pPr>
              <w:spacing w:after="20"/>
            </w:pPr>
            <w:r/>
            <w:r>
              <w:rPr>
                <w:rFonts w:ascii="Aptos" w:hAnsi="Aptos"/>
                <w:b w:val="0"/>
                <w:sz w:val="16"/>
              </w:rPr>
              <w:t>Permitted fields only; before/after audit event and reason; re-review when material fields change.</w:t>
            </w:r>
          </w:p>
        </w:tc>
      </w:tr>
      <w:tr>
        <w:tc>
          <w:tcPr>
            <w:tcW w:type="dxa" w:w="5083"/>
            <w:vAlign w:val="center"/>
            <w:shd w:fill="F2F6FA"/>
          </w:tcPr>
          <w:p>
            <w:pPr>
              <w:spacing w:after="20"/>
            </w:pPr>
            <w:r/>
            <w:r>
              <w:rPr>
                <w:rFonts w:ascii="Aptos" w:hAnsi="Aptos"/>
                <w:b w:val="0"/>
                <w:sz w:val="16"/>
              </w:rPr>
              <w:t>Approve package</w:t>
            </w:r>
          </w:p>
        </w:tc>
        <w:tc>
          <w:tcPr>
            <w:tcW w:type="dxa" w:w="5083"/>
            <w:vAlign w:val="center"/>
            <w:shd w:fill="F2F6FA"/>
          </w:tcPr>
          <w:p>
            <w:pPr>
              <w:spacing w:after="20"/>
            </w:pPr>
            <w:r/>
            <w:r>
              <w:rPr>
                <w:rFonts w:ascii="Aptos" w:hAnsi="Aptos"/>
                <w:b w:val="0"/>
                <w:sz w:val="16"/>
              </w:rPr>
              <w:t>Authorised reviewer; independent from preparer where configured; checklist and evidence required.</w:t>
            </w:r>
          </w:p>
        </w:tc>
      </w:tr>
      <w:tr>
        <w:tc>
          <w:tcPr>
            <w:tcW w:type="dxa" w:w="5083"/>
            <w:vAlign w:val="center"/>
          </w:tcPr>
          <w:p>
            <w:pPr>
              <w:spacing w:after="20"/>
            </w:pPr>
            <w:r/>
            <w:r>
              <w:rPr>
                <w:rFonts w:ascii="Aptos" w:hAnsi="Aptos"/>
                <w:b w:val="0"/>
                <w:sz w:val="16"/>
              </w:rPr>
              <w:t>Submit to bank</w:t>
            </w:r>
          </w:p>
        </w:tc>
        <w:tc>
          <w:tcPr>
            <w:tcW w:type="dxa" w:w="5083"/>
            <w:vAlign w:val="center"/>
          </w:tcPr>
          <w:p>
            <w:pPr>
              <w:spacing w:after="20"/>
            </w:pPr>
            <w:r/>
            <w:r>
              <w:rPr>
                <w:rFonts w:ascii="Aptos" w:hAnsi="Aptos"/>
                <w:b w:val="0"/>
                <w:sz w:val="16"/>
              </w:rPr>
              <w:t>Named authorised operator or approved integration; valid agreement/channel, active named-bank consent, approved package and evidence capture.</w:t>
            </w:r>
          </w:p>
        </w:tc>
      </w:tr>
      <w:tr>
        <w:tc>
          <w:tcPr>
            <w:tcW w:type="dxa" w:w="5083"/>
            <w:vAlign w:val="center"/>
            <w:shd w:fill="F2F6FA"/>
          </w:tcPr>
          <w:p>
            <w:pPr>
              <w:spacing w:after="20"/>
            </w:pPr>
            <w:r/>
            <w:r>
              <w:rPr>
                <w:rFonts w:ascii="Aptos" w:hAnsi="Aptos"/>
                <w:b w:val="0"/>
                <w:sz w:val="16"/>
              </w:rPr>
              <w:t>Change bank-confirmed status</w:t>
            </w:r>
          </w:p>
        </w:tc>
        <w:tc>
          <w:tcPr>
            <w:tcW w:type="dxa" w:w="5083"/>
            <w:vAlign w:val="center"/>
            <w:shd w:fill="F2F6FA"/>
          </w:tcPr>
          <w:p>
            <w:pPr>
              <w:spacing w:after="20"/>
            </w:pPr>
            <w:r/>
            <w:r>
              <w:rPr>
                <w:rFonts w:ascii="Aptos" w:hAnsi="Aptos"/>
                <w:b w:val="0"/>
                <w:sz w:val="16"/>
              </w:rPr>
              <w:t>Only from bank evidence or approved correction workflow; preserve source and previous value; no inference.</w:t>
            </w:r>
          </w:p>
        </w:tc>
      </w:tr>
      <w:tr>
        <w:tc>
          <w:tcPr>
            <w:tcW w:type="dxa" w:w="5083"/>
            <w:vAlign w:val="center"/>
          </w:tcPr>
          <w:p>
            <w:pPr>
              <w:spacing w:after="20"/>
            </w:pPr>
            <w:r/>
            <w:r>
              <w:rPr>
                <w:rFonts w:ascii="Aptos" w:hAnsi="Aptos"/>
                <w:b w:val="0"/>
                <w:sz w:val="16"/>
              </w:rPr>
              <w:t>Manage users/roles</w:t>
            </w:r>
          </w:p>
        </w:tc>
        <w:tc>
          <w:tcPr>
            <w:tcW w:type="dxa" w:w="5083"/>
            <w:vAlign w:val="center"/>
          </w:tcPr>
          <w:p>
            <w:pPr>
              <w:spacing w:after="20"/>
            </w:pPr>
            <w:r/>
            <w:r>
              <w:rPr>
                <w:rFonts w:ascii="Aptos" w:hAnsi="Aptos"/>
                <w:b w:val="0"/>
                <w:sz w:val="16"/>
              </w:rPr>
              <w:t>Admin/PAM scope; independent approval for privileged grants and periodic access review.</w:t>
            </w:r>
          </w:p>
        </w:tc>
      </w:tr>
      <w:tr>
        <w:tc>
          <w:tcPr>
            <w:tcW w:type="dxa" w:w="5083"/>
            <w:vAlign w:val="center"/>
            <w:shd w:fill="F2F6FA"/>
          </w:tcPr>
          <w:p>
            <w:pPr>
              <w:spacing w:after="20"/>
            </w:pPr>
            <w:r/>
            <w:r>
              <w:rPr>
                <w:rFonts w:ascii="Aptos" w:hAnsi="Aptos"/>
                <w:b w:val="0"/>
                <w:sz w:val="16"/>
              </w:rPr>
              <w:t>Change bank template/commission/retention config</w:t>
            </w:r>
          </w:p>
        </w:tc>
        <w:tc>
          <w:tcPr>
            <w:tcW w:type="dxa" w:w="5083"/>
            <w:vAlign w:val="center"/>
            <w:shd w:fill="F2F6FA"/>
          </w:tcPr>
          <w:p>
            <w:pPr>
              <w:spacing w:after="20"/>
            </w:pPr>
            <w:r/>
            <w:r>
              <w:rPr>
                <w:rFonts w:ascii="Aptos" w:hAnsi="Aptos"/>
                <w:b w:val="0"/>
                <w:sz w:val="16"/>
              </w:rPr>
              <w:t>Specific configuration privilege, versioning, effective date, reason, testing and independent approval where configured.</w:t>
            </w:r>
          </w:p>
        </w:tc>
      </w:tr>
      <w:tr>
        <w:tc>
          <w:tcPr>
            <w:tcW w:type="dxa" w:w="5083"/>
            <w:vAlign w:val="center"/>
          </w:tcPr>
          <w:p>
            <w:pPr>
              <w:spacing w:after="20"/>
            </w:pPr>
            <w:r/>
            <w:r>
              <w:rPr>
                <w:rFonts w:ascii="Aptos" w:hAnsi="Aptos"/>
                <w:b w:val="0"/>
                <w:sz w:val="16"/>
              </w:rPr>
              <w:t>Export data</w:t>
            </w:r>
          </w:p>
        </w:tc>
        <w:tc>
          <w:tcPr>
            <w:tcW w:type="dxa" w:w="5083"/>
            <w:vAlign w:val="center"/>
          </w:tcPr>
          <w:p>
            <w:pPr>
              <w:spacing w:after="20"/>
            </w:pPr>
            <w:r/>
            <w:r>
              <w:rPr>
                <w:rFonts w:ascii="Aptos" w:hAnsi="Aptos"/>
                <w:b w:val="0"/>
                <w:sz w:val="16"/>
              </w:rPr>
              <w:t>Explicit permission, defined purpose, scope/volume limit, expiry/secure delivery and audit record.</w:t>
            </w:r>
          </w:p>
        </w:tc>
      </w:tr>
      <w:tr>
        <w:tc>
          <w:tcPr>
            <w:tcW w:type="dxa" w:w="5083"/>
            <w:vAlign w:val="center"/>
            <w:shd w:fill="F2F6FA"/>
          </w:tcPr>
          <w:p>
            <w:pPr>
              <w:spacing w:after="20"/>
            </w:pPr>
            <w:r/>
            <w:r>
              <w:rPr>
                <w:rFonts w:ascii="Aptos" w:hAnsi="Aptos"/>
                <w:b w:val="0"/>
                <w:sz w:val="16"/>
              </w:rPr>
              <w:t>Emergency access</w:t>
            </w:r>
          </w:p>
        </w:tc>
        <w:tc>
          <w:tcPr>
            <w:tcW w:type="dxa" w:w="5083"/>
            <w:vAlign w:val="center"/>
            <w:shd w:fill="F2F6FA"/>
          </w:tcPr>
          <w:p>
            <w:pPr>
              <w:spacing w:after="20"/>
            </w:pPr>
            <w:r/>
            <w:r>
              <w:rPr>
                <w:rFonts w:ascii="Aptos" w:hAnsi="Aptos"/>
                <w:b w:val="0"/>
                <w:sz w:val="16"/>
              </w:rPr>
              <w:t>Break-glass reason, limited duration/scope, alerting and mandatory post-event review.</w:t>
            </w:r>
          </w:p>
        </w:tc>
      </w:tr>
    </w:tbl>
    <w:p/>
    <w:p>
      <w:r>
        <w:t>Second approver: name the role or individual function responsible for independent approval before production. If the team lacks a separate person, use a documented compensating control (for example, founder/board-level or external authorised reviewer) rather than allowing self-approval by default. Final names and authority remain an open decision.</w:t>
      </w:r>
    </w:p>
    <w:p>
      <w:pPr>
        <w:pStyle w:val="Heading1"/>
      </w:pPr>
      <w:r>
        <w:t>16. MVP1 scope and acceptance criteria</w:t>
      </w:r>
    </w:p>
    <w:p>
      <w:r>
        <w:t>MVP1 is a secure DSA foundation on synthetic data. It includes Admin Back Office, PAM, Figma/design baseline, core application and consent records, document/data-quality workflow, one configurable bank template and handoff-ready preparation. It stops at READY_FOR_BANK; it does not submit live applications.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In scope for MVP1</w:t>
            </w:r>
          </w:p>
        </w:tc>
        <w:tc>
          <w:tcPr>
            <w:tcW w:type="dxa" w:w="5083"/>
            <w:vAlign w:val="center"/>
            <w:shd w:fill="17365D"/>
          </w:tcPr>
          <w:p>
            <w:pPr>
              <w:spacing w:after="20"/>
            </w:pPr>
            <w:r/>
            <w:r>
              <w:rPr>
                <w:rFonts w:ascii="Aptos" w:hAnsi="Aptos"/>
                <w:b/>
                <w:color w:val="FFFFFF"/>
                <w:sz w:val="16"/>
              </w:rPr>
              <w:t>Out of scope for MVP1</w:t>
            </w:r>
          </w:p>
        </w:tc>
      </w:tr>
      <w:tr>
        <w:tc>
          <w:tcPr>
            <w:tcW w:type="dxa" w:w="5083"/>
            <w:vAlign w:val="center"/>
          </w:tcPr>
          <w:p>
            <w:pPr>
              <w:spacing w:after="20"/>
            </w:pPr>
            <w:r/>
            <w:r>
              <w:rPr>
                <w:rFonts w:ascii="Aptos" w:hAnsi="Aptos"/>
                <w:b w:val="0"/>
                <w:sz w:val="16"/>
              </w:rPr>
              <w:t>Application record, attribution, consent version/evidence, dedupe flags, status and change history.</w:t>
            </w:r>
          </w:p>
        </w:tc>
        <w:tc>
          <w:tcPr>
            <w:tcW w:type="dxa" w:w="5083"/>
            <w:vAlign w:val="center"/>
          </w:tcPr>
          <w:p>
            <w:pPr>
              <w:spacing w:after="20"/>
            </w:pPr>
            <w:r/>
            <w:r>
              <w:rPr>
                <w:rFonts w:ascii="Aptos" w:hAnsi="Aptos"/>
                <w:b w:val="0"/>
                <w:sz w:val="16"/>
              </w:rPr>
              <w:t>Live customer-data processing before the approved go-live gate.</w:t>
            </w:r>
          </w:p>
        </w:tc>
      </w:tr>
      <w:tr>
        <w:tc>
          <w:tcPr>
            <w:tcW w:type="dxa" w:w="5083"/>
            <w:vAlign w:val="center"/>
            <w:shd w:fill="F2F6FA"/>
          </w:tcPr>
          <w:p>
            <w:pPr>
              <w:spacing w:after="20"/>
            </w:pPr>
            <w:r/>
            <w:r>
              <w:rPr>
                <w:rFonts w:ascii="Aptos" w:hAnsi="Aptos"/>
                <w:b w:val="0"/>
                <w:sz w:val="16"/>
              </w:rPr>
              <w:t>Four MVP1 role groups with server-side scoped permissions and audit.</w:t>
            </w:r>
          </w:p>
        </w:tc>
        <w:tc>
          <w:tcPr>
            <w:tcW w:type="dxa" w:w="5083"/>
            <w:vAlign w:val="center"/>
            <w:shd w:fill="F2F6FA"/>
          </w:tcPr>
          <w:p>
            <w:pPr>
              <w:spacing w:after="20"/>
            </w:pPr>
            <w:r/>
            <w:r>
              <w:rPr>
                <w:rFonts w:ascii="Aptos" w:hAnsi="Aptos"/>
                <w:b w:val="0"/>
                <w:sz w:val="16"/>
              </w:rPr>
              <w:t>Full specialist-role suite if not needed for initial controlled operations.</w:t>
            </w:r>
          </w:p>
        </w:tc>
      </w:tr>
      <w:tr>
        <w:tc>
          <w:tcPr>
            <w:tcW w:type="dxa" w:w="5083"/>
            <w:vAlign w:val="center"/>
          </w:tcPr>
          <w:p>
            <w:pPr>
              <w:spacing w:after="20"/>
            </w:pPr>
            <w:r/>
            <w:r>
              <w:rPr>
                <w:rFonts w:ascii="Aptos" w:hAnsi="Aptos"/>
                <w:b w:val="0"/>
                <w:sz w:val="16"/>
              </w:rPr>
              <w:t>Private document workflow on synthetic/test data, with planned storage architecture gated by compliance validation.</w:t>
            </w:r>
          </w:p>
        </w:tc>
        <w:tc>
          <w:tcPr>
            <w:tcW w:type="dxa" w:w="5083"/>
            <w:vAlign w:val="center"/>
          </w:tcPr>
          <w:p>
            <w:pPr>
              <w:spacing w:after="20"/>
            </w:pPr>
            <w:r/>
            <w:r>
              <w:rPr>
                <w:rFonts w:ascii="Aptos" w:hAnsi="Aptos"/>
                <w:b w:val="0"/>
                <w:sz w:val="16"/>
              </w:rPr>
              <w:t>Live bank portal entry, bulk upload, API submission and automated bank-status sync.</w:t>
            </w:r>
          </w:p>
        </w:tc>
      </w:tr>
      <w:tr>
        <w:tc>
          <w:tcPr>
            <w:tcW w:type="dxa" w:w="5083"/>
            <w:vAlign w:val="center"/>
            <w:shd w:fill="F2F6FA"/>
          </w:tcPr>
          <w:p>
            <w:pPr>
              <w:spacing w:after="20"/>
            </w:pPr>
            <w:r/>
            <w:r>
              <w:rPr>
                <w:rFonts w:ascii="Aptos" w:hAnsi="Aptos"/>
                <w:b w:val="0"/>
                <w:sz w:val="16"/>
              </w:rPr>
              <w:t>Manual data-quality review, Action Needed tasks and exception queues.</w:t>
            </w:r>
          </w:p>
        </w:tc>
        <w:tc>
          <w:tcPr>
            <w:tcW w:type="dxa" w:w="5083"/>
            <w:vAlign w:val="center"/>
            <w:shd w:fill="F2F6FA"/>
          </w:tcPr>
          <w:p>
            <w:pPr>
              <w:spacing w:after="20"/>
            </w:pPr>
            <w:r/>
            <w:r>
              <w:rPr>
                <w:rFonts w:ascii="Aptos" w:hAnsi="Aptos"/>
                <w:b w:val="0"/>
                <w:sz w:val="16"/>
              </w:rPr>
              <w:t>Automated underwriting, credit scoring, bureau pulls or approval-probability claims.</w:t>
            </w:r>
          </w:p>
        </w:tc>
      </w:tr>
      <w:tr>
        <w:tc>
          <w:tcPr>
            <w:tcW w:type="dxa" w:w="5083"/>
            <w:vAlign w:val="center"/>
          </w:tcPr>
          <w:p>
            <w:pPr>
              <w:spacing w:after="20"/>
            </w:pPr>
            <w:r/>
            <w:r>
              <w:rPr>
                <w:rFonts w:ascii="Aptos" w:hAnsi="Aptos"/>
                <w:b w:val="0"/>
                <w:sz w:val="16"/>
              </w:rPr>
              <w:t>One configurable bank/product template and package manifest.</w:t>
            </w:r>
          </w:p>
        </w:tc>
        <w:tc>
          <w:tcPr>
            <w:tcW w:type="dxa" w:w="5083"/>
            <w:vAlign w:val="center"/>
          </w:tcPr>
          <w:p>
            <w:pPr>
              <w:spacing w:after="20"/>
            </w:pPr>
            <w:r/>
            <w:r>
              <w:rPr>
                <w:rFonts w:ascii="Aptos" w:hAnsi="Aptos"/>
                <w:b w:val="0"/>
                <w:sz w:val="16"/>
              </w:rPr>
              <w:t>Commission engine, bank payout imports and affiliate payouts, except foundational identifiers/config design.</w:t>
            </w:r>
          </w:p>
        </w:tc>
      </w:tr>
      <w:tr>
        <w:tc>
          <w:tcPr>
            <w:tcW w:type="dxa" w:w="5083"/>
            <w:vAlign w:val="center"/>
            <w:shd w:fill="F2F6FA"/>
          </w:tcPr>
          <w:p>
            <w:pPr>
              <w:spacing w:after="20"/>
            </w:pPr>
            <w:r/>
            <w:r>
              <w:rPr>
                <w:rFonts w:ascii="Aptos" w:hAnsi="Aptos"/>
                <w:b w:val="0"/>
                <w:sz w:val="16"/>
              </w:rPr>
              <w:t>Internal review, approval evidence and Ready for Bank Handoff.</w:t>
            </w:r>
          </w:p>
        </w:tc>
        <w:tc>
          <w:tcPr>
            <w:tcW w:type="dxa" w:w="5083"/>
            <w:vAlign w:val="center"/>
            <w:shd w:fill="F2F6FA"/>
          </w:tcPr>
          <w:p>
            <w:pPr>
              <w:spacing w:after="20"/>
            </w:pPr>
            <w:r/>
            <w:r>
              <w:rPr>
                <w:rFonts w:ascii="Aptos" w:hAnsi="Aptos"/>
                <w:b w:val="0"/>
                <w:sz w:val="16"/>
              </w:rPr>
              <w:t>Customer-facing live lending journey with real PII until legal, bank, security and operational gates pass.</w:t>
            </w:r>
          </w:p>
        </w:tc>
      </w:tr>
      <w:tr>
        <w:tc>
          <w:tcPr>
            <w:tcW w:type="dxa" w:w="5083"/>
            <w:vAlign w:val="center"/>
          </w:tcPr>
          <w:p>
            <w:pPr>
              <w:spacing w:after="20"/>
            </w:pPr>
            <w:r/>
            <w:r>
              <w:rPr>
                <w:rFonts w:ascii="Aptos" w:hAnsi="Aptos"/>
                <w:b w:val="0"/>
                <w:sz w:val="16"/>
              </w:rPr>
              <w:t>Prototype returning-user, My Data, communication and grievance flows as design/specification where implementation is deferred.</w:t>
            </w:r>
          </w:p>
        </w:tc>
        <w:tc>
          <w:tcPr>
            <w:tcW w:type="dxa" w:w="5083"/>
            <w:vAlign w:val="center"/>
          </w:tcPr>
          <w:p>
            <w:pPr>
              <w:spacing w:after="20"/>
            </w:pPr>
            <w:r/>
            <w:r>
              <w:rPr>
                <w:rFonts w:ascii="Aptos" w:hAnsi="Aptos"/>
                <w:b w:val="0"/>
                <w:sz w:val="16"/>
              </w:rPr>
              <w:t>Unapproved data sharing, unapproved processor access or unapproved bank-system automation.</w:t>
            </w:r>
          </w:p>
        </w:tc>
      </w:tr>
    </w:tbl>
    <w:p/>
    <w:p>
      <w:pPr>
        <w:pStyle w:val="Heading2"/>
      </w:pPr>
      <w:r>
        <w:t>16.1 MVP1 acceptance tests</w:t>
      </w:r>
    </w:p>
    <w:p>
      <w:pPr>
        <w:pStyle w:val="ListNumber"/>
        <w:spacing w:after="60"/>
      </w:pPr>
      <w:r>
        <w:t>Authorised users can create, find, assign, review and track synthetic application records within their permitted scope.</w:t>
      </w:r>
    </w:p>
    <w:p>
      <w:pPr>
        <w:pStyle w:val="ListNumber"/>
        <w:spacing w:after="60"/>
      </w:pPr>
      <w:r>
        <w:t>Unauthorised users cannot access restricted records, sensitive fields, documents, exports, role controls or configuration through either UI or direct API calls.</w:t>
      </w:r>
    </w:p>
    <w:p>
      <w:pPr>
        <w:pStyle w:val="ListNumber"/>
        <w:spacing w:after="60"/>
      </w:pPr>
      <w:r>
        <w:t>Consent evidence is versioned and traceable; a missing, expired or revoked required consent blocks the relevant processing and submission action.</w:t>
      </w:r>
    </w:p>
    <w:p>
      <w:pPr>
        <w:pStyle w:val="ListNumber"/>
        <w:spacing w:after="60"/>
      </w:pPr>
      <w:r>
        <w:t>The application cannot reach READY_FOR_BANK while mandatory configured fields/documents, quality checks or required review approvals are incomplete.</w:t>
      </w:r>
    </w:p>
    <w:p>
      <w:pPr>
        <w:pStyle w:val="ListNumber"/>
        <w:spacing w:after="60"/>
      </w:pPr>
      <w:r>
        <w:t>The user interface distinguishes internal workflow states from bank-confirmed outcomes and does not imply bank receipt or approval without evidence.</w:t>
      </w:r>
    </w:p>
    <w:p>
      <w:pPr>
        <w:pStyle w:val="ListNumber"/>
        <w:spacing w:after="60"/>
      </w:pPr>
      <w:r>
        <w:t>Every sensitive view/download, edit, approval, export, privileged action and state change creates the required audit event.</w:t>
      </w:r>
    </w:p>
    <w:p>
      <w:pPr>
        <w:pStyle w:val="ListNumber"/>
        <w:spacing w:after="60"/>
      </w:pPr>
      <w:r>
        <w:t>A bank template can be configured and versioned without code changes; package completeness is validated against the active version.</w:t>
      </w:r>
    </w:p>
    <w:p>
      <w:pPr>
        <w:pStyle w:val="ListNumber"/>
        <w:spacing w:after="60"/>
      </w:pPr>
      <w:r>
        <w:t>Returning-user prototype requires OTP and does not disclose application details before authentication; session expiry and re-authentication behaviour are specified and tested in the applicable release.</w:t>
      </w:r>
    </w:p>
    <w:p>
      <w:pPr>
        <w:pStyle w:val="ListNumber"/>
        <w:spacing w:after="60"/>
      </w:pPr>
      <w:r>
        <w:t>Withdrawal, consent revocation, expiry, duplicate flag, bank query and returned-handoff paths have defined owners, states, actions and audit evidence.</w:t>
      </w:r>
    </w:p>
    <w:p>
      <w:pPr>
        <w:pStyle w:val="ListNumber"/>
        <w:spacing w:after="60"/>
      </w:pPr>
      <w:r>
        <w:t>Document storage, retention, purge, localisation and processor design have passed the applicable legal/compliance/security gate before real data is enabled.</w:t>
      </w:r>
    </w:p>
    <w:p>
      <w:pPr>
        <w:pStyle w:val="Heading1"/>
      </w:pPr>
      <w:r>
        <w:t>17. Phased automation roadmap and release gates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6"/>
              </w:rPr>
              <w:t>Phase</w:t>
            </w:r>
          </w:p>
        </w:tc>
        <w:tc>
          <w:tcPr>
            <w:tcW w:type="dxa" w:w="2541"/>
            <w:vAlign w:val="center"/>
            <w:shd w:fill="17365D"/>
          </w:tcPr>
          <w:p>
            <w:pPr>
              <w:spacing w:after="20"/>
            </w:pPr>
            <w:r/>
            <w:r>
              <w:rPr>
                <w:rFonts w:ascii="Aptos" w:hAnsi="Aptos"/>
                <w:b/>
                <w:color w:val="FFFFFF"/>
                <w:sz w:val="16"/>
              </w:rPr>
              <w:t>Scope</w:t>
            </w:r>
          </w:p>
        </w:tc>
        <w:tc>
          <w:tcPr>
            <w:tcW w:type="dxa" w:w="2541"/>
            <w:vAlign w:val="center"/>
            <w:shd w:fill="17365D"/>
          </w:tcPr>
          <w:p>
            <w:pPr>
              <w:spacing w:after="20"/>
            </w:pPr>
            <w:r/>
            <w:r>
              <w:rPr>
                <w:rFonts w:ascii="Aptos" w:hAnsi="Aptos"/>
                <w:b/>
                <w:color w:val="FFFFFF"/>
                <w:sz w:val="16"/>
              </w:rPr>
              <w:t>Entry gate</w:t>
            </w:r>
          </w:p>
        </w:tc>
        <w:tc>
          <w:tcPr>
            <w:tcW w:type="dxa" w:w="2541"/>
            <w:vAlign w:val="center"/>
            <w:shd w:fill="17365D"/>
          </w:tcPr>
          <w:p>
            <w:pPr>
              <w:spacing w:after="20"/>
            </w:pPr>
            <w:r/>
            <w:r>
              <w:rPr>
                <w:rFonts w:ascii="Aptos" w:hAnsi="Aptos"/>
                <w:b/>
                <w:color w:val="FFFFFF"/>
                <w:sz w:val="16"/>
              </w:rPr>
              <w:t>Exit evidence</w:t>
            </w:r>
          </w:p>
        </w:tc>
      </w:tr>
      <w:tr>
        <w:tc>
          <w:tcPr>
            <w:tcW w:type="dxa" w:w="2541"/>
            <w:vAlign w:val="center"/>
          </w:tcPr>
          <w:p>
            <w:pPr>
              <w:spacing w:after="20"/>
            </w:pPr>
            <w:r/>
            <w:r>
              <w:rPr>
                <w:rFonts w:ascii="Aptos" w:hAnsi="Aptos"/>
                <w:b w:val="0"/>
                <w:sz w:val="16"/>
              </w:rPr>
              <w:t>1. MVP1 foundation</w:t>
            </w:r>
          </w:p>
        </w:tc>
        <w:tc>
          <w:tcPr>
            <w:tcW w:type="dxa" w:w="2541"/>
            <w:vAlign w:val="center"/>
          </w:tcPr>
          <w:p>
            <w:pPr>
              <w:spacing w:after="20"/>
            </w:pPr>
            <w:r/>
            <w:r>
              <w:rPr>
                <w:rFonts w:ascii="Aptos" w:hAnsi="Aptos"/>
                <w:b w:val="0"/>
                <w:sz w:val="16"/>
              </w:rPr>
              <w:t>Synthetic data; Admin BO, PAM, application/consent foundation, review, one template, Ready for Bank.</w:t>
            </w:r>
          </w:p>
        </w:tc>
        <w:tc>
          <w:tcPr>
            <w:tcW w:type="dxa" w:w="2541"/>
            <w:vAlign w:val="center"/>
          </w:tcPr>
          <w:p>
            <w:pPr>
              <w:spacing w:after="20"/>
            </w:pPr>
            <w:r/>
            <w:r>
              <w:rPr>
                <w:rFonts w:ascii="Aptos" w:hAnsi="Aptos"/>
                <w:b w:val="0"/>
                <w:sz w:val="16"/>
              </w:rPr>
              <w:t>Approved product scope, architecture and test plan.</w:t>
            </w:r>
          </w:p>
        </w:tc>
        <w:tc>
          <w:tcPr>
            <w:tcW w:type="dxa" w:w="2541"/>
            <w:vAlign w:val="center"/>
          </w:tcPr>
          <w:p>
            <w:pPr>
              <w:spacing w:after="20"/>
            </w:pPr>
            <w:r/>
            <w:r>
              <w:rPr>
                <w:rFonts w:ascii="Aptos" w:hAnsi="Aptos"/>
                <w:b w:val="0"/>
                <w:sz w:val="16"/>
              </w:rPr>
              <w:t>Acceptance tests pass; security/privacy design reviewed; no live handoff.</w:t>
            </w:r>
          </w:p>
        </w:tc>
      </w:tr>
      <w:tr>
        <w:tc>
          <w:tcPr>
            <w:tcW w:type="dxa" w:w="2541"/>
            <w:vAlign w:val="center"/>
            <w:shd w:fill="F2F6FA"/>
          </w:tcPr>
          <w:p>
            <w:pPr>
              <w:spacing w:after="20"/>
            </w:pPr>
            <w:r/>
            <w:r>
              <w:rPr>
                <w:rFonts w:ascii="Aptos" w:hAnsi="Aptos"/>
                <w:b w:val="0"/>
                <w:sz w:val="16"/>
              </w:rPr>
              <w:t>2. Bank-specific operations</w:t>
            </w:r>
          </w:p>
        </w:tc>
        <w:tc>
          <w:tcPr>
            <w:tcW w:type="dxa" w:w="2541"/>
            <w:vAlign w:val="center"/>
            <w:shd w:fill="F2F6FA"/>
          </w:tcPr>
          <w:p>
            <w:pPr>
              <w:spacing w:after="20"/>
            </w:pPr>
            <w:r/>
            <w:r>
              <w:rPr>
                <w:rFonts w:ascii="Aptos" w:hAnsi="Aptos"/>
                <w:b w:val="0"/>
                <w:sz w:val="16"/>
              </w:rPr>
              <w:t>Real applicant operations and controlled manual/portal workflow, only for onboarded bank/route.</w:t>
            </w:r>
          </w:p>
        </w:tc>
        <w:tc>
          <w:tcPr>
            <w:tcW w:type="dxa" w:w="2541"/>
            <w:vAlign w:val="center"/>
            <w:shd w:fill="F2F6FA"/>
          </w:tcPr>
          <w:p>
            <w:pPr>
              <w:spacing w:after="20"/>
            </w:pPr>
            <w:r/>
            <w:r>
              <w:rPr>
                <w:rFonts w:ascii="Aptos" w:hAnsi="Aptos"/>
                <w:b w:val="0"/>
                <w:sz w:val="16"/>
              </w:rPr>
              <w:t>Executed agreement; approved data purpose/consent; bank onboarding; authorised operators; validated retention/security/grievance setup.</w:t>
            </w:r>
          </w:p>
        </w:tc>
        <w:tc>
          <w:tcPr>
            <w:tcW w:type="dxa" w:w="2541"/>
            <w:vAlign w:val="center"/>
            <w:shd w:fill="F2F6FA"/>
          </w:tcPr>
          <w:p>
            <w:pPr>
              <w:spacing w:after="20"/>
            </w:pPr>
            <w:r/>
            <w:r>
              <w:rPr>
                <w:rFonts w:ascii="Aptos" w:hAnsi="Aptos"/>
                <w:b w:val="0"/>
                <w:sz w:val="16"/>
              </w:rPr>
              <w:t>Documented bank SOP, operator access, handoff evidence, exception and reconciliation process.</w:t>
            </w:r>
          </w:p>
        </w:tc>
      </w:tr>
      <w:tr>
        <w:tc>
          <w:tcPr>
            <w:tcW w:type="dxa" w:w="2541"/>
            <w:vAlign w:val="center"/>
          </w:tcPr>
          <w:p>
            <w:pPr>
              <w:spacing w:after="20"/>
            </w:pPr>
            <w:r/>
            <w:r>
              <w:rPr>
                <w:rFonts w:ascii="Aptos" w:hAnsi="Aptos"/>
                <w:b w:val="0"/>
                <w:sz w:val="16"/>
              </w:rPr>
              <w:t>3. Approved digital handoff</w:t>
            </w:r>
          </w:p>
        </w:tc>
        <w:tc>
          <w:tcPr>
            <w:tcW w:type="dxa" w:w="2541"/>
            <w:vAlign w:val="center"/>
          </w:tcPr>
          <w:p>
            <w:pPr>
              <w:spacing w:after="20"/>
            </w:pPr>
            <w:r/>
            <w:r>
              <w:rPr>
                <w:rFonts w:ascii="Aptos" w:hAnsi="Aptos"/>
                <w:b w:val="0"/>
                <w:sz w:val="16"/>
              </w:rPr>
              <w:t>Portal upload, bulk file or API only as permitted by the bank; acknowledgement and status import.</w:t>
            </w:r>
          </w:p>
        </w:tc>
        <w:tc>
          <w:tcPr>
            <w:tcW w:type="dxa" w:w="2541"/>
            <w:vAlign w:val="center"/>
          </w:tcPr>
          <w:p>
            <w:pPr>
              <w:spacing w:after="20"/>
            </w:pPr>
            <w:r/>
            <w:r>
              <w:rPr>
                <w:rFonts w:ascii="Aptos" w:hAnsi="Aptos"/>
                <w:b w:val="0"/>
                <w:sz w:val="16"/>
              </w:rPr>
              <w:t>Written bank approval, tested interface/schema, credentials, data controls, retry/idempotency and support agreement.</w:t>
            </w:r>
          </w:p>
        </w:tc>
        <w:tc>
          <w:tcPr>
            <w:tcW w:type="dxa" w:w="2541"/>
            <w:vAlign w:val="center"/>
          </w:tcPr>
          <w:p>
            <w:pPr>
              <w:spacing w:after="20"/>
            </w:pPr>
            <w:r/>
            <w:r>
              <w:rPr>
                <w:rFonts w:ascii="Aptos" w:hAnsi="Aptos"/>
                <w:b w:val="0"/>
                <w:sz w:val="16"/>
              </w:rPr>
              <w:t>End-to-end test evidence, reconciliation, monitoring, incident and rollback readiness.</w:t>
            </w:r>
          </w:p>
        </w:tc>
      </w:tr>
      <w:tr>
        <w:tc>
          <w:tcPr>
            <w:tcW w:type="dxa" w:w="2541"/>
            <w:vAlign w:val="center"/>
            <w:shd w:fill="F2F6FA"/>
          </w:tcPr>
          <w:p>
            <w:pPr>
              <w:spacing w:after="20"/>
            </w:pPr>
            <w:r/>
            <w:r>
              <w:rPr>
                <w:rFonts w:ascii="Aptos" w:hAnsi="Aptos"/>
                <w:b w:val="0"/>
                <w:sz w:val="16"/>
              </w:rPr>
              <w:t>4. Multi-bank orchestration</w:t>
            </w:r>
          </w:p>
        </w:tc>
        <w:tc>
          <w:tcPr>
            <w:tcW w:type="dxa" w:w="2541"/>
            <w:vAlign w:val="center"/>
            <w:shd w:fill="F2F6FA"/>
          </w:tcPr>
          <w:p>
            <w:pPr>
              <w:spacing w:after="20"/>
            </w:pPr>
            <w:r/>
            <w:r>
              <w:rPr>
                <w:rFonts w:ascii="Aptos" w:hAnsi="Aptos"/>
                <w:b w:val="0"/>
                <w:sz w:val="16"/>
              </w:rPr>
              <w:t>Bank-specific adapters, attempt tracking, permitted routing, status and commission reconciliation.</w:t>
            </w:r>
          </w:p>
        </w:tc>
        <w:tc>
          <w:tcPr>
            <w:tcW w:type="dxa" w:w="2541"/>
            <w:vAlign w:val="center"/>
            <w:shd w:fill="F2F6FA"/>
          </w:tcPr>
          <w:p>
            <w:pPr>
              <w:spacing w:after="20"/>
            </w:pPr>
            <w:r/>
            <w:r>
              <w:rPr>
                <w:rFonts w:ascii="Aptos" w:hAnsi="Aptos"/>
                <w:b w:val="0"/>
                <w:sz w:val="16"/>
              </w:rPr>
              <w:t>Each bank independently passes Phase 2/3 gates and routing/consent controls are approved.</w:t>
            </w:r>
          </w:p>
        </w:tc>
        <w:tc>
          <w:tcPr>
            <w:tcW w:type="dxa" w:w="2541"/>
            <w:vAlign w:val="center"/>
            <w:shd w:fill="F2F6FA"/>
          </w:tcPr>
          <w:p>
            <w:pPr>
              <w:spacing w:after="20"/>
            </w:pPr>
            <w:r/>
            <w:r>
              <w:rPr>
                <w:rFonts w:ascii="Aptos" w:hAnsi="Aptos"/>
                <w:b w:val="0"/>
                <w:sz w:val="16"/>
              </w:rPr>
              <w:t>Per-bank operational readiness, performance monitoring, audit and periodic partner review.</w:t>
            </w:r>
          </w:p>
        </w:tc>
      </w:tr>
    </w:tbl>
    <w:p/>
    <w:p>
      <w:r>
        <w:t>A bank that does not authorise API integration may remain on a controlled manual or upload channel. Automation is added per bank, not assumed globally. Manual processing remains a documented fallback where permitted.</w:t>
      </w:r>
    </w:p>
    <w:p>
      <w:pPr>
        <w:pStyle w:val="Heading1"/>
      </w:pPr>
      <w:r>
        <w:t>18. Compliance validation register — VERIFY before go-live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Validation item</w:t>
            </w:r>
          </w:p>
        </w:tc>
        <w:tc>
          <w:tcPr>
            <w:tcW w:type="dxa" w:w="3389"/>
            <w:vAlign w:val="center"/>
            <w:shd w:fill="17365D"/>
          </w:tcPr>
          <w:p>
            <w:pPr>
              <w:spacing w:after="20"/>
            </w:pPr>
            <w:r/>
            <w:r>
              <w:rPr>
                <w:rFonts w:ascii="Aptos" w:hAnsi="Aptos"/>
                <w:b/>
                <w:color w:val="FFFFFF"/>
                <w:sz w:val="16"/>
              </w:rPr>
              <w:t>Question for counsel / bank</w:t>
            </w:r>
          </w:p>
        </w:tc>
        <w:tc>
          <w:tcPr>
            <w:tcW w:type="dxa" w:w="3389"/>
            <w:vAlign w:val="center"/>
            <w:shd w:fill="17365D"/>
          </w:tcPr>
          <w:p>
            <w:pPr>
              <w:spacing w:after="20"/>
            </w:pPr>
            <w:r/>
            <w:r>
              <w:rPr>
                <w:rFonts w:ascii="Aptos" w:hAnsi="Aptos"/>
                <w:b/>
                <w:color w:val="FFFFFF"/>
                <w:sz w:val="16"/>
              </w:rPr>
              <w:t>Release impact</w:t>
            </w:r>
          </w:p>
        </w:tc>
      </w:tr>
      <w:tr>
        <w:tc>
          <w:tcPr>
            <w:tcW w:type="dxa" w:w="3389"/>
            <w:vAlign w:val="center"/>
          </w:tcPr>
          <w:p>
            <w:pPr>
              <w:spacing w:after="20"/>
            </w:pPr>
            <w:r/>
            <w:r>
              <w:rPr>
                <w:rFonts w:ascii="Aptos" w:hAnsi="Aptos"/>
                <w:b w:val="0"/>
                <w:sz w:val="16"/>
              </w:rPr>
              <w:t>LSP / DSA classification and storage limits</w:t>
            </w:r>
          </w:p>
        </w:tc>
        <w:tc>
          <w:tcPr>
            <w:tcW w:type="dxa" w:w="3389"/>
            <w:vAlign w:val="center"/>
          </w:tcPr>
          <w:p>
            <w:pPr>
              <w:spacing w:after="20"/>
            </w:pPr>
            <w:r/>
            <w:r>
              <w:rPr>
                <w:rFonts w:ascii="Aptos" w:hAnsi="Aptos"/>
                <w:b w:val="0"/>
                <w:sz w:val="16"/>
              </w:rPr>
              <w:t>Does the final arrangement make Loans4India an LSP or otherwise trigger specific data-storage restrictions? Which borrower data/documents may be stored, where and for how long?</w:t>
            </w:r>
          </w:p>
        </w:tc>
        <w:tc>
          <w:tcPr>
            <w:tcW w:type="dxa" w:w="3389"/>
            <w:vAlign w:val="center"/>
          </w:tcPr>
          <w:p>
            <w:pPr>
              <w:spacing w:after="20"/>
            </w:pPr>
            <w:r/>
            <w:r>
              <w:rPr>
                <w:rFonts w:ascii="Aptos" w:hAnsi="Aptos"/>
                <w:b w:val="0"/>
                <w:sz w:val="16"/>
              </w:rPr>
              <w:t>Document-centre architecture and real-data gate.</w:t>
            </w:r>
          </w:p>
        </w:tc>
      </w:tr>
      <w:tr>
        <w:tc>
          <w:tcPr>
            <w:tcW w:type="dxa" w:w="3389"/>
            <w:vAlign w:val="center"/>
            <w:shd w:fill="F2F6FA"/>
          </w:tcPr>
          <w:p>
            <w:pPr>
              <w:spacing w:after="20"/>
            </w:pPr>
            <w:r/>
            <w:r>
              <w:rPr>
                <w:rFonts w:ascii="Aptos" w:hAnsi="Aptos"/>
                <w:b w:val="0"/>
                <w:sz w:val="16"/>
              </w:rPr>
              <w:t>Named-bank consent and DPDP notices</w:t>
            </w:r>
          </w:p>
        </w:tc>
        <w:tc>
          <w:tcPr>
            <w:tcW w:type="dxa" w:w="3389"/>
            <w:vAlign w:val="center"/>
            <w:shd w:fill="F2F6FA"/>
          </w:tcPr>
          <w:p>
            <w:pPr>
              <w:spacing w:after="20"/>
            </w:pPr>
            <w:r/>
            <w:r>
              <w:rPr>
                <w:rFonts w:ascii="Aptos" w:hAnsi="Aptos"/>
                <w:b w:val="0"/>
                <w:sz w:val="16"/>
              </w:rPr>
              <w:t>What consent, notice, recipient identification, purpose and withdrawal mechanism is required for each submission and processor disclosure?</w:t>
            </w:r>
          </w:p>
        </w:tc>
        <w:tc>
          <w:tcPr>
            <w:tcW w:type="dxa" w:w="3389"/>
            <w:vAlign w:val="center"/>
            <w:shd w:fill="F2F6FA"/>
          </w:tcPr>
          <w:p>
            <w:pPr>
              <w:spacing w:after="20"/>
            </w:pPr>
            <w:r/>
            <w:r>
              <w:rPr>
                <w:rFonts w:ascii="Aptos" w:hAnsi="Aptos"/>
                <w:b w:val="0"/>
                <w:sz w:val="16"/>
              </w:rPr>
              <w:t>Consent UX and handoff gate.</w:t>
            </w:r>
          </w:p>
        </w:tc>
      </w:tr>
      <w:tr>
        <w:tc>
          <w:tcPr>
            <w:tcW w:type="dxa" w:w="3389"/>
            <w:vAlign w:val="center"/>
          </w:tcPr>
          <w:p>
            <w:pPr>
              <w:spacing w:after="20"/>
            </w:pPr>
            <w:r/>
            <w:r>
              <w:rPr>
                <w:rFonts w:ascii="Aptos" w:hAnsi="Aptos"/>
                <w:b w:val="0"/>
                <w:sz w:val="16"/>
              </w:rPr>
              <w:t>Data localisation and device permissions</w:t>
            </w:r>
          </w:p>
        </w:tc>
        <w:tc>
          <w:tcPr>
            <w:tcW w:type="dxa" w:w="3389"/>
            <w:vAlign w:val="center"/>
          </w:tcPr>
          <w:p>
            <w:pPr>
              <w:spacing w:after="20"/>
            </w:pPr>
            <w:r/>
            <w:r>
              <w:rPr>
                <w:rFonts w:ascii="Aptos" w:hAnsi="Aptos"/>
                <w:b w:val="0"/>
                <w:sz w:val="16"/>
              </w:rPr>
              <w:t>Which localisation requirements apply to each data type and service? Confirm no unnecessary contacts/call-log/media permissions or biometrics.</w:t>
            </w:r>
          </w:p>
        </w:tc>
        <w:tc>
          <w:tcPr>
            <w:tcW w:type="dxa" w:w="3389"/>
            <w:vAlign w:val="center"/>
          </w:tcPr>
          <w:p>
            <w:pPr>
              <w:spacing w:after="20"/>
            </w:pPr>
            <w:r/>
            <w:r>
              <w:rPr>
                <w:rFonts w:ascii="Aptos" w:hAnsi="Aptos"/>
                <w:b w:val="0"/>
                <w:sz w:val="16"/>
              </w:rPr>
              <w:t>Hosting and mobile/web permission design.</w:t>
            </w:r>
          </w:p>
        </w:tc>
      </w:tr>
      <w:tr>
        <w:tc>
          <w:tcPr>
            <w:tcW w:type="dxa" w:w="3389"/>
            <w:vAlign w:val="center"/>
            <w:shd w:fill="F2F6FA"/>
          </w:tcPr>
          <w:p>
            <w:pPr>
              <w:spacing w:after="20"/>
            </w:pPr>
            <w:r/>
            <w:r>
              <w:rPr>
                <w:rFonts w:ascii="Aptos" w:hAnsi="Aptos"/>
                <w:b w:val="0"/>
                <w:sz w:val="16"/>
              </w:rPr>
              <w:t>CERT-In and breach reporting</w:t>
            </w:r>
          </w:p>
        </w:tc>
        <w:tc>
          <w:tcPr>
            <w:tcW w:type="dxa" w:w="3389"/>
            <w:vAlign w:val="center"/>
            <w:shd w:fill="F2F6FA"/>
          </w:tcPr>
          <w:p>
            <w:pPr>
              <w:spacing w:after="20"/>
            </w:pPr>
            <w:r/>
            <w:r>
              <w:rPr>
                <w:rFonts w:ascii="Aptos" w:hAnsi="Aptos"/>
                <w:b w:val="0"/>
                <w:sz w:val="16"/>
              </w:rPr>
              <w:t>Confirm applicability, reporting clock, reporting recipient, log-retention duration and incident responsibilities for each entity/processor.</w:t>
            </w:r>
          </w:p>
        </w:tc>
        <w:tc>
          <w:tcPr>
            <w:tcW w:type="dxa" w:w="3389"/>
            <w:vAlign w:val="center"/>
            <w:shd w:fill="F2F6FA"/>
          </w:tcPr>
          <w:p>
            <w:pPr>
              <w:spacing w:after="20"/>
            </w:pPr>
            <w:r/>
            <w:r>
              <w:rPr>
                <w:rFonts w:ascii="Aptos" w:hAnsi="Aptos"/>
                <w:b w:val="0"/>
                <w:sz w:val="16"/>
              </w:rPr>
              <w:t>Incident runbook and production gate.</w:t>
            </w:r>
          </w:p>
        </w:tc>
      </w:tr>
      <w:tr>
        <w:tc>
          <w:tcPr>
            <w:tcW w:type="dxa" w:w="3389"/>
            <w:vAlign w:val="center"/>
          </w:tcPr>
          <w:p>
            <w:pPr>
              <w:spacing w:after="20"/>
            </w:pPr>
            <w:r/>
            <w:r>
              <w:rPr>
                <w:rFonts w:ascii="Aptos" w:hAnsi="Aptos"/>
                <w:b w:val="0"/>
                <w:sz w:val="16"/>
              </w:rPr>
              <w:t>Data principal rights and nomination</w:t>
            </w:r>
          </w:p>
        </w:tc>
        <w:tc>
          <w:tcPr>
            <w:tcW w:type="dxa" w:w="3389"/>
            <w:vAlign w:val="center"/>
          </w:tcPr>
          <w:p>
            <w:pPr>
              <w:spacing w:after="20"/>
            </w:pPr>
            <w:r/>
            <w:r>
              <w:rPr>
                <w:rFonts w:ascii="Aptos" w:hAnsi="Aptos"/>
                <w:b w:val="0"/>
                <w:sz w:val="16"/>
              </w:rPr>
              <w:t>Confirm applicable rights, identity checks, timelines, exceptions, nomination process and responsibility split with banks/processors.</w:t>
            </w:r>
          </w:p>
        </w:tc>
        <w:tc>
          <w:tcPr>
            <w:tcW w:type="dxa" w:w="3389"/>
            <w:vAlign w:val="center"/>
          </w:tcPr>
          <w:p>
            <w:pPr>
              <w:spacing w:after="20"/>
            </w:pPr>
            <w:r/>
            <w:r>
              <w:rPr>
                <w:rFonts w:ascii="Aptos" w:hAnsi="Aptos"/>
                <w:b w:val="0"/>
                <w:sz w:val="16"/>
              </w:rPr>
              <w:t>My Data workflow and support readiness.</w:t>
            </w:r>
          </w:p>
        </w:tc>
      </w:tr>
      <w:tr>
        <w:tc>
          <w:tcPr>
            <w:tcW w:type="dxa" w:w="3389"/>
            <w:vAlign w:val="center"/>
            <w:shd w:fill="F2F6FA"/>
          </w:tcPr>
          <w:p>
            <w:pPr>
              <w:spacing w:after="20"/>
            </w:pPr>
            <w:r/>
            <w:r>
              <w:rPr>
                <w:rFonts w:ascii="Aptos" w:hAnsi="Aptos"/>
                <w:b w:val="0"/>
                <w:sz w:val="16"/>
              </w:rPr>
              <w:t>TRAI/DLT and calling conduct</w:t>
            </w:r>
          </w:p>
        </w:tc>
        <w:tc>
          <w:tcPr>
            <w:tcW w:type="dxa" w:w="3389"/>
            <w:vAlign w:val="center"/>
            <w:shd w:fill="F2F6FA"/>
          </w:tcPr>
          <w:p>
            <w:pPr>
              <w:spacing w:after="20"/>
            </w:pPr>
            <w:r/>
            <w:r>
              <w:rPr>
                <w:rFonts w:ascii="Aptos" w:hAnsi="Aptos"/>
                <w:b w:val="0"/>
                <w:sz w:val="16"/>
              </w:rPr>
              <w:t>Confirm registration, templates, headers, DND/preference handling, permitted calling hours, staff conduct and call-recording consent requirements.</w:t>
            </w:r>
          </w:p>
        </w:tc>
        <w:tc>
          <w:tcPr>
            <w:tcW w:type="dxa" w:w="3389"/>
            <w:vAlign w:val="center"/>
            <w:shd w:fill="F2F6FA"/>
          </w:tcPr>
          <w:p>
            <w:pPr>
              <w:spacing w:after="20"/>
            </w:pPr>
            <w:r/>
            <w:r>
              <w:rPr>
                <w:rFonts w:ascii="Aptos" w:hAnsi="Aptos"/>
                <w:b w:val="0"/>
                <w:sz w:val="16"/>
              </w:rPr>
              <w:t>Notification and telecalling go-live gate.</w:t>
            </w:r>
          </w:p>
        </w:tc>
      </w:tr>
      <w:tr>
        <w:tc>
          <w:tcPr>
            <w:tcW w:type="dxa" w:w="3389"/>
            <w:vAlign w:val="center"/>
          </w:tcPr>
          <w:p>
            <w:pPr>
              <w:spacing w:after="20"/>
            </w:pPr>
            <w:r/>
            <w:r>
              <w:rPr>
                <w:rFonts w:ascii="Aptos" w:hAnsi="Aptos"/>
                <w:b w:val="0"/>
                <w:sz w:val="16"/>
              </w:rPr>
              <w:t>Borrower fees and disclosures</w:t>
            </w:r>
          </w:p>
        </w:tc>
        <w:tc>
          <w:tcPr>
            <w:tcW w:type="dxa" w:w="3389"/>
            <w:vAlign w:val="center"/>
          </w:tcPr>
          <w:p>
            <w:pPr>
              <w:spacing w:after="20"/>
            </w:pPr>
            <w:r/>
            <w:r>
              <w:rPr>
                <w:rFonts w:ascii="Aptos" w:hAnsi="Aptos"/>
                <w:b w:val="0"/>
                <w:sz w:val="16"/>
              </w:rPr>
              <w:t>Confirm lender-paid commission model and whether any applicant fee is prohibited, permitted or subject to disclosure in the actual setup.</w:t>
            </w:r>
          </w:p>
        </w:tc>
        <w:tc>
          <w:tcPr>
            <w:tcW w:type="dxa" w:w="3389"/>
            <w:vAlign w:val="center"/>
          </w:tcPr>
          <w:p>
            <w:pPr>
              <w:spacing w:after="20"/>
            </w:pPr>
            <w:r/>
            <w:r>
              <w:rPr>
                <w:rFonts w:ascii="Aptos" w:hAnsi="Aptos"/>
                <w:b w:val="0"/>
                <w:sz w:val="16"/>
              </w:rPr>
              <w:t>Pricing and customer-copy approval.</w:t>
            </w:r>
          </w:p>
        </w:tc>
      </w:tr>
      <w:tr>
        <w:tc>
          <w:tcPr>
            <w:tcW w:type="dxa" w:w="3389"/>
            <w:vAlign w:val="center"/>
            <w:shd w:fill="F2F6FA"/>
          </w:tcPr>
          <w:p>
            <w:pPr>
              <w:spacing w:after="20"/>
            </w:pPr>
            <w:r/>
            <w:r>
              <w:rPr>
                <w:rFonts w:ascii="Aptos" w:hAnsi="Aptos"/>
                <w:b w:val="0"/>
                <w:sz w:val="16"/>
              </w:rPr>
              <w:t>Credit bureau access and indicative estimates</w:t>
            </w:r>
          </w:p>
        </w:tc>
        <w:tc>
          <w:tcPr>
            <w:tcW w:type="dxa" w:w="3389"/>
            <w:vAlign w:val="center"/>
            <w:shd w:fill="F2F6FA"/>
          </w:tcPr>
          <w:p>
            <w:pPr>
              <w:spacing w:after="20"/>
            </w:pPr>
            <w:r/>
            <w:r>
              <w:rPr>
                <w:rFonts w:ascii="Aptos" w:hAnsi="Aptos"/>
                <w:b w:val="0"/>
                <w:sz w:val="16"/>
              </w:rPr>
              <w:t>Confirm that no bureau pull is in scope and review any input-based estimate for regulatory and consumer-understanding risk.</w:t>
            </w:r>
          </w:p>
        </w:tc>
        <w:tc>
          <w:tcPr>
            <w:tcW w:type="dxa" w:w="3389"/>
            <w:vAlign w:val="center"/>
            <w:shd w:fill="F2F6FA"/>
          </w:tcPr>
          <w:p>
            <w:pPr>
              <w:spacing w:after="20"/>
            </w:pPr>
            <w:r/>
            <w:r>
              <w:rPr>
                <w:rFonts w:ascii="Aptos" w:hAnsi="Aptos"/>
                <w:b w:val="0"/>
                <w:sz w:val="16"/>
              </w:rPr>
              <w:t>Eligibility UI and data access scope.</w:t>
            </w:r>
          </w:p>
        </w:tc>
      </w:tr>
      <w:tr>
        <w:tc>
          <w:tcPr>
            <w:tcW w:type="dxa" w:w="3389"/>
            <w:vAlign w:val="center"/>
          </w:tcPr>
          <w:p>
            <w:pPr>
              <w:spacing w:after="20"/>
            </w:pPr>
            <w:r/>
            <w:r>
              <w:rPr>
                <w:rFonts w:ascii="Aptos" w:hAnsi="Aptos"/>
                <w:b w:val="0"/>
                <w:sz w:val="16"/>
              </w:rPr>
              <w:t>Offers, KFS and APR</w:t>
            </w:r>
          </w:p>
        </w:tc>
        <w:tc>
          <w:tcPr>
            <w:tcW w:type="dxa" w:w="3389"/>
            <w:vAlign w:val="center"/>
          </w:tcPr>
          <w:p>
            <w:pPr>
              <w:spacing w:after="20"/>
            </w:pPr>
            <w:r/>
            <w:r>
              <w:rPr>
                <w:rFonts w:ascii="Aptos" w:hAnsi="Aptos"/>
                <w:b w:val="0"/>
                <w:sz w:val="16"/>
              </w:rPr>
              <w:t>Confirm when/how lender-issued terms and KFS must be delivered, displayed and preserved, and any multi-lender presentation obligations.</w:t>
            </w:r>
          </w:p>
        </w:tc>
        <w:tc>
          <w:tcPr>
            <w:tcW w:type="dxa" w:w="3389"/>
            <w:vAlign w:val="center"/>
          </w:tcPr>
          <w:p>
            <w:pPr>
              <w:spacing w:after="20"/>
            </w:pPr>
            <w:r/>
            <w:r>
              <w:rPr>
                <w:rFonts w:ascii="Aptos" w:hAnsi="Aptos"/>
                <w:b w:val="0"/>
                <w:sz w:val="16"/>
              </w:rPr>
              <w:t>Offer and post-decision UX.</w:t>
            </w:r>
          </w:p>
        </w:tc>
      </w:tr>
      <w:tr>
        <w:tc>
          <w:tcPr>
            <w:tcW w:type="dxa" w:w="3389"/>
            <w:vAlign w:val="center"/>
            <w:shd w:fill="F2F6FA"/>
          </w:tcPr>
          <w:p>
            <w:pPr>
              <w:spacing w:after="20"/>
            </w:pPr>
            <w:r/>
            <w:r>
              <w:rPr>
                <w:rFonts w:ascii="Aptos" w:hAnsi="Aptos"/>
                <w:b w:val="0"/>
                <w:sz w:val="16"/>
              </w:rPr>
              <w:t>Tax treatment</w:t>
            </w:r>
          </w:p>
        </w:tc>
        <w:tc>
          <w:tcPr>
            <w:tcW w:type="dxa" w:w="3389"/>
            <w:vAlign w:val="center"/>
            <w:shd w:fill="F2F6FA"/>
          </w:tcPr>
          <w:p>
            <w:pPr>
              <w:spacing w:after="20"/>
            </w:pPr>
            <w:r/>
            <w:r>
              <w:rPr>
                <w:rFonts w:ascii="Aptos" w:hAnsi="Aptos"/>
                <w:b w:val="0"/>
                <w:sz w:val="16"/>
              </w:rPr>
              <w:t>Validate TDS, GST, invoicing and accounting treatment for lender commission and affiliate payouts.</w:t>
            </w:r>
          </w:p>
        </w:tc>
        <w:tc>
          <w:tcPr>
            <w:tcW w:type="dxa" w:w="3389"/>
            <w:vAlign w:val="center"/>
            <w:shd w:fill="F2F6FA"/>
          </w:tcPr>
          <w:p>
            <w:pPr>
              <w:spacing w:after="20"/>
            </w:pPr>
            <w:r/>
            <w:r>
              <w:rPr>
                <w:rFonts w:ascii="Aptos" w:hAnsi="Aptos"/>
                <w:b w:val="0"/>
                <w:sz w:val="16"/>
              </w:rPr>
              <w:t>Finance release gate.</w:t>
            </w:r>
          </w:p>
        </w:tc>
      </w:tr>
    </w:tbl>
    <w:p/>
    <w:p>
      <w:r>
        <w:t>The values and deadlines in this register must be confirmed against rules in force at launch and the executed agreements. This document is not a substitute for legal advice or bank approval.</w:t>
      </w:r>
    </w:p>
    <w:p>
      <w:pPr>
        <w:pStyle w:val="Heading1"/>
      </w:pPr>
      <w:r>
        <w:t>19. Operational metrics and management reporting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Metric</w:t>
            </w:r>
          </w:p>
        </w:tc>
        <w:tc>
          <w:tcPr>
            <w:tcW w:type="dxa" w:w="5083"/>
            <w:vAlign w:val="center"/>
            <w:shd w:fill="17365D"/>
          </w:tcPr>
          <w:p>
            <w:pPr>
              <w:spacing w:after="20"/>
            </w:pPr>
            <w:r/>
            <w:r>
              <w:rPr>
                <w:rFonts w:ascii="Aptos" w:hAnsi="Aptos"/>
                <w:b/>
                <w:color w:val="FFFFFF"/>
                <w:sz w:val="16"/>
              </w:rPr>
              <w:t>Definition / purpose</w:t>
            </w:r>
          </w:p>
        </w:tc>
      </w:tr>
      <w:tr>
        <w:tc>
          <w:tcPr>
            <w:tcW w:type="dxa" w:w="5083"/>
            <w:vAlign w:val="center"/>
          </w:tcPr>
          <w:p>
            <w:pPr>
              <w:spacing w:after="20"/>
            </w:pPr>
            <w:r/>
            <w:r>
              <w:rPr>
                <w:rFonts w:ascii="Aptos" w:hAnsi="Aptos"/>
                <w:b w:val="0"/>
                <w:sz w:val="16"/>
              </w:rPr>
              <w:t>Journey-stage drop-off</w:t>
            </w:r>
          </w:p>
        </w:tc>
        <w:tc>
          <w:tcPr>
            <w:tcW w:type="dxa" w:w="5083"/>
            <w:vAlign w:val="center"/>
          </w:tcPr>
          <w:p>
            <w:pPr>
              <w:spacing w:after="20"/>
            </w:pPr>
            <w:r/>
            <w:r>
              <w:rPr>
                <w:rFonts w:ascii="Aptos" w:hAnsi="Aptos"/>
                <w:b w:val="0"/>
                <w:sz w:val="16"/>
              </w:rPr>
              <w:t>Applications leaving or stalling at each stage, segmented by product/channel and measured with privacy-safe aggregation.</w:t>
            </w:r>
          </w:p>
        </w:tc>
      </w:tr>
      <w:tr>
        <w:tc>
          <w:tcPr>
            <w:tcW w:type="dxa" w:w="5083"/>
            <w:vAlign w:val="center"/>
            <w:shd w:fill="F2F6FA"/>
          </w:tcPr>
          <w:p>
            <w:pPr>
              <w:spacing w:after="20"/>
            </w:pPr>
            <w:r/>
            <w:r>
              <w:rPr>
                <w:rFonts w:ascii="Aptos" w:hAnsi="Aptos"/>
                <w:b w:val="0"/>
                <w:sz w:val="16"/>
              </w:rPr>
              <w:t>Consent completion / revocation</w:t>
            </w:r>
          </w:p>
        </w:tc>
        <w:tc>
          <w:tcPr>
            <w:tcW w:type="dxa" w:w="5083"/>
            <w:vAlign w:val="center"/>
            <w:shd w:fill="F2F6FA"/>
          </w:tcPr>
          <w:p>
            <w:pPr>
              <w:spacing w:after="20"/>
            </w:pPr>
            <w:r/>
            <w:r>
              <w:rPr>
                <w:rFonts w:ascii="Aptos" w:hAnsi="Aptos"/>
                <w:b w:val="0"/>
                <w:sz w:val="16"/>
              </w:rPr>
              <w:t>Consent capture completion and revocation rates, with reason categories where voluntarily provided.</w:t>
            </w:r>
          </w:p>
        </w:tc>
      </w:tr>
      <w:tr>
        <w:tc>
          <w:tcPr>
            <w:tcW w:type="dxa" w:w="5083"/>
            <w:vAlign w:val="center"/>
          </w:tcPr>
          <w:p>
            <w:pPr>
              <w:spacing w:after="20"/>
            </w:pPr>
            <w:r/>
            <w:r>
              <w:rPr>
                <w:rFonts w:ascii="Aptos" w:hAnsi="Aptos"/>
                <w:b w:val="0"/>
                <w:sz w:val="16"/>
              </w:rPr>
              <w:t>Application completeness</w:t>
            </w:r>
          </w:p>
        </w:tc>
        <w:tc>
          <w:tcPr>
            <w:tcW w:type="dxa" w:w="5083"/>
            <w:vAlign w:val="center"/>
          </w:tcPr>
          <w:p>
            <w:pPr>
              <w:spacing w:after="20"/>
            </w:pPr>
            <w:r/>
            <w:r>
              <w:rPr>
                <w:rFonts w:ascii="Aptos" w:hAnsi="Aptos"/>
                <w:b w:val="0"/>
                <w:sz w:val="16"/>
              </w:rPr>
              <w:t>Share of applications passing configured field/document checks on first review and after correction.</w:t>
            </w:r>
          </w:p>
        </w:tc>
      </w:tr>
      <w:tr>
        <w:tc>
          <w:tcPr>
            <w:tcW w:type="dxa" w:w="5083"/>
            <w:vAlign w:val="center"/>
            <w:shd w:fill="F2F6FA"/>
          </w:tcPr>
          <w:p>
            <w:pPr>
              <w:spacing w:after="20"/>
            </w:pPr>
            <w:r/>
            <w:r>
              <w:rPr>
                <w:rFonts w:ascii="Aptos" w:hAnsi="Aptos"/>
                <w:b w:val="0"/>
                <w:sz w:val="16"/>
              </w:rPr>
              <w:t>Review turnaround</w:t>
            </w:r>
          </w:p>
        </w:tc>
        <w:tc>
          <w:tcPr>
            <w:tcW w:type="dxa" w:w="5083"/>
            <w:vAlign w:val="center"/>
            <w:shd w:fill="F2F6FA"/>
          </w:tcPr>
          <w:p>
            <w:pPr>
              <w:spacing w:after="20"/>
            </w:pPr>
            <w:r/>
            <w:r>
              <w:rPr>
                <w:rFonts w:ascii="Aptos" w:hAnsi="Aptos"/>
                <w:b w:val="0"/>
                <w:sz w:val="16"/>
              </w:rPr>
              <w:t>Elapsed time from queue entry to first review and final internal approval.</w:t>
            </w:r>
          </w:p>
        </w:tc>
      </w:tr>
      <w:tr>
        <w:tc>
          <w:tcPr>
            <w:tcW w:type="dxa" w:w="5083"/>
            <w:vAlign w:val="center"/>
          </w:tcPr>
          <w:p>
            <w:pPr>
              <w:spacing w:after="20"/>
            </w:pPr>
            <w:r/>
            <w:r>
              <w:rPr>
                <w:rFonts w:ascii="Aptos" w:hAnsi="Aptos"/>
                <w:b w:val="0"/>
                <w:sz w:val="16"/>
              </w:rPr>
              <w:t>Action Needed ageing</w:t>
            </w:r>
          </w:p>
        </w:tc>
        <w:tc>
          <w:tcPr>
            <w:tcW w:type="dxa" w:w="5083"/>
            <w:vAlign w:val="center"/>
          </w:tcPr>
          <w:p>
            <w:pPr>
              <w:spacing w:after="20"/>
            </w:pPr>
            <w:r/>
            <w:r>
              <w:rPr>
                <w:rFonts w:ascii="Aptos" w:hAnsi="Aptos"/>
                <w:b w:val="0"/>
                <w:sz w:val="16"/>
              </w:rPr>
              <w:t>Open tasks by age, reason, owner and overdue status.</w:t>
            </w:r>
          </w:p>
        </w:tc>
      </w:tr>
      <w:tr>
        <w:tc>
          <w:tcPr>
            <w:tcW w:type="dxa" w:w="5083"/>
            <w:vAlign w:val="center"/>
            <w:shd w:fill="F2F6FA"/>
          </w:tcPr>
          <w:p>
            <w:pPr>
              <w:spacing w:after="20"/>
            </w:pPr>
            <w:r/>
            <w:r>
              <w:rPr>
                <w:rFonts w:ascii="Aptos" w:hAnsi="Aptos"/>
                <w:b w:val="0"/>
                <w:sz w:val="16"/>
              </w:rPr>
              <w:t>Handoff success / failure</w:t>
            </w:r>
          </w:p>
        </w:tc>
        <w:tc>
          <w:tcPr>
            <w:tcW w:type="dxa" w:w="5083"/>
            <w:vAlign w:val="center"/>
            <w:shd w:fill="F2F6FA"/>
          </w:tcPr>
          <w:p>
            <w:pPr>
              <w:spacing w:after="20"/>
            </w:pPr>
            <w:r/>
            <w:r>
              <w:rPr>
                <w:rFonts w:ascii="Aptos" w:hAnsi="Aptos"/>
                <w:b w:val="0"/>
                <w:sz w:val="16"/>
              </w:rPr>
              <w:t>Attempts submitted with valid evidence, returned/failed attempts and failure reasons by bank/channel.</w:t>
            </w:r>
          </w:p>
        </w:tc>
      </w:tr>
      <w:tr>
        <w:tc>
          <w:tcPr>
            <w:tcW w:type="dxa" w:w="5083"/>
            <w:vAlign w:val="center"/>
          </w:tcPr>
          <w:p>
            <w:pPr>
              <w:spacing w:after="20"/>
            </w:pPr>
            <w:r/>
            <w:r>
              <w:rPr>
                <w:rFonts w:ascii="Aptos" w:hAnsi="Aptos"/>
                <w:b w:val="0"/>
                <w:sz w:val="16"/>
              </w:rPr>
              <w:t>Bank status freshness</w:t>
            </w:r>
          </w:p>
        </w:tc>
        <w:tc>
          <w:tcPr>
            <w:tcW w:type="dxa" w:w="5083"/>
            <w:vAlign w:val="center"/>
          </w:tcPr>
          <w:p>
            <w:pPr>
              <w:spacing w:after="20"/>
            </w:pPr>
            <w:r/>
            <w:r>
              <w:rPr>
                <w:rFonts w:ascii="Aptos" w:hAnsi="Aptos"/>
                <w:b w:val="0"/>
                <w:sz w:val="16"/>
              </w:rPr>
              <w:t>Age of latest bank-confirmed update and number of stale cases.</w:t>
            </w:r>
          </w:p>
        </w:tc>
      </w:tr>
      <w:tr>
        <w:tc>
          <w:tcPr>
            <w:tcW w:type="dxa" w:w="5083"/>
            <w:vAlign w:val="center"/>
            <w:shd w:fill="F2F6FA"/>
          </w:tcPr>
          <w:p>
            <w:pPr>
              <w:spacing w:after="20"/>
            </w:pPr>
            <w:r/>
            <w:r>
              <w:rPr>
                <w:rFonts w:ascii="Aptos" w:hAnsi="Aptos"/>
                <w:b w:val="0"/>
                <w:sz w:val="16"/>
              </w:rPr>
              <w:t>Bank query turnaround</w:t>
            </w:r>
          </w:p>
        </w:tc>
        <w:tc>
          <w:tcPr>
            <w:tcW w:type="dxa" w:w="5083"/>
            <w:vAlign w:val="center"/>
            <w:shd w:fill="F2F6FA"/>
          </w:tcPr>
          <w:p>
            <w:pPr>
              <w:spacing w:after="20"/>
            </w:pPr>
            <w:r/>
            <w:r>
              <w:rPr>
                <w:rFonts w:ascii="Aptos" w:hAnsi="Aptos"/>
                <w:b w:val="0"/>
                <w:sz w:val="16"/>
              </w:rPr>
              <w:t>Time to notify applicant, receive response and return complete information to the bank.</w:t>
            </w:r>
          </w:p>
        </w:tc>
      </w:tr>
      <w:tr>
        <w:tc>
          <w:tcPr>
            <w:tcW w:type="dxa" w:w="5083"/>
            <w:vAlign w:val="center"/>
          </w:tcPr>
          <w:p>
            <w:pPr>
              <w:spacing w:after="20"/>
            </w:pPr>
            <w:r/>
            <w:r>
              <w:rPr>
                <w:rFonts w:ascii="Aptos" w:hAnsi="Aptos"/>
                <w:b w:val="0"/>
                <w:sz w:val="16"/>
              </w:rPr>
              <w:t>Complaint turnaround</w:t>
            </w:r>
          </w:p>
        </w:tc>
        <w:tc>
          <w:tcPr>
            <w:tcW w:type="dxa" w:w="5083"/>
            <w:vAlign w:val="center"/>
          </w:tcPr>
          <w:p>
            <w:pPr>
              <w:spacing w:after="20"/>
            </w:pPr>
            <w:r/>
            <w:r>
              <w:rPr>
                <w:rFonts w:ascii="Aptos" w:hAnsi="Aptos"/>
                <w:b w:val="0"/>
                <w:sz w:val="16"/>
              </w:rPr>
              <w:t>Acknowledgement, resolution time, overdue cases and recurrence by issue category.</w:t>
            </w:r>
          </w:p>
        </w:tc>
      </w:tr>
      <w:tr>
        <w:tc>
          <w:tcPr>
            <w:tcW w:type="dxa" w:w="5083"/>
            <w:vAlign w:val="center"/>
            <w:shd w:fill="F2F6FA"/>
          </w:tcPr>
          <w:p>
            <w:pPr>
              <w:spacing w:after="20"/>
            </w:pPr>
            <w:r/>
            <w:r>
              <w:rPr>
                <w:rFonts w:ascii="Aptos" w:hAnsi="Aptos"/>
                <w:b w:val="0"/>
                <w:sz w:val="16"/>
              </w:rPr>
              <w:t>Data-rights request turnaround</w:t>
            </w:r>
          </w:p>
        </w:tc>
        <w:tc>
          <w:tcPr>
            <w:tcW w:type="dxa" w:w="5083"/>
            <w:vAlign w:val="center"/>
            <w:shd w:fill="F2F6FA"/>
          </w:tcPr>
          <w:p>
            <w:pPr>
              <w:spacing w:after="20"/>
            </w:pPr>
            <w:r/>
            <w:r>
              <w:rPr>
                <w:rFonts w:ascii="Aptos" w:hAnsi="Aptos"/>
                <w:b w:val="0"/>
                <w:sz w:val="16"/>
              </w:rPr>
              <w:t>Request volumes, completion time, exceptions and overdue cases.</w:t>
            </w:r>
          </w:p>
        </w:tc>
      </w:tr>
      <w:tr>
        <w:tc>
          <w:tcPr>
            <w:tcW w:type="dxa" w:w="5083"/>
            <w:vAlign w:val="center"/>
          </w:tcPr>
          <w:p>
            <w:pPr>
              <w:spacing w:after="20"/>
            </w:pPr>
            <w:r/>
            <w:r>
              <w:rPr>
                <w:rFonts w:ascii="Aptos" w:hAnsi="Aptos"/>
                <w:b w:val="0"/>
                <w:sz w:val="16"/>
              </w:rPr>
              <w:t>Cost per application by channel</w:t>
            </w:r>
          </w:p>
        </w:tc>
        <w:tc>
          <w:tcPr>
            <w:tcW w:type="dxa" w:w="5083"/>
            <w:vAlign w:val="center"/>
          </w:tcPr>
          <w:p>
            <w:pPr>
              <w:spacing w:after="20"/>
            </w:pPr>
            <w:r/>
            <w:r>
              <w:rPr>
                <w:rFonts w:ascii="Aptos" w:hAnsi="Aptos"/>
                <w:b w:val="0"/>
                <w:sz w:val="16"/>
              </w:rPr>
              <w:t>Acquisition and processing cost per valid application, with attribution and methodology documented.</w:t>
            </w:r>
          </w:p>
        </w:tc>
      </w:tr>
      <w:tr>
        <w:tc>
          <w:tcPr>
            <w:tcW w:type="dxa" w:w="5083"/>
            <w:vAlign w:val="center"/>
            <w:shd w:fill="F2F6FA"/>
          </w:tcPr>
          <w:p>
            <w:pPr>
              <w:spacing w:after="20"/>
            </w:pPr>
            <w:r/>
            <w:r>
              <w:rPr>
                <w:rFonts w:ascii="Aptos" w:hAnsi="Aptos"/>
                <w:b w:val="0"/>
                <w:sz w:val="16"/>
              </w:rPr>
              <w:t>Commission reconciliation</w:t>
            </w:r>
          </w:p>
        </w:tc>
        <w:tc>
          <w:tcPr>
            <w:tcW w:type="dxa" w:w="5083"/>
            <w:vAlign w:val="center"/>
            <w:shd w:fill="F2F6FA"/>
          </w:tcPr>
          <w:p>
            <w:pPr>
              <w:spacing w:after="20"/>
            </w:pPr>
            <w:r/>
            <w:r>
              <w:rPr>
                <w:rFonts w:ascii="Aptos" w:hAnsi="Aptos"/>
                <w:b w:val="0"/>
                <w:sz w:val="16"/>
              </w:rPr>
              <w:t>Expected, received, outstanding, discrepancy ageing, clawbacks and affiliate payables.</w:t>
            </w:r>
          </w:p>
        </w:tc>
      </w:tr>
      <w:tr>
        <w:tc>
          <w:tcPr>
            <w:tcW w:type="dxa" w:w="5083"/>
            <w:vAlign w:val="center"/>
          </w:tcPr>
          <w:p>
            <w:pPr>
              <w:spacing w:after="20"/>
            </w:pPr>
            <w:r/>
            <w:r>
              <w:rPr>
                <w:rFonts w:ascii="Aptos" w:hAnsi="Aptos"/>
                <w:b w:val="0"/>
                <w:sz w:val="16"/>
              </w:rPr>
              <w:t>Security and access</w:t>
            </w:r>
          </w:p>
        </w:tc>
        <w:tc>
          <w:tcPr>
            <w:tcW w:type="dxa" w:w="5083"/>
            <w:vAlign w:val="center"/>
          </w:tcPr>
          <w:p>
            <w:pPr>
              <w:spacing w:after="20"/>
            </w:pPr>
            <w:r/>
            <w:r>
              <w:rPr>
                <w:rFonts w:ascii="Aptos" w:hAnsi="Aptos"/>
                <w:b w:val="0"/>
                <w:sz w:val="16"/>
              </w:rPr>
              <w:t>Privileged access reviews, export events, access exceptions, incidents and remediation status.</w:t>
            </w:r>
          </w:p>
        </w:tc>
      </w:tr>
    </w:tbl>
    <w:p/>
    <w:p>
      <w:pPr>
        <w:pStyle w:val="Heading1"/>
      </w:pPr>
      <w:r>
        <w:t>20. Open decisions and document governance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6"/>
              </w:rPr>
              <w:t>Decision / deliverable</w:t>
            </w:r>
          </w:p>
        </w:tc>
        <w:tc>
          <w:tcPr>
            <w:tcW w:type="dxa" w:w="2541"/>
            <w:vAlign w:val="center"/>
            <w:shd w:fill="17365D"/>
          </w:tcPr>
          <w:p>
            <w:pPr>
              <w:spacing w:after="20"/>
            </w:pPr>
            <w:r/>
            <w:r>
              <w:rPr>
                <w:rFonts w:ascii="Aptos" w:hAnsi="Aptos"/>
                <w:b/>
                <w:color w:val="FFFFFF"/>
                <w:sz w:val="16"/>
              </w:rPr>
              <w:t>Owner (assign)</w:t>
            </w:r>
          </w:p>
        </w:tc>
        <w:tc>
          <w:tcPr>
            <w:tcW w:type="dxa" w:w="2541"/>
            <w:vAlign w:val="center"/>
            <w:shd w:fill="17365D"/>
          </w:tcPr>
          <w:p>
            <w:pPr>
              <w:spacing w:after="20"/>
            </w:pPr>
            <w:r/>
            <w:r>
              <w:rPr>
                <w:rFonts w:ascii="Aptos" w:hAnsi="Aptos"/>
                <w:b/>
                <w:color w:val="FFFFFF"/>
                <w:sz w:val="16"/>
              </w:rPr>
              <w:t>Dependency / evidence</w:t>
            </w:r>
          </w:p>
        </w:tc>
        <w:tc>
          <w:tcPr>
            <w:tcW w:type="dxa" w:w="2541"/>
            <w:vAlign w:val="center"/>
            <w:shd w:fill="17365D"/>
          </w:tcPr>
          <w:p>
            <w:pPr>
              <w:spacing w:after="20"/>
            </w:pPr>
            <w:r/>
            <w:r>
              <w:rPr>
                <w:rFonts w:ascii="Aptos" w:hAnsi="Aptos"/>
                <w:b/>
                <w:color w:val="FFFFFF"/>
                <w:sz w:val="16"/>
              </w:rPr>
              <w:t>Status</w:t>
            </w:r>
          </w:p>
        </w:tc>
      </w:tr>
      <w:tr>
        <w:tc>
          <w:tcPr>
            <w:tcW w:type="dxa" w:w="2541"/>
            <w:vAlign w:val="center"/>
          </w:tcPr>
          <w:p>
            <w:pPr>
              <w:spacing w:after="20"/>
            </w:pPr>
            <w:r/>
            <w:r>
              <w:rPr>
                <w:rFonts w:ascii="Aptos" w:hAnsi="Aptos"/>
                <w:b w:val="0"/>
                <w:sz w:val="16"/>
              </w:rPr>
              <w:t>Confirm DSA / master-DSA operating and data-sharing model</w:t>
            </w:r>
          </w:p>
        </w:tc>
        <w:tc>
          <w:tcPr>
            <w:tcW w:type="dxa" w:w="2541"/>
            <w:vAlign w:val="center"/>
          </w:tcPr>
          <w:p>
            <w:pPr>
              <w:spacing w:after="20"/>
            </w:pPr>
            <w:r/>
            <w:r>
              <w:rPr>
                <w:rFonts w:ascii="Aptos" w:hAnsi="Aptos"/>
                <w:b w:val="0"/>
                <w:sz w:val="16"/>
              </w:rPr>
              <w:t>Business + Legal/Compliance</w:t>
            </w:r>
          </w:p>
        </w:tc>
        <w:tc>
          <w:tcPr>
            <w:tcW w:type="dxa" w:w="2541"/>
            <w:vAlign w:val="center"/>
          </w:tcPr>
          <w:p>
            <w:pPr>
              <w:spacing w:after="20"/>
            </w:pPr>
            <w:r/>
            <w:r>
              <w:rPr>
                <w:rFonts w:ascii="Aptos" w:hAnsi="Aptos"/>
                <w:b w:val="0"/>
                <w:sz w:val="16"/>
              </w:rPr>
              <w:t>Executed terms, data roles, permitted purpose and channel</w:t>
            </w:r>
          </w:p>
        </w:tc>
        <w:tc>
          <w:tcPr>
            <w:tcW w:type="dxa" w:w="2541"/>
            <w:vAlign w:val="center"/>
          </w:tcPr>
          <w:p>
            <w:pPr>
              <w:spacing w:after="20"/>
            </w:pPr>
            <w:r/>
            <w:r>
              <w:rPr>
                <w:rFonts w:ascii="Aptos" w:hAnsi="Aptos"/>
                <w:b w:val="0"/>
                <w:sz w:val="16"/>
              </w:rPr>
              <w:t>Open</w:t>
            </w:r>
          </w:p>
        </w:tc>
      </w:tr>
      <w:tr>
        <w:tc>
          <w:tcPr>
            <w:tcW w:type="dxa" w:w="2541"/>
            <w:vAlign w:val="center"/>
            <w:shd w:fill="F2F6FA"/>
          </w:tcPr>
          <w:p>
            <w:pPr>
              <w:spacing w:after="20"/>
            </w:pPr>
            <w:r/>
            <w:r>
              <w:rPr>
                <w:rFonts w:ascii="Aptos" w:hAnsi="Aptos"/>
                <w:b w:val="0"/>
                <w:sz w:val="16"/>
              </w:rPr>
              <w:t>Confirm borrower-data storage architecture and retention</w:t>
            </w:r>
          </w:p>
        </w:tc>
        <w:tc>
          <w:tcPr>
            <w:tcW w:type="dxa" w:w="2541"/>
            <w:vAlign w:val="center"/>
            <w:shd w:fill="F2F6FA"/>
          </w:tcPr>
          <w:p>
            <w:pPr>
              <w:spacing w:after="20"/>
            </w:pPr>
            <w:r/>
            <w:r>
              <w:rPr>
                <w:rFonts w:ascii="Aptos" w:hAnsi="Aptos"/>
                <w:b w:val="0"/>
                <w:sz w:val="16"/>
              </w:rPr>
              <w:t>Security + Legal/Compliance + Bank</w:t>
            </w:r>
          </w:p>
        </w:tc>
        <w:tc>
          <w:tcPr>
            <w:tcW w:type="dxa" w:w="2541"/>
            <w:vAlign w:val="center"/>
            <w:shd w:fill="F2F6FA"/>
          </w:tcPr>
          <w:p>
            <w:pPr>
              <w:spacing w:after="20"/>
            </w:pPr>
            <w:r/>
            <w:r>
              <w:rPr>
                <w:rFonts w:ascii="Aptos" w:hAnsi="Aptos"/>
                <w:b w:val="0"/>
                <w:sz w:val="16"/>
              </w:rPr>
              <w:t>Written interpretation/partner requirements</w:t>
            </w:r>
          </w:p>
        </w:tc>
        <w:tc>
          <w:tcPr>
            <w:tcW w:type="dxa" w:w="2541"/>
            <w:vAlign w:val="center"/>
            <w:shd w:fill="F2F6FA"/>
          </w:tcPr>
          <w:p>
            <w:pPr>
              <w:spacing w:after="20"/>
            </w:pPr>
            <w:r/>
            <w:r>
              <w:rPr>
                <w:rFonts w:ascii="Aptos" w:hAnsi="Aptos"/>
                <w:b w:val="0"/>
                <w:sz w:val="16"/>
              </w:rPr>
              <w:t>Open — critical</w:t>
            </w:r>
          </w:p>
        </w:tc>
      </w:tr>
      <w:tr>
        <w:tc>
          <w:tcPr>
            <w:tcW w:type="dxa" w:w="2541"/>
            <w:vAlign w:val="center"/>
          </w:tcPr>
          <w:p>
            <w:pPr>
              <w:spacing w:after="20"/>
            </w:pPr>
            <w:r/>
            <w:r>
              <w:rPr>
                <w:rFonts w:ascii="Aptos" w:hAnsi="Aptos"/>
                <w:b w:val="0"/>
                <w:sz w:val="16"/>
              </w:rPr>
              <w:t>Choose first bank, product and approved handoff channel</w:t>
            </w:r>
          </w:p>
        </w:tc>
        <w:tc>
          <w:tcPr>
            <w:tcW w:type="dxa" w:w="2541"/>
            <w:vAlign w:val="center"/>
          </w:tcPr>
          <w:p>
            <w:pPr>
              <w:spacing w:after="20"/>
            </w:pPr>
            <w:r/>
            <w:r>
              <w:rPr>
                <w:rFonts w:ascii="Aptos" w:hAnsi="Aptos"/>
                <w:b w:val="0"/>
                <w:sz w:val="16"/>
              </w:rPr>
              <w:t>Business + Partner Operations</w:t>
            </w:r>
          </w:p>
        </w:tc>
        <w:tc>
          <w:tcPr>
            <w:tcW w:type="dxa" w:w="2541"/>
            <w:vAlign w:val="center"/>
          </w:tcPr>
          <w:p>
            <w:pPr>
              <w:spacing w:after="20"/>
            </w:pPr>
            <w:r/>
            <w:r>
              <w:rPr>
                <w:rFonts w:ascii="Aptos" w:hAnsi="Aptos"/>
                <w:b w:val="0"/>
                <w:sz w:val="16"/>
              </w:rPr>
              <w:t>Bank onboarding and product coverage</w:t>
            </w:r>
          </w:p>
        </w:tc>
        <w:tc>
          <w:tcPr>
            <w:tcW w:type="dxa" w:w="2541"/>
            <w:vAlign w:val="center"/>
          </w:tcPr>
          <w:p>
            <w:pPr>
              <w:spacing w:after="20"/>
            </w:pPr>
            <w:r/>
            <w:r>
              <w:rPr>
                <w:rFonts w:ascii="Aptos" w:hAnsi="Aptos"/>
                <w:b w:val="0"/>
                <w:sz w:val="16"/>
              </w:rPr>
              <w:t>Open</w:t>
            </w:r>
          </w:p>
        </w:tc>
      </w:tr>
      <w:tr>
        <w:tc>
          <w:tcPr>
            <w:tcW w:type="dxa" w:w="2541"/>
            <w:vAlign w:val="center"/>
            <w:shd w:fill="F2F6FA"/>
          </w:tcPr>
          <w:p>
            <w:pPr>
              <w:spacing w:after="20"/>
            </w:pPr>
            <w:r/>
            <w:r>
              <w:rPr>
                <w:rFonts w:ascii="Aptos" w:hAnsi="Aptos"/>
                <w:b w:val="0"/>
                <w:sz w:val="16"/>
              </w:rPr>
              <w:t>Approve named-bank consent notice and UX</w:t>
            </w:r>
          </w:p>
        </w:tc>
        <w:tc>
          <w:tcPr>
            <w:tcW w:type="dxa" w:w="2541"/>
            <w:vAlign w:val="center"/>
            <w:shd w:fill="F2F6FA"/>
          </w:tcPr>
          <w:p>
            <w:pPr>
              <w:spacing w:after="20"/>
            </w:pPr>
            <w:r/>
            <w:r>
              <w:rPr>
                <w:rFonts w:ascii="Aptos" w:hAnsi="Aptos"/>
                <w:b w:val="0"/>
                <w:sz w:val="16"/>
              </w:rPr>
              <w:t>Product + Legal/Compliance</w:t>
            </w:r>
          </w:p>
        </w:tc>
        <w:tc>
          <w:tcPr>
            <w:tcW w:type="dxa" w:w="2541"/>
            <w:vAlign w:val="center"/>
            <w:shd w:fill="F2F6FA"/>
          </w:tcPr>
          <w:p>
            <w:pPr>
              <w:spacing w:after="20"/>
            </w:pPr>
            <w:r/>
            <w:r>
              <w:rPr>
                <w:rFonts w:ascii="Aptos" w:hAnsi="Aptos"/>
                <w:b w:val="0"/>
                <w:sz w:val="16"/>
              </w:rPr>
              <w:t>Data categories, recipient and purpose mapping</w:t>
            </w:r>
          </w:p>
        </w:tc>
        <w:tc>
          <w:tcPr>
            <w:tcW w:type="dxa" w:w="2541"/>
            <w:vAlign w:val="center"/>
            <w:shd w:fill="F2F6FA"/>
          </w:tcPr>
          <w:p>
            <w:pPr>
              <w:spacing w:after="20"/>
            </w:pPr>
            <w:r/>
            <w:r>
              <w:rPr>
                <w:rFonts w:ascii="Aptos" w:hAnsi="Aptos"/>
                <w:b w:val="0"/>
                <w:sz w:val="16"/>
              </w:rPr>
              <w:t>Open — critical</w:t>
            </w:r>
          </w:p>
        </w:tc>
      </w:tr>
      <w:tr>
        <w:tc>
          <w:tcPr>
            <w:tcW w:type="dxa" w:w="2541"/>
            <w:vAlign w:val="center"/>
          </w:tcPr>
          <w:p>
            <w:pPr>
              <w:spacing w:after="20"/>
            </w:pPr>
            <w:r/>
            <w:r>
              <w:rPr>
                <w:rFonts w:ascii="Aptos" w:hAnsi="Aptos"/>
                <w:b w:val="0"/>
                <w:sz w:val="16"/>
              </w:rPr>
              <w:t>Approve canonical internal and bank status enums</w:t>
            </w:r>
          </w:p>
        </w:tc>
        <w:tc>
          <w:tcPr>
            <w:tcW w:type="dxa" w:w="2541"/>
            <w:vAlign w:val="center"/>
          </w:tcPr>
          <w:p>
            <w:pPr>
              <w:spacing w:after="20"/>
            </w:pPr>
            <w:r/>
            <w:r>
              <w:rPr>
                <w:rFonts w:ascii="Aptos" w:hAnsi="Aptos"/>
                <w:b w:val="0"/>
                <w:sz w:val="16"/>
              </w:rPr>
              <w:t>Product + Engineering + Operations</w:t>
            </w:r>
          </w:p>
        </w:tc>
        <w:tc>
          <w:tcPr>
            <w:tcW w:type="dxa" w:w="2541"/>
            <w:vAlign w:val="center"/>
          </w:tcPr>
          <w:p>
            <w:pPr>
              <w:spacing w:after="20"/>
            </w:pPr>
            <w:r/>
            <w:r>
              <w:rPr>
                <w:rFonts w:ascii="Aptos" w:hAnsi="Aptos"/>
                <w:b w:val="0"/>
                <w:sz w:val="16"/>
              </w:rPr>
              <w:t>State-transition table and UI/API alignment</w:t>
            </w:r>
          </w:p>
        </w:tc>
        <w:tc>
          <w:tcPr>
            <w:tcW w:type="dxa" w:w="2541"/>
            <w:vAlign w:val="center"/>
          </w:tcPr>
          <w:p>
            <w:pPr>
              <w:spacing w:after="20"/>
            </w:pPr>
            <w:r/>
            <w:r>
              <w:rPr>
                <w:rFonts w:ascii="Aptos" w:hAnsi="Aptos"/>
                <w:b w:val="0"/>
                <w:sz w:val="16"/>
              </w:rPr>
              <w:t>Open — critical</w:t>
            </w:r>
          </w:p>
        </w:tc>
      </w:tr>
      <w:tr>
        <w:tc>
          <w:tcPr>
            <w:tcW w:type="dxa" w:w="2541"/>
            <w:vAlign w:val="center"/>
            <w:shd w:fill="F2F6FA"/>
          </w:tcPr>
          <w:p>
            <w:pPr>
              <w:spacing w:after="20"/>
            </w:pPr>
            <w:r/>
            <w:r>
              <w:rPr>
                <w:rFonts w:ascii="Aptos" w:hAnsi="Aptos"/>
                <w:b w:val="0"/>
                <w:sz w:val="16"/>
              </w:rPr>
              <w:t>Approve MVP1 four-role mapping and second approver</w:t>
            </w:r>
          </w:p>
        </w:tc>
        <w:tc>
          <w:tcPr>
            <w:tcW w:type="dxa" w:w="2541"/>
            <w:vAlign w:val="center"/>
            <w:shd w:fill="F2F6FA"/>
          </w:tcPr>
          <w:p>
            <w:pPr>
              <w:spacing w:after="20"/>
            </w:pPr>
            <w:r/>
            <w:r>
              <w:rPr>
                <w:rFonts w:ascii="Aptos" w:hAnsi="Aptos"/>
                <w:b w:val="0"/>
                <w:sz w:val="16"/>
              </w:rPr>
              <w:t>Business + Security + Operations</w:t>
            </w:r>
          </w:p>
        </w:tc>
        <w:tc>
          <w:tcPr>
            <w:tcW w:type="dxa" w:w="2541"/>
            <w:vAlign w:val="center"/>
            <w:shd w:fill="F2F6FA"/>
          </w:tcPr>
          <w:p>
            <w:pPr>
              <w:spacing w:after="20"/>
            </w:pPr>
            <w:r/>
            <w:r>
              <w:rPr>
                <w:rFonts w:ascii="Aptos" w:hAnsi="Aptos"/>
                <w:b w:val="0"/>
                <w:sz w:val="16"/>
              </w:rPr>
              <w:t>Action-level RBAC and separation-of-duties matrix</w:t>
            </w:r>
          </w:p>
        </w:tc>
        <w:tc>
          <w:tcPr>
            <w:tcW w:type="dxa" w:w="2541"/>
            <w:vAlign w:val="center"/>
            <w:shd w:fill="F2F6FA"/>
          </w:tcPr>
          <w:p>
            <w:pPr>
              <w:spacing w:after="20"/>
            </w:pPr>
            <w:r/>
            <w:r>
              <w:rPr>
                <w:rFonts w:ascii="Aptos" w:hAnsi="Aptos"/>
                <w:b w:val="0"/>
                <w:sz w:val="16"/>
              </w:rPr>
              <w:t>Open — critical</w:t>
            </w:r>
          </w:p>
        </w:tc>
      </w:tr>
      <w:tr>
        <w:tc>
          <w:tcPr>
            <w:tcW w:type="dxa" w:w="2541"/>
            <w:vAlign w:val="center"/>
          </w:tcPr>
          <w:p>
            <w:pPr>
              <w:spacing w:after="20"/>
            </w:pPr>
            <w:r/>
            <w:r>
              <w:rPr>
                <w:rFonts w:ascii="Aptos" w:hAnsi="Aptos"/>
                <w:b w:val="0"/>
                <w:sz w:val="16"/>
              </w:rPr>
              <w:t>Select and assess processors (cloud, OTP/SMS, OCR, PAN/name checks)</w:t>
            </w:r>
          </w:p>
        </w:tc>
        <w:tc>
          <w:tcPr>
            <w:tcW w:type="dxa" w:w="2541"/>
            <w:vAlign w:val="center"/>
          </w:tcPr>
          <w:p>
            <w:pPr>
              <w:spacing w:after="20"/>
            </w:pPr>
            <w:r/>
            <w:r>
              <w:rPr>
                <w:rFonts w:ascii="Aptos" w:hAnsi="Aptos"/>
                <w:b w:val="0"/>
                <w:sz w:val="16"/>
              </w:rPr>
              <w:t>Security + Procurement + Legal</w:t>
            </w:r>
          </w:p>
        </w:tc>
        <w:tc>
          <w:tcPr>
            <w:tcW w:type="dxa" w:w="2541"/>
            <w:vAlign w:val="center"/>
          </w:tcPr>
          <w:p>
            <w:pPr>
              <w:spacing w:after="20"/>
            </w:pPr>
            <w:r/>
            <w:r>
              <w:rPr>
                <w:rFonts w:ascii="Aptos" w:hAnsi="Aptos"/>
                <w:b w:val="0"/>
                <w:sz w:val="16"/>
              </w:rPr>
              <w:t>Processor register, DPA and hosting review</w:t>
            </w:r>
          </w:p>
        </w:tc>
        <w:tc>
          <w:tcPr>
            <w:tcW w:type="dxa" w:w="2541"/>
            <w:vAlign w:val="center"/>
          </w:tcPr>
          <w:p>
            <w:pPr>
              <w:spacing w:after="20"/>
            </w:pPr>
            <w:r/>
            <w:r>
              <w:rPr>
                <w:rFonts w:ascii="Aptos" w:hAnsi="Aptos"/>
                <w:b w:val="0"/>
                <w:sz w:val="16"/>
              </w:rPr>
              <w:t>Open</w:t>
            </w:r>
          </w:p>
        </w:tc>
      </w:tr>
      <w:tr>
        <w:tc>
          <w:tcPr>
            <w:tcW w:type="dxa" w:w="2541"/>
            <w:vAlign w:val="center"/>
            <w:shd w:fill="F2F6FA"/>
          </w:tcPr>
          <w:p>
            <w:pPr>
              <w:spacing w:after="20"/>
            </w:pPr>
            <w:r/>
            <w:r>
              <w:rPr>
                <w:rFonts w:ascii="Aptos" w:hAnsi="Aptos"/>
                <w:b w:val="0"/>
                <w:sz w:val="16"/>
              </w:rPr>
              <w:t>Define dormancy, reminder and expiry rules</w:t>
            </w:r>
          </w:p>
        </w:tc>
        <w:tc>
          <w:tcPr>
            <w:tcW w:type="dxa" w:w="2541"/>
            <w:vAlign w:val="center"/>
            <w:shd w:fill="F2F6FA"/>
          </w:tcPr>
          <w:p>
            <w:pPr>
              <w:spacing w:after="20"/>
            </w:pPr>
            <w:r/>
            <w:r>
              <w:rPr>
                <w:rFonts w:ascii="Aptos" w:hAnsi="Aptos"/>
                <w:b w:val="0"/>
                <w:sz w:val="16"/>
              </w:rPr>
              <w:t>Product + Operations + Compliance</w:t>
            </w:r>
          </w:p>
        </w:tc>
        <w:tc>
          <w:tcPr>
            <w:tcW w:type="dxa" w:w="2541"/>
            <w:vAlign w:val="center"/>
            <w:shd w:fill="F2F6FA"/>
          </w:tcPr>
          <w:p>
            <w:pPr>
              <w:spacing w:after="20"/>
            </w:pPr>
            <w:r/>
            <w:r>
              <w:rPr>
                <w:rFonts w:ascii="Aptos" w:hAnsi="Aptos"/>
                <w:b w:val="0"/>
                <w:sz w:val="16"/>
              </w:rPr>
              <w:t>Contact permissions and retention policy</w:t>
            </w:r>
          </w:p>
        </w:tc>
        <w:tc>
          <w:tcPr>
            <w:tcW w:type="dxa" w:w="2541"/>
            <w:vAlign w:val="center"/>
            <w:shd w:fill="F2F6FA"/>
          </w:tcPr>
          <w:p>
            <w:pPr>
              <w:spacing w:after="20"/>
            </w:pPr>
            <w:r/>
            <w:r>
              <w:rPr>
                <w:rFonts w:ascii="Aptos" w:hAnsi="Aptos"/>
                <w:b w:val="0"/>
                <w:sz w:val="16"/>
              </w:rPr>
              <w:t>Open</w:t>
            </w:r>
          </w:p>
        </w:tc>
      </w:tr>
      <w:tr>
        <w:tc>
          <w:tcPr>
            <w:tcW w:type="dxa" w:w="2541"/>
            <w:vAlign w:val="center"/>
          </w:tcPr>
          <w:p>
            <w:pPr>
              <w:spacing w:after="20"/>
            </w:pPr>
            <w:r/>
            <w:r>
              <w:rPr>
                <w:rFonts w:ascii="Aptos" w:hAnsi="Aptos"/>
                <w:b w:val="0"/>
                <w:sz w:val="16"/>
              </w:rPr>
              <w:t>Define re-routing attempt limit and selection basis</w:t>
            </w:r>
          </w:p>
        </w:tc>
        <w:tc>
          <w:tcPr>
            <w:tcW w:type="dxa" w:w="2541"/>
            <w:vAlign w:val="center"/>
          </w:tcPr>
          <w:p>
            <w:pPr>
              <w:spacing w:after="20"/>
            </w:pPr>
            <w:r/>
            <w:r>
              <w:rPr>
                <w:rFonts w:ascii="Aptos" w:hAnsi="Aptos"/>
                <w:b w:val="0"/>
                <w:sz w:val="16"/>
              </w:rPr>
              <w:t>Product + Business + Compliance</w:t>
            </w:r>
          </w:p>
        </w:tc>
        <w:tc>
          <w:tcPr>
            <w:tcW w:type="dxa" w:w="2541"/>
            <w:vAlign w:val="center"/>
          </w:tcPr>
          <w:p>
            <w:pPr>
              <w:spacing w:after="20"/>
            </w:pPr>
            <w:r/>
            <w:r>
              <w:rPr>
                <w:rFonts w:ascii="Aptos" w:hAnsi="Aptos"/>
                <w:b w:val="0"/>
                <w:sz w:val="16"/>
              </w:rPr>
              <w:t>Bank coverage, consent and customer disclosures</w:t>
            </w:r>
          </w:p>
        </w:tc>
        <w:tc>
          <w:tcPr>
            <w:tcW w:type="dxa" w:w="2541"/>
            <w:vAlign w:val="center"/>
          </w:tcPr>
          <w:p>
            <w:pPr>
              <w:spacing w:after="20"/>
            </w:pPr>
            <w:r/>
            <w:r>
              <w:rPr>
                <w:rFonts w:ascii="Aptos" w:hAnsi="Aptos"/>
                <w:b w:val="0"/>
                <w:sz w:val="16"/>
              </w:rPr>
              <w:t>Open</w:t>
            </w:r>
          </w:p>
        </w:tc>
      </w:tr>
      <w:tr>
        <w:tc>
          <w:tcPr>
            <w:tcW w:type="dxa" w:w="2541"/>
            <w:vAlign w:val="center"/>
            <w:shd w:fill="F2F6FA"/>
          </w:tcPr>
          <w:p>
            <w:pPr>
              <w:spacing w:after="20"/>
            </w:pPr>
            <w:r/>
            <w:r>
              <w:rPr>
                <w:rFonts w:ascii="Aptos" w:hAnsi="Aptos"/>
                <w:b w:val="0"/>
                <w:sz w:val="16"/>
              </w:rPr>
              <w:t>Approve grievance and data-rights operating procedures</w:t>
            </w:r>
          </w:p>
        </w:tc>
        <w:tc>
          <w:tcPr>
            <w:tcW w:type="dxa" w:w="2541"/>
            <w:vAlign w:val="center"/>
            <w:shd w:fill="F2F6FA"/>
          </w:tcPr>
          <w:p>
            <w:pPr>
              <w:spacing w:after="20"/>
            </w:pPr>
            <w:r/>
            <w:r>
              <w:rPr>
                <w:rFonts w:ascii="Aptos" w:hAnsi="Aptos"/>
                <w:b w:val="0"/>
                <w:sz w:val="16"/>
              </w:rPr>
              <w:t>Compliance + Customer Operations</w:t>
            </w:r>
          </w:p>
        </w:tc>
        <w:tc>
          <w:tcPr>
            <w:tcW w:type="dxa" w:w="2541"/>
            <w:vAlign w:val="center"/>
            <w:shd w:fill="F2F6FA"/>
          </w:tcPr>
          <w:p>
            <w:pPr>
              <w:spacing w:after="20"/>
            </w:pPr>
            <w:r/>
            <w:r>
              <w:rPr>
                <w:rFonts w:ascii="Aptos" w:hAnsi="Aptos"/>
                <w:b w:val="0"/>
                <w:sz w:val="16"/>
              </w:rPr>
              <w:t>Applicable timelines, channels and ownership</w:t>
            </w:r>
          </w:p>
        </w:tc>
        <w:tc>
          <w:tcPr>
            <w:tcW w:type="dxa" w:w="2541"/>
            <w:vAlign w:val="center"/>
            <w:shd w:fill="F2F6FA"/>
          </w:tcPr>
          <w:p>
            <w:pPr>
              <w:spacing w:after="20"/>
            </w:pPr>
            <w:r/>
            <w:r>
              <w:rPr>
                <w:rFonts w:ascii="Aptos" w:hAnsi="Aptos"/>
                <w:b w:val="0"/>
                <w:sz w:val="16"/>
              </w:rPr>
              <w:t>Open</w:t>
            </w:r>
          </w:p>
        </w:tc>
      </w:tr>
      <w:tr>
        <w:tc>
          <w:tcPr>
            <w:tcW w:type="dxa" w:w="2541"/>
            <w:vAlign w:val="center"/>
          </w:tcPr>
          <w:p>
            <w:pPr>
              <w:spacing w:after="20"/>
            </w:pPr>
            <w:r/>
            <w:r>
              <w:rPr>
                <w:rFonts w:ascii="Aptos" w:hAnsi="Aptos"/>
                <w:b w:val="0"/>
                <w:sz w:val="16"/>
              </w:rPr>
              <w:t>Approve fee policy, offer/KFS handling and estimate wording</w:t>
            </w:r>
          </w:p>
        </w:tc>
        <w:tc>
          <w:tcPr>
            <w:tcW w:type="dxa" w:w="2541"/>
            <w:vAlign w:val="center"/>
          </w:tcPr>
          <w:p>
            <w:pPr>
              <w:spacing w:after="20"/>
            </w:pPr>
            <w:r/>
            <w:r>
              <w:rPr>
                <w:rFonts w:ascii="Aptos" w:hAnsi="Aptos"/>
                <w:b w:val="0"/>
                <w:sz w:val="16"/>
              </w:rPr>
              <w:t>Business + Finance + Legal/Compliance</w:t>
            </w:r>
          </w:p>
        </w:tc>
        <w:tc>
          <w:tcPr>
            <w:tcW w:type="dxa" w:w="2541"/>
            <w:vAlign w:val="center"/>
          </w:tcPr>
          <w:p>
            <w:pPr>
              <w:spacing w:after="20"/>
            </w:pPr>
            <w:r/>
            <w:r>
              <w:rPr>
                <w:rFonts w:ascii="Aptos" w:hAnsi="Aptos"/>
                <w:b w:val="0"/>
                <w:sz w:val="16"/>
              </w:rPr>
              <w:t>Lender contracts and customer disclosures</w:t>
            </w:r>
          </w:p>
        </w:tc>
        <w:tc>
          <w:tcPr>
            <w:tcW w:type="dxa" w:w="2541"/>
            <w:vAlign w:val="center"/>
          </w:tcPr>
          <w:p>
            <w:pPr>
              <w:spacing w:after="20"/>
            </w:pPr>
            <w:r/>
            <w:r>
              <w:rPr>
                <w:rFonts w:ascii="Aptos" w:hAnsi="Aptos"/>
                <w:b w:val="0"/>
                <w:sz w:val="16"/>
              </w:rPr>
              <w:t>Open</w:t>
            </w:r>
          </w:p>
        </w:tc>
      </w:tr>
      <w:tr>
        <w:tc>
          <w:tcPr>
            <w:tcW w:type="dxa" w:w="2541"/>
            <w:vAlign w:val="center"/>
            <w:shd w:fill="F2F6FA"/>
          </w:tcPr>
          <w:p>
            <w:pPr>
              <w:spacing w:after="20"/>
            </w:pPr>
            <w:r/>
            <w:r>
              <w:rPr>
                <w:rFonts w:ascii="Aptos" w:hAnsi="Aptos"/>
                <w:b w:val="0"/>
                <w:sz w:val="16"/>
              </w:rPr>
              <w:t>Approve security incident and breach response runbook</w:t>
            </w:r>
          </w:p>
        </w:tc>
        <w:tc>
          <w:tcPr>
            <w:tcW w:type="dxa" w:w="2541"/>
            <w:vAlign w:val="center"/>
            <w:shd w:fill="F2F6FA"/>
          </w:tcPr>
          <w:p>
            <w:pPr>
              <w:spacing w:after="20"/>
            </w:pPr>
            <w:r/>
            <w:r>
              <w:rPr>
                <w:rFonts w:ascii="Aptos" w:hAnsi="Aptos"/>
                <w:b w:val="0"/>
                <w:sz w:val="16"/>
              </w:rPr>
              <w:t>Security + Legal/Compliance</w:t>
            </w:r>
          </w:p>
        </w:tc>
        <w:tc>
          <w:tcPr>
            <w:tcW w:type="dxa" w:w="2541"/>
            <w:vAlign w:val="center"/>
            <w:shd w:fill="F2F6FA"/>
          </w:tcPr>
          <w:p>
            <w:pPr>
              <w:spacing w:after="20"/>
            </w:pPr>
            <w:r/>
            <w:r>
              <w:rPr>
                <w:rFonts w:ascii="Aptos" w:hAnsi="Aptos"/>
                <w:b w:val="0"/>
                <w:sz w:val="16"/>
              </w:rPr>
              <w:t>Validated reporting obligations and vendor contacts</w:t>
            </w:r>
          </w:p>
        </w:tc>
        <w:tc>
          <w:tcPr>
            <w:tcW w:type="dxa" w:w="2541"/>
            <w:vAlign w:val="center"/>
            <w:shd w:fill="F2F6FA"/>
          </w:tcPr>
          <w:p>
            <w:pPr>
              <w:spacing w:after="20"/>
            </w:pPr>
            <w:r/>
            <w:r>
              <w:rPr>
                <w:rFonts w:ascii="Aptos" w:hAnsi="Aptos"/>
                <w:b w:val="0"/>
                <w:sz w:val="16"/>
              </w:rPr>
              <w:t>Open</w:t>
            </w:r>
          </w:p>
        </w:tc>
      </w:tr>
      <w:tr>
        <w:tc>
          <w:tcPr>
            <w:tcW w:type="dxa" w:w="2541"/>
            <w:vAlign w:val="center"/>
          </w:tcPr>
          <w:p>
            <w:pPr>
              <w:spacing w:after="20"/>
            </w:pPr>
            <w:r/>
            <w:r>
              <w:rPr>
                <w:rFonts w:ascii="Aptos" w:hAnsi="Aptos"/>
                <w:b w:val="0"/>
                <w:sz w:val="16"/>
              </w:rPr>
              <w:t>Complete measurable MVP1 acceptance and release sign-off</w:t>
            </w:r>
          </w:p>
        </w:tc>
        <w:tc>
          <w:tcPr>
            <w:tcW w:type="dxa" w:w="2541"/>
            <w:vAlign w:val="center"/>
          </w:tcPr>
          <w:p>
            <w:pPr>
              <w:spacing w:after="20"/>
            </w:pPr>
            <w:r/>
            <w:r>
              <w:rPr>
                <w:rFonts w:ascii="Aptos" w:hAnsi="Aptos"/>
                <w:b w:val="0"/>
                <w:sz w:val="16"/>
              </w:rPr>
              <w:t>Product + Engineering + QA + Security</w:t>
            </w:r>
          </w:p>
        </w:tc>
        <w:tc>
          <w:tcPr>
            <w:tcW w:type="dxa" w:w="2541"/>
            <w:vAlign w:val="center"/>
          </w:tcPr>
          <w:p>
            <w:pPr>
              <w:spacing w:after="20"/>
            </w:pPr>
            <w:r/>
            <w:r>
              <w:rPr>
                <w:rFonts w:ascii="Aptos" w:hAnsi="Aptos"/>
                <w:b w:val="0"/>
                <w:sz w:val="16"/>
              </w:rPr>
              <w:t>Test evidence and remediation closure</w:t>
            </w:r>
          </w:p>
        </w:tc>
        <w:tc>
          <w:tcPr>
            <w:tcW w:type="dxa" w:w="2541"/>
            <w:vAlign w:val="center"/>
          </w:tcPr>
          <w:p>
            <w:pPr>
              <w:spacing w:after="20"/>
            </w:pPr>
            <w:r/>
            <w:r>
              <w:rPr>
                <w:rFonts w:ascii="Aptos" w:hAnsi="Aptos"/>
                <w:b w:val="0"/>
                <w:sz w:val="16"/>
              </w:rPr>
              <w:t>Open</w:t>
            </w:r>
          </w:p>
        </w:tc>
      </w:tr>
    </w:tbl>
    <w:p/>
    <w:p>
      <w:pPr>
        <w:pStyle w:val="Heading1"/>
      </w:pPr>
      <w:r>
        <w:t>21. Change log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Version</w:t>
            </w:r>
          </w:p>
        </w:tc>
        <w:tc>
          <w:tcPr>
            <w:tcW w:type="dxa" w:w="3389"/>
            <w:vAlign w:val="center"/>
            <w:shd w:fill="17365D"/>
          </w:tcPr>
          <w:p>
            <w:pPr>
              <w:spacing w:after="20"/>
            </w:pPr>
            <w:r/>
            <w:r>
              <w:rPr>
                <w:rFonts w:ascii="Aptos" w:hAnsi="Aptos"/>
                <w:b/>
                <w:color w:val="FFFFFF"/>
                <w:sz w:val="16"/>
              </w:rPr>
              <w:t>Date</w:t>
            </w:r>
          </w:p>
        </w:tc>
        <w:tc>
          <w:tcPr>
            <w:tcW w:type="dxa" w:w="3389"/>
            <w:vAlign w:val="center"/>
            <w:shd w:fill="17365D"/>
          </w:tcPr>
          <w:p>
            <w:pPr>
              <w:spacing w:after="20"/>
            </w:pPr>
            <w:r/>
            <w:r>
              <w:rPr>
                <w:rFonts w:ascii="Aptos" w:hAnsi="Aptos"/>
                <w:b/>
                <w:color w:val="FFFFFF"/>
                <w:sz w:val="16"/>
              </w:rPr>
              <w:t>Change summary</w:t>
            </w:r>
          </w:p>
        </w:tc>
      </w:tr>
      <w:tr>
        <w:tc>
          <w:tcPr>
            <w:tcW w:type="dxa" w:w="3389"/>
            <w:vAlign w:val="center"/>
          </w:tcPr>
          <w:p>
            <w:pPr>
              <w:spacing w:after="20"/>
            </w:pPr>
            <w:r/>
            <w:r>
              <w:rPr>
                <w:rFonts w:ascii="Aptos" w:hAnsi="Aptos"/>
                <w:b w:val="0"/>
                <w:sz w:val="16"/>
              </w:rPr>
              <w:t>2.0</w:t>
            </w:r>
          </w:p>
        </w:tc>
        <w:tc>
          <w:tcPr>
            <w:tcW w:type="dxa" w:w="3389"/>
            <w:vAlign w:val="center"/>
          </w:tcPr>
          <w:p>
            <w:pPr>
              <w:spacing w:after="20"/>
            </w:pPr>
            <w:r/>
            <w:r>
              <w:rPr>
                <w:rFonts w:ascii="Aptos" w:hAnsi="Aptos"/>
                <w:b w:val="0"/>
                <w:sz w:val="16"/>
              </w:rPr>
              <w:t>3 Oct 2026</w:t>
            </w:r>
          </w:p>
        </w:tc>
        <w:tc>
          <w:tcPr>
            <w:tcW w:type="dxa" w:w="3389"/>
            <w:vAlign w:val="center"/>
          </w:tcPr>
          <w:p>
            <w:pPr>
              <w:spacing w:after="20"/>
            </w:pPr>
            <w:r/>
            <w:r>
              <w:rPr>
                <w:rFonts w:ascii="Aptos" w:hAnsi="Aptos"/>
                <w:b w:val="0"/>
                <w:sz w:val="16"/>
              </w:rPr>
              <w:t>Virtual Corporate DSA model, bank responsibility boundary, MVP1 foundation, bank-dependent handoff and phased automation.</w:t>
            </w:r>
          </w:p>
        </w:tc>
      </w:tr>
      <w:tr>
        <w:tc>
          <w:tcPr>
            <w:tcW w:type="dxa" w:w="3389"/>
            <w:vAlign w:val="center"/>
            <w:shd w:fill="F2F6FA"/>
          </w:tcPr>
          <w:p>
            <w:pPr>
              <w:spacing w:after="20"/>
            </w:pPr>
            <w:r/>
            <w:r>
              <w:rPr>
                <w:rFonts w:ascii="Aptos" w:hAnsi="Aptos"/>
                <w:b w:val="0"/>
                <w:sz w:val="16"/>
              </w:rPr>
              <w:t>3.0</w:t>
            </w:r>
          </w:p>
        </w:tc>
        <w:tc>
          <w:tcPr>
            <w:tcW w:type="dxa" w:w="3389"/>
            <w:vAlign w:val="center"/>
            <w:shd w:fill="F2F6FA"/>
          </w:tcPr>
          <w:p>
            <w:pPr>
              <w:spacing w:after="20"/>
            </w:pPr>
            <w:r/>
            <w:r>
              <w:rPr>
                <w:rFonts w:ascii="Aptos" w:hAnsi="Aptos"/>
                <w:b w:val="0"/>
                <w:sz w:val="16"/>
              </w:rPr>
              <w:t>3 Oct 2026</w:t>
            </w:r>
          </w:p>
        </w:tc>
        <w:tc>
          <w:tcPr>
            <w:tcW w:type="dxa" w:w="3389"/>
            <w:vAlign w:val="center"/>
            <w:shd w:fill="F2F6FA"/>
          </w:tcPr>
          <w:p>
            <w:pPr>
              <w:spacing w:after="20"/>
            </w:pPr>
            <w:r/>
            <w:r>
              <w:rPr>
                <w:rFonts w:ascii="Aptos" w:hAnsi="Aptos"/>
                <w:b w:val="0"/>
                <w:sz w:val="16"/>
              </w:rPr>
              <w:t>Added named-bank consent, returning users, re-routing attempts, dormancy/expiry, canonical dual status model, data rights, communications/grievances, processor and export controls, affiliate payouts, four-role mapping, acceptance tests and compliance validation register.</w:t>
            </w:r>
          </w:p>
        </w:tc>
      </w:tr>
    </w:tbl>
    <w:p/>
    <w:p>
      <w:pPr>
        <w:pStyle w:val="Heading1"/>
      </w:pPr>
      <w:r>
        <w:t>Appendix A — Customer-facing status language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
              <w:rPr>
                <w:rFonts w:ascii="Aptos" w:hAnsi="Aptos"/>
                <w:b/>
                <w:color w:val="FFFFFF"/>
                <w:sz w:val="16"/>
              </w:rPr>
              <w:t>Internal / bank state</w:t>
            </w:r>
          </w:p>
        </w:tc>
        <w:tc>
          <w:tcPr>
            <w:tcW w:type="dxa" w:w="3389"/>
            <w:vAlign w:val="center"/>
            <w:shd w:fill="17365D"/>
          </w:tcPr>
          <w:p>
            <w:pPr>
              <w:spacing w:after="20"/>
            </w:pPr>
            <w:r/>
            <w:r>
              <w:rPr>
                <w:rFonts w:ascii="Aptos" w:hAnsi="Aptos"/>
                <w:b/>
                <w:color w:val="FFFFFF"/>
                <w:sz w:val="16"/>
              </w:rPr>
              <w:t>Suggested customer copy</w:t>
            </w:r>
          </w:p>
        </w:tc>
        <w:tc>
          <w:tcPr>
            <w:tcW w:type="dxa" w:w="3389"/>
            <w:vAlign w:val="center"/>
            <w:shd w:fill="17365D"/>
          </w:tcPr>
          <w:p>
            <w:pPr>
              <w:spacing w:after="20"/>
            </w:pPr>
            <w:r/>
            <w:r>
              <w:rPr>
                <w:rFonts w:ascii="Aptos" w:hAnsi="Aptos"/>
                <w:b/>
                <w:color w:val="FFFFFF"/>
                <w:sz w:val="16"/>
              </w:rPr>
              <w:t>Copy guardrail</w:t>
            </w:r>
          </w:p>
        </w:tc>
      </w:tr>
      <w:tr>
        <w:tc>
          <w:tcPr>
            <w:tcW w:type="dxa" w:w="3389"/>
            <w:vAlign w:val="center"/>
          </w:tcPr>
          <w:p>
            <w:pPr>
              <w:spacing w:after="20"/>
            </w:pPr>
            <w:r/>
            <w:r>
              <w:rPr>
                <w:rFonts w:ascii="Aptos" w:hAnsi="Aptos"/>
                <w:b w:val="0"/>
                <w:sz w:val="16"/>
              </w:rPr>
              <w:t>ENQUIRY / PROFILE_IN_PROGRESS</w:t>
            </w:r>
          </w:p>
        </w:tc>
        <w:tc>
          <w:tcPr>
            <w:tcW w:type="dxa" w:w="3389"/>
            <w:vAlign w:val="center"/>
          </w:tcPr>
          <w:p>
            <w:pPr>
              <w:spacing w:after="20"/>
            </w:pPr>
            <w:r/>
            <w:r>
              <w:rPr>
                <w:rFonts w:ascii="Aptos" w:hAnsi="Aptos"/>
                <w:b w:val="0"/>
                <w:sz w:val="16"/>
              </w:rPr>
              <w:t>Application started / Details needed</w:t>
            </w:r>
          </w:p>
        </w:tc>
        <w:tc>
          <w:tcPr>
            <w:tcW w:type="dxa" w:w="3389"/>
            <w:vAlign w:val="center"/>
          </w:tcPr>
          <w:p>
            <w:pPr>
              <w:spacing w:after="20"/>
            </w:pPr>
            <w:r/>
            <w:r>
              <w:rPr>
                <w:rFonts w:ascii="Aptos" w:hAnsi="Aptos"/>
                <w:b w:val="0"/>
                <w:sz w:val="16"/>
              </w:rPr>
              <w:t>No “lead” terminology.</w:t>
            </w:r>
          </w:p>
        </w:tc>
      </w:tr>
      <w:tr>
        <w:tc>
          <w:tcPr>
            <w:tcW w:type="dxa" w:w="3389"/>
            <w:vAlign w:val="center"/>
            <w:shd w:fill="F2F6FA"/>
          </w:tcPr>
          <w:p>
            <w:pPr>
              <w:spacing w:after="20"/>
            </w:pPr>
            <w:r/>
            <w:r>
              <w:rPr>
                <w:rFonts w:ascii="Aptos" w:hAnsi="Aptos"/>
                <w:b w:val="0"/>
                <w:sz w:val="16"/>
              </w:rPr>
              <w:t>DOCUMENTS_PENDING</w:t>
            </w:r>
          </w:p>
        </w:tc>
        <w:tc>
          <w:tcPr>
            <w:tcW w:type="dxa" w:w="3389"/>
            <w:vAlign w:val="center"/>
            <w:shd w:fill="F2F6FA"/>
          </w:tcPr>
          <w:p>
            <w:pPr>
              <w:spacing w:after="20"/>
            </w:pPr>
            <w:r/>
            <w:r>
              <w:rPr>
                <w:rFonts w:ascii="Aptos" w:hAnsi="Aptos"/>
                <w:b w:val="0"/>
                <w:sz w:val="16"/>
              </w:rPr>
              <w:t>Documents needed</w:t>
            </w:r>
          </w:p>
        </w:tc>
        <w:tc>
          <w:tcPr>
            <w:tcW w:type="dxa" w:w="3389"/>
            <w:vAlign w:val="center"/>
            <w:shd w:fill="F2F6FA"/>
          </w:tcPr>
          <w:p>
            <w:pPr>
              <w:spacing w:after="20"/>
            </w:pPr>
            <w:r/>
            <w:r>
              <w:rPr>
                <w:rFonts w:ascii="Aptos" w:hAnsi="Aptos"/>
                <w:b w:val="0"/>
                <w:sz w:val="16"/>
              </w:rPr>
              <w:t>State exactly what is missing without exposing internal risk flags.</w:t>
            </w:r>
          </w:p>
        </w:tc>
      </w:tr>
      <w:tr>
        <w:tc>
          <w:tcPr>
            <w:tcW w:type="dxa" w:w="3389"/>
            <w:vAlign w:val="center"/>
          </w:tcPr>
          <w:p>
            <w:pPr>
              <w:spacing w:after="20"/>
            </w:pPr>
            <w:r/>
            <w:r>
              <w:rPr>
                <w:rFonts w:ascii="Aptos" w:hAnsi="Aptos"/>
                <w:b w:val="0"/>
                <w:sz w:val="16"/>
              </w:rPr>
              <w:t>VERIFICATION_REVIEW / INTERNAL_REVIEW</w:t>
            </w:r>
          </w:p>
        </w:tc>
        <w:tc>
          <w:tcPr>
            <w:tcW w:type="dxa" w:w="3389"/>
            <w:vAlign w:val="center"/>
          </w:tcPr>
          <w:p>
            <w:pPr>
              <w:spacing w:after="20"/>
            </w:pPr>
            <w:r/>
            <w:r>
              <w:rPr>
                <w:rFonts w:ascii="Aptos" w:hAnsi="Aptos"/>
                <w:b w:val="0"/>
                <w:sz w:val="16"/>
              </w:rPr>
              <w:t>Under review by Loans4India</w:t>
            </w:r>
          </w:p>
        </w:tc>
        <w:tc>
          <w:tcPr>
            <w:tcW w:type="dxa" w:w="3389"/>
            <w:vAlign w:val="center"/>
          </w:tcPr>
          <w:p>
            <w:pPr>
              <w:spacing w:after="20"/>
            </w:pPr>
            <w:r/>
            <w:r>
              <w:rPr>
                <w:rFonts w:ascii="Aptos" w:hAnsi="Aptos"/>
                <w:b w:val="0"/>
                <w:sz w:val="16"/>
              </w:rPr>
              <w:t>Do not imply bank KYC or credit assessment.</w:t>
            </w:r>
          </w:p>
        </w:tc>
      </w:tr>
      <w:tr>
        <w:tc>
          <w:tcPr>
            <w:tcW w:type="dxa" w:w="3389"/>
            <w:vAlign w:val="center"/>
            <w:shd w:fill="F2F6FA"/>
          </w:tcPr>
          <w:p>
            <w:pPr>
              <w:spacing w:after="20"/>
            </w:pPr>
            <w:r/>
            <w:r>
              <w:rPr>
                <w:rFonts w:ascii="Aptos" w:hAnsi="Aptos"/>
                <w:b w:val="0"/>
                <w:sz w:val="16"/>
              </w:rPr>
              <w:t>ACTION_NEEDED</w:t>
            </w:r>
          </w:p>
        </w:tc>
        <w:tc>
          <w:tcPr>
            <w:tcW w:type="dxa" w:w="3389"/>
            <w:vAlign w:val="center"/>
            <w:shd w:fill="F2F6FA"/>
          </w:tcPr>
          <w:p>
            <w:pPr>
              <w:spacing w:after="20"/>
            </w:pPr>
            <w:r/>
            <w:r>
              <w:rPr>
                <w:rFonts w:ascii="Aptos" w:hAnsi="Aptos"/>
                <w:b w:val="0"/>
                <w:sz w:val="16"/>
              </w:rPr>
              <w:t>Action needed: please provide the requested information</w:t>
            </w:r>
          </w:p>
        </w:tc>
        <w:tc>
          <w:tcPr>
            <w:tcW w:type="dxa" w:w="3389"/>
            <w:vAlign w:val="center"/>
            <w:shd w:fill="F2F6FA"/>
          </w:tcPr>
          <w:p>
            <w:pPr>
              <w:spacing w:after="20"/>
            </w:pPr>
            <w:r/>
            <w:r>
              <w:rPr>
                <w:rFonts w:ascii="Aptos" w:hAnsi="Aptos"/>
                <w:b w:val="0"/>
                <w:sz w:val="16"/>
              </w:rPr>
              <w:t>Give secure task route and avoid sensitive details in notification.</w:t>
            </w:r>
          </w:p>
        </w:tc>
      </w:tr>
      <w:tr>
        <w:tc>
          <w:tcPr>
            <w:tcW w:type="dxa" w:w="3389"/>
            <w:vAlign w:val="center"/>
          </w:tcPr>
          <w:p>
            <w:pPr>
              <w:spacing w:after="20"/>
            </w:pPr>
            <w:r/>
            <w:r>
              <w:rPr>
                <w:rFonts w:ascii="Aptos" w:hAnsi="Aptos"/>
                <w:b w:val="0"/>
                <w:sz w:val="16"/>
              </w:rPr>
              <w:t>READY_FOR_BANK</w:t>
            </w:r>
          </w:p>
        </w:tc>
        <w:tc>
          <w:tcPr>
            <w:tcW w:type="dxa" w:w="3389"/>
            <w:vAlign w:val="center"/>
          </w:tcPr>
          <w:p>
            <w:pPr>
              <w:spacing w:after="20"/>
            </w:pPr>
            <w:r/>
            <w:r>
              <w:rPr>
                <w:rFonts w:ascii="Aptos" w:hAnsi="Aptos"/>
                <w:b w:val="0"/>
                <w:sz w:val="16"/>
              </w:rPr>
              <w:t>Your application is ready to send to the bank</w:t>
            </w:r>
          </w:p>
        </w:tc>
        <w:tc>
          <w:tcPr>
            <w:tcW w:type="dxa" w:w="3389"/>
            <w:vAlign w:val="center"/>
          </w:tcPr>
          <w:p>
            <w:pPr>
              <w:spacing w:after="20"/>
            </w:pPr>
            <w:r/>
            <w:r>
              <w:rPr>
                <w:rFonts w:ascii="Aptos" w:hAnsi="Aptos"/>
                <w:b w:val="0"/>
                <w:sz w:val="16"/>
              </w:rPr>
              <w:t>Not yet submitted or received.</w:t>
            </w:r>
          </w:p>
        </w:tc>
      </w:tr>
      <w:tr>
        <w:tc>
          <w:tcPr>
            <w:tcW w:type="dxa" w:w="3389"/>
            <w:vAlign w:val="center"/>
            <w:shd w:fill="F2F6FA"/>
          </w:tcPr>
          <w:p>
            <w:pPr>
              <w:spacing w:after="20"/>
            </w:pPr>
            <w:r/>
            <w:r>
              <w:rPr>
                <w:rFonts w:ascii="Aptos" w:hAnsi="Aptos"/>
                <w:b w:val="0"/>
                <w:sz w:val="16"/>
              </w:rPr>
              <w:t>SUBMITTED_TO_BANK</w:t>
            </w:r>
          </w:p>
        </w:tc>
        <w:tc>
          <w:tcPr>
            <w:tcW w:type="dxa" w:w="3389"/>
            <w:vAlign w:val="center"/>
            <w:shd w:fill="F2F6FA"/>
          </w:tcPr>
          <w:p>
            <w:pPr>
              <w:spacing w:after="20"/>
            </w:pPr>
            <w:r/>
            <w:r>
              <w:rPr>
                <w:rFonts w:ascii="Aptos" w:hAnsi="Aptos"/>
                <w:b w:val="0"/>
                <w:sz w:val="16"/>
              </w:rPr>
              <w:t>Submitted to [Bank]</w:t>
            </w:r>
          </w:p>
        </w:tc>
        <w:tc>
          <w:tcPr>
            <w:tcW w:type="dxa" w:w="3389"/>
            <w:vAlign w:val="center"/>
            <w:shd w:fill="F2F6FA"/>
          </w:tcPr>
          <w:p>
            <w:pPr>
              <w:spacing w:after="20"/>
            </w:pPr>
            <w:r/>
            <w:r>
              <w:rPr>
                <w:rFonts w:ascii="Aptos" w:hAnsi="Aptos"/>
                <w:b w:val="0"/>
                <w:sz w:val="16"/>
              </w:rPr>
              <w:t>Use only after evidence-backed submission.</w:t>
            </w:r>
          </w:p>
        </w:tc>
      </w:tr>
      <w:tr>
        <w:tc>
          <w:tcPr>
            <w:tcW w:type="dxa" w:w="3389"/>
            <w:vAlign w:val="center"/>
          </w:tcPr>
          <w:p>
            <w:pPr>
              <w:spacing w:after="20"/>
            </w:pPr>
            <w:r/>
            <w:r>
              <w:rPr>
                <w:rFonts w:ascii="Aptos" w:hAnsi="Aptos"/>
                <w:b w:val="0"/>
                <w:sz w:val="16"/>
              </w:rPr>
              <w:t>BANK_PROCESSING</w:t>
            </w:r>
          </w:p>
        </w:tc>
        <w:tc>
          <w:tcPr>
            <w:tcW w:type="dxa" w:w="3389"/>
            <w:vAlign w:val="center"/>
          </w:tcPr>
          <w:p>
            <w:pPr>
              <w:spacing w:after="20"/>
            </w:pPr>
            <w:r/>
            <w:r>
              <w:rPr>
                <w:rFonts w:ascii="Aptos" w:hAnsi="Aptos"/>
                <w:b w:val="0"/>
                <w:sz w:val="16"/>
              </w:rPr>
              <w:t>[Bank] is reviewing your application</w:t>
            </w:r>
          </w:p>
        </w:tc>
        <w:tc>
          <w:tcPr>
            <w:tcW w:type="dxa" w:w="3389"/>
            <w:vAlign w:val="center"/>
          </w:tcPr>
          <w:p>
            <w:pPr>
              <w:spacing w:after="20"/>
            </w:pPr>
            <w:r/>
            <w:r>
              <w:rPr>
                <w:rFonts w:ascii="Aptos" w:hAnsi="Aptos"/>
                <w:b w:val="0"/>
                <w:sz w:val="16"/>
              </w:rPr>
              <w:t>Only after bank confirmation.</w:t>
            </w:r>
          </w:p>
        </w:tc>
      </w:tr>
      <w:tr>
        <w:tc>
          <w:tcPr>
            <w:tcW w:type="dxa" w:w="3389"/>
            <w:vAlign w:val="center"/>
            <w:shd w:fill="F2F6FA"/>
          </w:tcPr>
          <w:p>
            <w:pPr>
              <w:spacing w:after="20"/>
            </w:pPr>
            <w:r/>
            <w:r>
              <w:rPr>
                <w:rFonts w:ascii="Aptos" w:hAnsi="Aptos"/>
                <w:b w:val="0"/>
                <w:sz w:val="16"/>
              </w:rPr>
              <w:t>BANK_QUERY</w:t>
            </w:r>
          </w:p>
        </w:tc>
        <w:tc>
          <w:tcPr>
            <w:tcW w:type="dxa" w:w="3389"/>
            <w:vAlign w:val="center"/>
            <w:shd w:fill="F2F6FA"/>
          </w:tcPr>
          <w:p>
            <w:pPr>
              <w:spacing w:after="20"/>
            </w:pPr>
            <w:r/>
            <w:r>
              <w:rPr>
                <w:rFonts w:ascii="Aptos" w:hAnsi="Aptos"/>
                <w:b w:val="0"/>
                <w:sz w:val="16"/>
              </w:rPr>
              <w:t>[Bank] needs more information</w:t>
            </w:r>
          </w:p>
        </w:tc>
        <w:tc>
          <w:tcPr>
            <w:tcW w:type="dxa" w:w="3389"/>
            <w:vAlign w:val="center"/>
            <w:shd w:fill="F2F6FA"/>
          </w:tcPr>
          <w:p>
            <w:pPr>
              <w:spacing w:after="20"/>
            </w:pPr>
            <w:r/>
            <w:r>
              <w:rPr>
                <w:rFonts w:ascii="Aptos" w:hAnsi="Aptos"/>
                <w:b w:val="0"/>
                <w:sz w:val="16"/>
              </w:rPr>
              <w:t>Use bank-confirmed query and clear applicant task.</w:t>
            </w:r>
          </w:p>
        </w:tc>
      </w:tr>
      <w:tr>
        <w:tc>
          <w:tcPr>
            <w:tcW w:type="dxa" w:w="3389"/>
            <w:vAlign w:val="center"/>
          </w:tcPr>
          <w:p>
            <w:pPr>
              <w:spacing w:after="20"/>
            </w:pPr>
            <w:r/>
            <w:r>
              <w:rPr>
                <w:rFonts w:ascii="Aptos" w:hAnsi="Aptos"/>
                <w:b w:val="0"/>
                <w:sz w:val="16"/>
              </w:rPr>
              <w:t>CONDITIONAL / IN_PRINCIPLE</w:t>
            </w:r>
          </w:p>
        </w:tc>
        <w:tc>
          <w:tcPr>
            <w:tcW w:type="dxa" w:w="3389"/>
            <w:vAlign w:val="center"/>
          </w:tcPr>
          <w:p>
            <w:pPr>
              <w:spacing w:after="20"/>
            </w:pPr>
            <w:r/>
            <w:r>
              <w:rPr>
                <w:rFonts w:ascii="Aptos" w:hAnsi="Aptos"/>
                <w:b w:val="0"/>
                <w:sz w:val="16"/>
              </w:rPr>
              <w:t>The bank has provided an in-principle/conditional outcome</w:t>
            </w:r>
          </w:p>
        </w:tc>
        <w:tc>
          <w:tcPr>
            <w:tcW w:type="dxa" w:w="3389"/>
            <w:vAlign w:val="center"/>
          </w:tcPr>
          <w:p>
            <w:pPr>
              <w:spacing w:after="20"/>
            </w:pPr>
            <w:r/>
            <w:r>
              <w:rPr>
                <w:rFonts w:ascii="Aptos" w:hAnsi="Aptos"/>
                <w:b w:val="0"/>
                <w:sz w:val="16"/>
              </w:rPr>
              <w:t>Clearly state this is not formal sanction unless the bank says so.</w:t>
            </w:r>
          </w:p>
        </w:tc>
      </w:tr>
      <w:tr>
        <w:tc>
          <w:tcPr>
            <w:tcW w:type="dxa" w:w="3389"/>
            <w:vAlign w:val="center"/>
            <w:shd w:fill="F2F6FA"/>
          </w:tcPr>
          <w:p>
            <w:pPr>
              <w:spacing w:after="20"/>
            </w:pPr>
            <w:r/>
            <w:r>
              <w:rPr>
                <w:rFonts w:ascii="Aptos" w:hAnsi="Aptos"/>
                <w:b w:val="0"/>
                <w:sz w:val="16"/>
              </w:rPr>
              <w:t>SANCTIONED</w:t>
            </w:r>
          </w:p>
        </w:tc>
        <w:tc>
          <w:tcPr>
            <w:tcW w:type="dxa" w:w="3389"/>
            <w:vAlign w:val="center"/>
            <w:shd w:fill="F2F6FA"/>
          </w:tcPr>
          <w:p>
            <w:pPr>
              <w:spacing w:after="20"/>
            </w:pPr>
            <w:r/>
            <w:r>
              <w:rPr>
                <w:rFonts w:ascii="Aptos" w:hAnsi="Aptos"/>
                <w:b w:val="0"/>
                <w:sz w:val="16"/>
              </w:rPr>
              <w:t>The bank has sanctioned your loan</w:t>
            </w:r>
          </w:p>
        </w:tc>
        <w:tc>
          <w:tcPr>
            <w:tcW w:type="dxa" w:w="3389"/>
            <w:vAlign w:val="center"/>
            <w:shd w:fill="F2F6FA"/>
          </w:tcPr>
          <w:p>
            <w:pPr>
              <w:spacing w:after="20"/>
            </w:pPr>
            <w:r/>
            <w:r>
              <w:rPr>
                <w:rFonts w:ascii="Aptos" w:hAnsi="Aptos"/>
                <w:b w:val="0"/>
                <w:sz w:val="16"/>
              </w:rPr>
              <w:t>Only after formal bank confirmation; include bank-issued terms/disclosures as required.</w:t>
            </w:r>
          </w:p>
        </w:tc>
      </w:tr>
      <w:tr>
        <w:tc>
          <w:tcPr>
            <w:tcW w:type="dxa" w:w="3389"/>
            <w:vAlign w:val="center"/>
          </w:tcPr>
          <w:p>
            <w:pPr>
              <w:spacing w:after="20"/>
            </w:pPr>
            <w:r/>
            <w:r>
              <w:rPr>
                <w:rFonts w:ascii="Aptos" w:hAnsi="Aptos"/>
                <w:b w:val="0"/>
                <w:sz w:val="16"/>
              </w:rPr>
              <w:t>DISBURSED</w:t>
            </w:r>
          </w:p>
        </w:tc>
        <w:tc>
          <w:tcPr>
            <w:tcW w:type="dxa" w:w="3389"/>
            <w:vAlign w:val="center"/>
          </w:tcPr>
          <w:p>
            <w:pPr>
              <w:spacing w:after="20"/>
            </w:pPr>
            <w:r/>
            <w:r>
              <w:rPr>
                <w:rFonts w:ascii="Aptos" w:hAnsi="Aptos"/>
                <w:b w:val="0"/>
                <w:sz w:val="16"/>
              </w:rPr>
              <w:t>The bank has disbursed your loan</w:t>
            </w:r>
          </w:p>
        </w:tc>
        <w:tc>
          <w:tcPr>
            <w:tcW w:type="dxa" w:w="3389"/>
            <w:vAlign w:val="center"/>
          </w:tcPr>
          <w:p>
            <w:pPr>
              <w:spacing w:after="20"/>
            </w:pPr>
            <w:r/>
            <w:r>
              <w:rPr>
                <w:rFonts w:ascii="Aptos" w:hAnsi="Aptos"/>
                <w:b w:val="0"/>
                <w:sz w:val="16"/>
              </w:rPr>
              <w:t>Only after bank confirmation.</w:t>
            </w:r>
          </w:p>
        </w:tc>
      </w:tr>
      <w:tr>
        <w:tc>
          <w:tcPr>
            <w:tcW w:type="dxa" w:w="3389"/>
            <w:vAlign w:val="center"/>
            <w:shd w:fill="F2F6FA"/>
          </w:tcPr>
          <w:p>
            <w:pPr>
              <w:spacing w:after="20"/>
            </w:pPr>
            <w:r/>
            <w:r>
              <w:rPr>
                <w:rFonts w:ascii="Aptos" w:hAnsi="Aptos"/>
                <w:b w:val="0"/>
                <w:sz w:val="16"/>
              </w:rPr>
              <w:t>ON_HOLD</w:t>
            </w:r>
          </w:p>
        </w:tc>
        <w:tc>
          <w:tcPr>
            <w:tcW w:type="dxa" w:w="3389"/>
            <w:vAlign w:val="center"/>
            <w:shd w:fill="F2F6FA"/>
          </w:tcPr>
          <w:p>
            <w:pPr>
              <w:spacing w:after="20"/>
            </w:pPr>
            <w:r/>
            <w:r>
              <w:rPr>
                <w:rFonts w:ascii="Aptos" w:hAnsi="Aptos"/>
                <w:b w:val="0"/>
                <w:sz w:val="16"/>
              </w:rPr>
              <w:t>Your application is temporarily on hold</w:t>
            </w:r>
          </w:p>
        </w:tc>
        <w:tc>
          <w:tcPr>
            <w:tcW w:type="dxa" w:w="3389"/>
            <w:vAlign w:val="center"/>
            <w:shd w:fill="F2F6FA"/>
          </w:tcPr>
          <w:p>
            <w:pPr>
              <w:spacing w:after="20"/>
            </w:pPr>
            <w:r/>
            <w:r>
              <w:rPr>
                <w:rFonts w:ascii="Aptos" w:hAnsi="Aptos"/>
                <w:b w:val="0"/>
                <w:sz w:val="16"/>
              </w:rPr>
              <w:t>Give an appropriate explanation and next step where permitted.</w:t>
            </w:r>
          </w:p>
        </w:tc>
      </w:tr>
      <w:tr>
        <w:tc>
          <w:tcPr>
            <w:tcW w:type="dxa" w:w="3389"/>
            <w:vAlign w:val="center"/>
          </w:tcPr>
          <w:p>
            <w:pPr>
              <w:spacing w:after="20"/>
            </w:pPr>
            <w:r/>
            <w:r>
              <w:rPr>
                <w:rFonts w:ascii="Aptos" w:hAnsi="Aptos"/>
                <w:b w:val="0"/>
                <w:sz w:val="16"/>
              </w:rPr>
              <w:t>CLOSED / EXPIRED / WITHDRAWN</w:t>
            </w:r>
          </w:p>
        </w:tc>
        <w:tc>
          <w:tcPr>
            <w:tcW w:type="dxa" w:w="3389"/>
            <w:vAlign w:val="center"/>
          </w:tcPr>
          <w:p>
            <w:pPr>
              <w:spacing w:after="20"/>
            </w:pPr>
            <w:r/>
            <w:r>
              <w:rPr>
                <w:rFonts w:ascii="Aptos" w:hAnsi="Aptos"/>
                <w:b w:val="0"/>
                <w:sz w:val="16"/>
              </w:rPr>
              <w:t>Application closed / Application expired / Application withdrawn</w:t>
            </w:r>
          </w:p>
        </w:tc>
        <w:tc>
          <w:tcPr>
            <w:tcW w:type="dxa" w:w="3389"/>
            <w:vAlign w:val="center"/>
          </w:tcPr>
          <w:p>
            <w:pPr>
              <w:spacing w:after="20"/>
            </w:pPr>
            <w:r/>
            <w:r>
              <w:rPr>
                <w:rFonts w:ascii="Aptos" w:hAnsi="Aptos"/>
                <w:b w:val="0"/>
                <w:sz w:val="16"/>
              </w:rPr>
              <w:t>Use the accurate reason-specific label; explain resumption or contact path if available.</w:t>
            </w:r>
          </w:p>
        </w:tc>
      </w:tr>
    </w:tbl>
    <w:p/>
    <w:p>
      <w:pPr>
        <w:pStyle w:val="Heading1"/>
      </w:pPr>
      <w:r>
        <w:t>Appendix B — Minimum event record</w:t>
      </w:r>
    </w:p>
    <w:p>
      <w:r>
        <w:t>For each material action, record at minimum: event ID; application ID; attempt ID where relevant; actor/service identity; role and scope; action/event type; prior and new state/value where applicable; reason code and free-text rationale where permitted; event timestamp; source/channel; consent version and target bank where relevant; package/template version; evidence reference; approval reference; correlation/request ID; and outcome/error. Restrict personal data in event payloads and apply approved pseudonymisation and retention controls.</w:t>
      </w:r>
    </w:p>
    <w:p>
      <w:pPr>
        <w:pStyle w:val="Heading1"/>
      </w:pPr>
      <w:r>
        <w:t>Appendix C — Core implementation entities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
              <w:rPr>
                <w:rFonts w:ascii="Aptos" w:hAnsi="Aptos"/>
                <w:b/>
                <w:color w:val="FFFFFF"/>
                <w:sz w:val="16"/>
              </w:rPr>
              <w:t>Entity</w:t>
            </w:r>
          </w:p>
        </w:tc>
        <w:tc>
          <w:tcPr>
            <w:tcW w:type="dxa" w:w="5083"/>
            <w:vAlign w:val="center"/>
            <w:shd w:fill="17365D"/>
          </w:tcPr>
          <w:p>
            <w:pPr>
              <w:spacing w:after="20"/>
            </w:pPr>
            <w:r/>
            <w:r>
              <w:rPr>
                <w:rFonts w:ascii="Aptos" w:hAnsi="Aptos"/>
                <w:b/>
                <w:color w:val="FFFFFF"/>
                <w:sz w:val="16"/>
              </w:rPr>
              <w:t>Purpose / key relationships</w:t>
            </w:r>
          </w:p>
        </w:tc>
      </w:tr>
      <w:tr>
        <w:tc>
          <w:tcPr>
            <w:tcW w:type="dxa" w:w="5083"/>
            <w:vAlign w:val="center"/>
          </w:tcPr>
          <w:p>
            <w:pPr>
              <w:spacing w:after="20"/>
            </w:pPr>
            <w:r/>
            <w:r>
              <w:rPr>
                <w:rFonts w:ascii="Aptos" w:hAnsi="Aptos"/>
                <w:b w:val="0"/>
                <w:sz w:val="16"/>
              </w:rPr>
              <w:t>Applicant</w:t>
            </w:r>
          </w:p>
        </w:tc>
        <w:tc>
          <w:tcPr>
            <w:tcW w:type="dxa" w:w="5083"/>
            <w:vAlign w:val="center"/>
          </w:tcPr>
          <w:p>
            <w:pPr>
              <w:spacing w:after="20"/>
            </w:pPr>
            <w:r/>
            <w:r>
              <w:rPr>
                <w:rFonts w:ascii="Aptos" w:hAnsi="Aptos"/>
                <w:b w:val="0"/>
                <w:sz w:val="16"/>
              </w:rPr>
              <w:t>Applicant identity/contact references and authentication linkage; minimise sensitive attributes.</w:t>
            </w:r>
          </w:p>
        </w:tc>
      </w:tr>
      <w:tr>
        <w:tc>
          <w:tcPr>
            <w:tcW w:type="dxa" w:w="5083"/>
            <w:vAlign w:val="center"/>
            <w:shd w:fill="F2F6FA"/>
          </w:tcPr>
          <w:p>
            <w:pPr>
              <w:spacing w:after="20"/>
            </w:pPr>
            <w:r/>
            <w:r>
              <w:rPr>
                <w:rFonts w:ascii="Aptos" w:hAnsi="Aptos"/>
                <w:b w:val="0"/>
                <w:sz w:val="16"/>
              </w:rPr>
              <w:t>LoanApplication</w:t>
            </w:r>
          </w:p>
        </w:tc>
        <w:tc>
          <w:tcPr>
            <w:tcW w:type="dxa" w:w="5083"/>
            <w:vAlign w:val="center"/>
            <w:shd w:fill="F2F6FA"/>
          </w:tcPr>
          <w:p>
            <w:pPr>
              <w:spacing w:after="20"/>
            </w:pPr>
            <w:r/>
            <w:r>
              <w:rPr>
                <w:rFonts w:ascii="Aptos" w:hAnsi="Aptos"/>
                <w:b w:val="0"/>
                <w:sz w:val="16"/>
              </w:rPr>
              <w:t>Canonical application record, product, requested terms, attribution, owner and internal state.</w:t>
            </w:r>
          </w:p>
        </w:tc>
      </w:tr>
      <w:tr>
        <w:tc>
          <w:tcPr>
            <w:tcW w:type="dxa" w:w="5083"/>
            <w:vAlign w:val="center"/>
          </w:tcPr>
          <w:p>
            <w:pPr>
              <w:spacing w:after="20"/>
            </w:pPr>
            <w:r/>
            <w:r>
              <w:rPr>
                <w:rFonts w:ascii="Aptos" w:hAnsi="Aptos"/>
                <w:b w:val="0"/>
                <w:sz w:val="16"/>
              </w:rPr>
              <w:t>ConsentRecord</w:t>
            </w:r>
          </w:p>
        </w:tc>
        <w:tc>
          <w:tcPr>
            <w:tcW w:type="dxa" w:w="5083"/>
            <w:vAlign w:val="center"/>
          </w:tcPr>
          <w:p>
            <w:pPr>
              <w:spacing w:after="20"/>
            </w:pPr>
            <w:r/>
            <w:r>
              <w:rPr>
                <w:rFonts w:ascii="Aptos" w:hAnsi="Aptos"/>
                <w:b w:val="0"/>
                <w:sz w:val="16"/>
              </w:rPr>
              <w:t>Versioned consent, purposes, data scope, recipient, status and evidence.</w:t>
            </w:r>
          </w:p>
        </w:tc>
      </w:tr>
      <w:tr>
        <w:tc>
          <w:tcPr>
            <w:tcW w:type="dxa" w:w="5083"/>
            <w:vAlign w:val="center"/>
            <w:shd w:fill="F2F6FA"/>
          </w:tcPr>
          <w:p>
            <w:pPr>
              <w:spacing w:after="20"/>
            </w:pPr>
            <w:r/>
            <w:r>
              <w:rPr>
                <w:rFonts w:ascii="Aptos" w:hAnsi="Aptos"/>
                <w:b w:val="0"/>
                <w:sz w:val="16"/>
              </w:rPr>
              <w:t>DocumentRecord</w:t>
            </w:r>
          </w:p>
        </w:tc>
        <w:tc>
          <w:tcPr>
            <w:tcW w:type="dxa" w:w="5083"/>
            <w:vAlign w:val="center"/>
            <w:shd w:fill="F2F6FA"/>
          </w:tcPr>
          <w:p>
            <w:pPr>
              <w:spacing w:after="20"/>
            </w:pPr>
            <w:r/>
            <w:r>
              <w:rPr>
                <w:rFonts w:ascii="Aptos" w:hAnsi="Aptos"/>
                <w:b w:val="0"/>
                <w:sz w:val="16"/>
              </w:rPr>
              <w:t>Secure document metadata, version, classification, review and retention disposition.</w:t>
            </w:r>
          </w:p>
        </w:tc>
      </w:tr>
      <w:tr>
        <w:tc>
          <w:tcPr>
            <w:tcW w:type="dxa" w:w="5083"/>
            <w:vAlign w:val="center"/>
          </w:tcPr>
          <w:p>
            <w:pPr>
              <w:spacing w:after="20"/>
            </w:pPr>
            <w:r/>
            <w:r>
              <w:rPr>
                <w:rFonts w:ascii="Aptos" w:hAnsi="Aptos"/>
                <w:b w:val="0"/>
                <w:sz w:val="16"/>
              </w:rPr>
              <w:t>ReviewTask</w:t>
            </w:r>
          </w:p>
        </w:tc>
        <w:tc>
          <w:tcPr>
            <w:tcW w:type="dxa" w:w="5083"/>
            <w:vAlign w:val="center"/>
          </w:tcPr>
          <w:p>
            <w:pPr>
              <w:spacing w:after="20"/>
            </w:pPr>
            <w:r/>
            <w:r>
              <w:rPr>
                <w:rFonts w:ascii="Aptos" w:hAnsi="Aptos"/>
                <w:b w:val="0"/>
                <w:sz w:val="16"/>
              </w:rPr>
              <w:t>Quality checks, Action Needed items, assignment, due date, resolution and evidence.</w:t>
            </w:r>
          </w:p>
        </w:tc>
      </w:tr>
      <w:tr>
        <w:tc>
          <w:tcPr>
            <w:tcW w:type="dxa" w:w="5083"/>
            <w:vAlign w:val="center"/>
            <w:shd w:fill="F2F6FA"/>
          </w:tcPr>
          <w:p>
            <w:pPr>
              <w:spacing w:after="20"/>
            </w:pPr>
            <w:r/>
            <w:r>
              <w:rPr>
                <w:rFonts w:ascii="Aptos" w:hAnsi="Aptos"/>
                <w:b w:val="0"/>
                <w:sz w:val="16"/>
              </w:rPr>
              <w:t>BankConfiguration</w:t>
            </w:r>
          </w:p>
        </w:tc>
        <w:tc>
          <w:tcPr>
            <w:tcW w:type="dxa" w:w="5083"/>
            <w:vAlign w:val="center"/>
            <w:shd w:fill="F2F6FA"/>
          </w:tcPr>
          <w:p>
            <w:pPr>
              <w:spacing w:after="20"/>
            </w:pPr>
            <w:r/>
            <w:r>
              <w:rPr>
                <w:rFonts w:ascii="Aptos" w:hAnsi="Aptos"/>
                <w:b w:val="0"/>
                <w:sz w:val="16"/>
              </w:rPr>
              <w:t>Agreement state, bank/product requirements, template version, channel and authorised operators.</w:t>
            </w:r>
          </w:p>
        </w:tc>
      </w:tr>
      <w:tr>
        <w:tc>
          <w:tcPr>
            <w:tcW w:type="dxa" w:w="5083"/>
            <w:vAlign w:val="center"/>
          </w:tcPr>
          <w:p>
            <w:pPr>
              <w:spacing w:after="20"/>
            </w:pPr>
            <w:r/>
            <w:r>
              <w:rPr>
                <w:rFonts w:ascii="Aptos" w:hAnsi="Aptos"/>
                <w:b w:val="0"/>
                <w:sz w:val="16"/>
              </w:rPr>
              <w:t>SubmissionAttempt</w:t>
            </w:r>
          </w:p>
        </w:tc>
        <w:tc>
          <w:tcPr>
            <w:tcW w:type="dxa" w:w="5083"/>
            <w:vAlign w:val="center"/>
          </w:tcPr>
          <w:p>
            <w:pPr>
              <w:spacing w:after="20"/>
            </w:pPr>
            <w:r/>
            <w:r>
              <w:rPr>
                <w:rFonts w:ascii="Aptos" w:hAnsi="Aptos"/>
                <w:b w:val="0"/>
                <w:sz w:val="16"/>
              </w:rPr>
              <w:t>One bank per attempt; consent, package, operator/channel, evidence, bank reference and outcome.</w:t>
            </w:r>
          </w:p>
        </w:tc>
      </w:tr>
      <w:tr>
        <w:tc>
          <w:tcPr>
            <w:tcW w:type="dxa" w:w="5083"/>
            <w:vAlign w:val="center"/>
            <w:shd w:fill="F2F6FA"/>
          </w:tcPr>
          <w:p>
            <w:pPr>
              <w:spacing w:after="20"/>
            </w:pPr>
            <w:r/>
            <w:r>
              <w:rPr>
                <w:rFonts w:ascii="Aptos" w:hAnsi="Aptos"/>
                <w:b w:val="0"/>
                <w:sz w:val="16"/>
              </w:rPr>
              <w:t>BankStatusEvent</w:t>
            </w:r>
          </w:p>
        </w:tc>
        <w:tc>
          <w:tcPr>
            <w:tcW w:type="dxa" w:w="5083"/>
            <w:vAlign w:val="center"/>
            <w:shd w:fill="F2F6FA"/>
          </w:tcPr>
          <w:p>
            <w:pPr>
              <w:spacing w:after="20"/>
            </w:pPr>
            <w:r/>
            <w:r>
              <w:rPr>
                <w:rFonts w:ascii="Aptos" w:hAnsi="Aptos"/>
                <w:b w:val="0"/>
                <w:sz w:val="16"/>
              </w:rPr>
              <w:t>Bank-confirmed status, source, evidence, import provenance, correction lineage.</w:t>
            </w:r>
          </w:p>
        </w:tc>
      </w:tr>
      <w:tr>
        <w:tc>
          <w:tcPr>
            <w:tcW w:type="dxa" w:w="5083"/>
            <w:vAlign w:val="center"/>
          </w:tcPr>
          <w:p>
            <w:pPr>
              <w:spacing w:after="20"/>
            </w:pPr>
            <w:r/>
            <w:r>
              <w:rPr>
                <w:rFonts w:ascii="Aptos" w:hAnsi="Aptos"/>
                <w:b w:val="0"/>
                <w:sz w:val="16"/>
              </w:rPr>
              <w:t>DataRequestCase</w:t>
            </w:r>
          </w:p>
        </w:tc>
        <w:tc>
          <w:tcPr>
            <w:tcW w:type="dxa" w:w="5083"/>
            <w:vAlign w:val="center"/>
          </w:tcPr>
          <w:p>
            <w:pPr>
              <w:spacing w:after="20"/>
            </w:pPr>
            <w:r/>
            <w:r>
              <w:rPr>
                <w:rFonts w:ascii="Aptos" w:hAnsi="Aptos"/>
                <w:b w:val="0"/>
                <w:sz w:val="16"/>
              </w:rPr>
              <w:t>Access/correction/erasure/nomination request, verification, owner, decision and closure evidence.</w:t>
            </w:r>
          </w:p>
        </w:tc>
      </w:tr>
      <w:tr>
        <w:tc>
          <w:tcPr>
            <w:tcW w:type="dxa" w:w="5083"/>
            <w:vAlign w:val="center"/>
            <w:shd w:fill="F2F6FA"/>
          </w:tcPr>
          <w:p>
            <w:pPr>
              <w:spacing w:after="20"/>
            </w:pPr>
            <w:r/>
            <w:r>
              <w:rPr>
                <w:rFonts w:ascii="Aptos" w:hAnsi="Aptos"/>
                <w:b w:val="0"/>
                <w:sz w:val="16"/>
              </w:rPr>
              <w:t>ComplaintCase</w:t>
            </w:r>
          </w:p>
        </w:tc>
        <w:tc>
          <w:tcPr>
            <w:tcW w:type="dxa" w:w="5083"/>
            <w:vAlign w:val="center"/>
            <w:shd w:fill="F2F6FA"/>
          </w:tcPr>
          <w:p>
            <w:pPr>
              <w:spacing w:after="20"/>
            </w:pPr>
            <w:r/>
            <w:r>
              <w:rPr>
                <w:rFonts w:ascii="Aptos" w:hAnsi="Aptos"/>
                <w:b w:val="0"/>
                <w:sz w:val="16"/>
              </w:rPr>
              <w:t>Grievance record, category, owner, target, escalation and resolution.</w:t>
            </w:r>
          </w:p>
        </w:tc>
      </w:tr>
      <w:tr>
        <w:tc>
          <w:tcPr>
            <w:tcW w:type="dxa" w:w="5083"/>
            <w:vAlign w:val="center"/>
          </w:tcPr>
          <w:p>
            <w:pPr>
              <w:spacing w:after="20"/>
            </w:pPr>
            <w:r/>
            <w:r>
              <w:rPr>
                <w:rFonts w:ascii="Aptos" w:hAnsi="Aptos"/>
                <w:b w:val="0"/>
                <w:sz w:val="16"/>
              </w:rPr>
              <w:t>CommunicationEvent</w:t>
            </w:r>
          </w:p>
        </w:tc>
        <w:tc>
          <w:tcPr>
            <w:tcW w:type="dxa" w:w="5083"/>
            <w:vAlign w:val="center"/>
          </w:tcPr>
          <w:p>
            <w:pPr>
              <w:spacing w:after="20"/>
            </w:pPr>
            <w:r/>
            <w:r>
              <w:rPr>
                <w:rFonts w:ascii="Aptos" w:hAnsi="Aptos"/>
                <w:b w:val="0"/>
                <w:sz w:val="16"/>
              </w:rPr>
              <w:t>Template/version, channel, recipient reference, permission basis, delivery/call outcome.</w:t>
            </w:r>
          </w:p>
        </w:tc>
      </w:tr>
      <w:tr>
        <w:tc>
          <w:tcPr>
            <w:tcW w:type="dxa" w:w="5083"/>
            <w:vAlign w:val="center"/>
            <w:shd w:fill="F2F6FA"/>
          </w:tcPr>
          <w:p>
            <w:pPr>
              <w:spacing w:after="20"/>
            </w:pPr>
            <w:r/>
            <w:r>
              <w:rPr>
                <w:rFonts w:ascii="Aptos" w:hAnsi="Aptos"/>
                <w:b w:val="0"/>
                <w:sz w:val="16"/>
              </w:rPr>
              <w:t>ProcessorRecord</w:t>
            </w:r>
          </w:p>
        </w:tc>
        <w:tc>
          <w:tcPr>
            <w:tcW w:type="dxa" w:w="5083"/>
            <w:vAlign w:val="center"/>
            <w:shd w:fill="F2F6FA"/>
          </w:tcPr>
          <w:p>
            <w:pPr>
              <w:spacing w:after="20"/>
            </w:pPr>
            <w:r/>
            <w:r>
              <w:rPr>
                <w:rFonts w:ascii="Aptos" w:hAnsi="Aptos"/>
                <w:b w:val="0"/>
                <w:sz w:val="16"/>
              </w:rPr>
              <w:t>Vendor, purpose, data categories, hosting, contract, access and deletion controls.</w:t>
            </w:r>
          </w:p>
        </w:tc>
      </w:tr>
      <w:tr>
        <w:tc>
          <w:tcPr>
            <w:tcW w:type="dxa" w:w="5083"/>
            <w:vAlign w:val="center"/>
          </w:tcPr>
          <w:p>
            <w:pPr>
              <w:spacing w:after="20"/>
            </w:pPr>
            <w:r/>
            <w:r>
              <w:rPr>
                <w:rFonts w:ascii="Aptos" w:hAnsi="Aptos"/>
                <w:b w:val="0"/>
                <w:sz w:val="16"/>
              </w:rPr>
              <w:t>CommissionEntry / AffiliatePayable</w:t>
            </w:r>
          </w:p>
        </w:tc>
        <w:tc>
          <w:tcPr>
            <w:tcW w:type="dxa" w:w="5083"/>
            <w:vAlign w:val="center"/>
          </w:tcPr>
          <w:p>
            <w:pPr>
              <w:spacing w:after="20"/>
            </w:pPr>
            <w:r/>
            <w:r>
              <w:rPr>
                <w:rFonts w:ascii="Aptos" w:hAnsi="Aptos"/>
                <w:b w:val="0"/>
                <w:sz w:val="16"/>
              </w:rPr>
              <w:t>Agreement-based receivable or approved affiliate payable, reconciliation and adjustment lineage.</w:t>
            </w:r>
          </w:p>
        </w:tc>
      </w:tr>
      <w:tr>
        <w:tc>
          <w:tcPr>
            <w:tcW w:type="dxa" w:w="5083"/>
            <w:vAlign w:val="center"/>
            <w:shd w:fill="F2F6FA"/>
          </w:tcPr>
          <w:p>
            <w:pPr>
              <w:spacing w:after="20"/>
            </w:pPr>
            <w:r/>
            <w:r>
              <w:rPr>
                <w:rFonts w:ascii="Aptos" w:hAnsi="Aptos"/>
                <w:b w:val="0"/>
                <w:sz w:val="16"/>
              </w:rPr>
              <w:t>AuditEvent</w:t>
            </w:r>
          </w:p>
        </w:tc>
        <w:tc>
          <w:tcPr>
            <w:tcW w:type="dxa" w:w="5083"/>
            <w:vAlign w:val="center"/>
            <w:shd w:fill="F2F6FA"/>
          </w:tcPr>
          <w:p>
            <w:pPr>
              <w:spacing w:after="20"/>
            </w:pPr>
            <w:r/>
            <w:r>
              <w:rPr>
                <w:rFonts w:ascii="Aptos" w:hAnsi="Aptos"/>
                <w:b w:val="0"/>
                <w:sz w:val="16"/>
              </w:rPr>
              <w:t>Append-only/tamper-evident event record with privacy-minimised payload.</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product specification  •  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LOANS4INDIA  |  PLATFORM FLOW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