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26A8C"/>
        </w:rPr>
        <w:t>Step 6 — Comparison-Ready Scenario</w:t>
      </w:r>
    </w:p>
    <w:p>
      <w:pPr>
        <w:jc w:val="center"/>
      </w:pPr>
      <w:r>
        <w:rPr>
          <w:i/>
          <w:color w:val="555555"/>
          <w:sz w:val="20"/>
        </w:rPr>
        <w:t>Navigator · FYP B · Adaptive Health Assessments</w:t>
      </w:r>
    </w:p>
    <w:p/>
    <w:p>
      <w:pPr>
        <w:pStyle w:val="Heading1"/>
      </w:pPr>
      <w:r>
        <w:rPr>
          <w:color w:val="426A8C"/>
        </w:rPr>
        <w:t>1. User Profile — Alex</w:t>
      </w:r>
    </w:p>
    <w:tbl>
      <w:tblPr>
        <w:tblStyle w:val="TableGrid"/>
        <w:tblW w:type="auto" w:w="0"/>
        <w:tblLook w:firstColumn="1" w:firstRow="1" w:lastColumn="0" w:lastRow="0" w:noHBand="0" w:noVBand="1" w:val="04A0"/>
      </w:tblPr>
      <w:tblGrid>
        <w:gridCol w:w="4703"/>
        <w:gridCol w:w="4703"/>
      </w:tblGrid>
      <w:tr>
        <w:tc>
          <w:tcPr>
            <w:tcW w:type="dxa" w:w="4703"/>
            <w:shd w:val="clear" w:color="auto" w:fill="426A8C"/>
            <w:shd w:val="clear" w:color="auto" w:fill="EAF0F6"/>
          </w:tcPr>
          <w:p>
            <w:r>
              <w:t>Age</w:t>
            </w:r>
          </w:p>
        </w:tc>
        <w:tc>
          <w:tcPr>
            <w:tcW w:type="dxa" w:w="4703"/>
            <w:shd w:val="clear" w:color="auto" w:fill="426A8C"/>
            <w:shd w:val="clear" w:color="auto" w:fill="EAF0F6"/>
          </w:tcPr>
          <w:p>
            <w:r>
              <w:t>24</w:t>
            </w:r>
          </w:p>
        </w:tc>
      </w:tr>
      <w:tr>
        <w:tc>
          <w:tcPr>
            <w:tcW w:type="dxa" w:w="4703"/>
          </w:tcPr>
          <w:p>
            <w:r>
              <w:t>Gender</w:t>
            </w:r>
          </w:p>
        </w:tc>
        <w:tc>
          <w:tcPr>
            <w:tcW w:type="dxa" w:w="4703"/>
          </w:tcPr>
          <w:p>
            <w:r>
              <w:t>Female</w:t>
            </w:r>
          </w:p>
        </w:tc>
      </w:tr>
      <w:tr>
        <w:tc>
          <w:tcPr>
            <w:tcW w:type="dxa" w:w="4703"/>
            <w:shd w:val="clear" w:color="auto" w:fill="EAF0F6"/>
          </w:tcPr>
          <w:p>
            <w:r>
              <w:t>Background</w:t>
            </w:r>
          </w:p>
        </w:tc>
        <w:tc>
          <w:tcPr>
            <w:tcW w:type="dxa" w:w="4703"/>
            <w:shd w:val="clear" w:color="auto" w:fill="EAF0F6"/>
          </w:tcPr>
          <w:p>
            <w:r>
              <w:t>East Asian international student</w:t>
            </w:r>
          </w:p>
        </w:tc>
      </w:tr>
      <w:tr>
        <w:tc>
          <w:tcPr>
            <w:tcW w:type="dxa" w:w="4703"/>
          </w:tcPr>
          <w:p>
            <w:r>
              <w:t>Occupation</w:t>
            </w:r>
          </w:p>
        </w:tc>
        <w:tc>
          <w:tcPr>
            <w:tcW w:type="dxa" w:w="4703"/>
          </w:tcPr>
          <w:p>
            <w:r>
              <w:t>University student</w:t>
            </w:r>
          </w:p>
        </w:tc>
      </w:tr>
      <w:tr>
        <w:tc>
          <w:tcPr>
            <w:tcW w:type="dxa" w:w="4703"/>
            <w:shd w:val="clear" w:color="auto" w:fill="EAF0F6"/>
          </w:tcPr>
          <w:p>
            <w:r>
              <w:t>Seed version</w:t>
            </w:r>
          </w:p>
        </w:tc>
        <w:tc>
          <w:tcPr>
            <w:tcW w:type="dxa" w:w="4703"/>
            <w:shd w:val="clear" w:color="auto" w:fill="EAF0F6"/>
          </w:tcPr>
          <w:p>
            <w:r>
              <w:t>Month 1 (baseline established)</w:t>
            </w:r>
          </w:p>
        </w:tc>
      </w:tr>
    </w:tbl>
    <w:p/>
    <w:p>
      <w:pPr>
        <w:pStyle w:val="Heading1"/>
      </w:pPr>
      <w:r>
        <w:rPr>
          <w:color w:val="426A8C"/>
        </w:rPr>
        <w:t>2. Mental Health Context (Month 2)</w:t>
      </w:r>
    </w:p>
    <w:p>
      <w:pPr>
        <w:pStyle w:val="ListBullet"/>
      </w:pPr>
      <w:r>
        <w:rPr>
          <w:b/>
          <w:color w:val="E67E22"/>
        </w:rPr>
        <w:t xml:space="preserve">Risk level: </w:t>
      </w:r>
      <w:r>
        <w:rPr>
          <w:sz w:val="20"/>
        </w:rPr>
        <w:t>Mild — persistent for two consecutive months</w:t>
      </w:r>
    </w:p>
    <w:p>
      <w:pPr>
        <w:pStyle w:val="ListBullet"/>
      </w:pPr>
      <w:r>
        <w:rPr>
          <w:b/>
          <w:color w:val="1A1A2E"/>
        </w:rPr>
        <w:t xml:space="preserve">Q18 (mood frequency): </w:t>
      </w:r>
      <w:r>
        <w:rPr>
          <w:sz w:val="20"/>
        </w:rPr>
        <w:t>Score = 1 — "Several days"</w:t>
      </w:r>
    </w:p>
    <w:p>
      <w:pPr>
        <w:pStyle w:val="ListBullet"/>
      </w:pPr>
      <w:r>
        <w:rPr>
          <w:b/>
          <w:color w:val="1A1A2E"/>
        </w:rPr>
        <w:t xml:space="preserve">Q20 (isolation): </w:t>
      </w:r>
      <w:r>
        <w:rPr>
          <w:sz w:val="20"/>
        </w:rPr>
        <w:t>Score = 0 — low and stable in Month 1</w:t>
      </w:r>
    </w:p>
    <w:p>
      <w:pPr>
        <w:pStyle w:val="ListBullet"/>
      </w:pPr>
      <w:r>
        <w:rPr>
          <w:b/>
          <w:color w:val="1A1A2E"/>
        </w:rPr>
        <w:t xml:space="preserve">Q39 (functional impact): </w:t>
      </w:r>
      <w:r>
        <w:rPr>
          <w:sz w:val="20"/>
        </w:rPr>
        <w:t>Never triggered in Month 1</w:t>
      </w:r>
    </w:p>
    <w:p>
      <w:pPr>
        <w:pStyle w:val="ListBullet"/>
      </w:pPr>
      <w:r>
        <w:rPr>
          <w:b/>
          <w:color w:val="C0392B"/>
        </w:rPr>
        <w:t xml:space="preserve">Key signal: </w:t>
      </w:r>
      <w:r>
        <w:rPr>
          <w:sz w:val="20"/>
        </w:rPr>
        <w:t>Two-month pattern not captured by single-month threshold logic</w:t>
      </w:r>
    </w:p>
    <w:p/>
    <w:p>
      <w:pPr>
        <w:pStyle w:val="Heading1"/>
      </w:pPr>
      <w:r>
        <w:rPr>
          <w:color w:val="426A8C"/>
        </w:rPr>
        <w:t>3. Rule-based Question Path</w:t>
      </w:r>
    </w:p>
    <w:p>
      <w:r>
        <w:rPr>
          <w:b/>
          <w:color w:val="426A8C"/>
        </w:rPr>
        <w:t xml:space="preserve">Rule 13: </w:t>
      </w:r>
      <w:r>
        <w:t>Q18 score ≥ 2 → show Q39. Single-month threshold only. No longitudinal memory.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26A8C"/>
          </w:tcPr>
          <w:p>
            <w:r>
              <w:rPr>
                <w:b/>
                <w:color w:val="FFFFFF"/>
              </w:rPr>
              <w:t>#</w:t>
            </w:r>
          </w:p>
        </w:tc>
        <w:tc>
          <w:tcPr>
            <w:tcW w:type="dxa" w:w="2351"/>
            <w:shd w:val="clear" w:color="auto" w:fill="426A8C"/>
          </w:tcPr>
          <w:p>
            <w:r>
              <w:rPr>
                <w:b/>
                <w:color w:val="FFFFFF"/>
              </w:rPr>
              <w:t>Question</w:t>
            </w:r>
          </w:p>
        </w:tc>
        <w:tc>
          <w:tcPr>
            <w:tcW w:type="dxa" w:w="2351"/>
            <w:shd w:val="clear" w:color="auto" w:fill="426A8C"/>
          </w:tcPr>
          <w:p>
            <w:r>
              <w:rPr>
                <w:b/>
                <w:color w:val="FFFFFF"/>
              </w:rPr>
              <w:t>Status</w:t>
            </w:r>
          </w:p>
        </w:tc>
        <w:tc>
          <w:tcPr>
            <w:tcW w:type="dxa" w:w="2351"/>
            <w:shd w:val="clear" w:color="auto" w:fill="426A8C"/>
          </w:tcPr>
          <w:p>
            <w:r>
              <w:rPr>
                <w:b/>
                <w:color w:val="FFFFFF"/>
              </w:rPr>
              <w:t>Note</w:t>
            </w:r>
          </w:p>
        </w:tc>
      </w:tr>
      <w:tr>
        <w:tc>
          <w:tcPr>
            <w:tcW w:type="dxa" w:w="2351"/>
          </w:tcPr>
          <w:p>
            <w:r>
              <w:t>Q18</w:t>
            </w:r>
          </w:p>
        </w:tc>
        <w:tc>
          <w:tcPr>
            <w:tcW w:type="dxa" w:w="2351"/>
          </w:tcPr>
          <w:p>
            <w:r>
              <w:t>How often have you felt low mood, sad, hopeless, nervous, worried, or restless?</w:t>
            </w:r>
          </w:p>
        </w:tc>
        <w:tc>
          <w:tcPr>
            <w:tcW w:type="dxa" w:w="2351"/>
          </w:tcPr>
          <w:p>
            <w:r>
              <w:t>✅ Shown</w:t>
            </w:r>
          </w:p>
        </w:tc>
        <w:tc>
          <w:tcPr>
            <w:tcW w:type="dxa" w:w="2351"/>
          </w:tcPr>
          <w:p>
            <w:r>
              <w:t>Generic phrasing — identical every month</w:t>
            </w:r>
          </w:p>
        </w:tc>
      </w:tr>
      <w:tr>
        <w:tc>
          <w:tcPr>
            <w:tcW w:type="dxa" w:w="2351"/>
          </w:tcPr>
          <w:p>
            <w:r>
              <w:t>Q19</w:t>
            </w:r>
          </w:p>
        </w:tc>
        <w:tc>
          <w:tcPr>
            <w:tcW w:type="dxa" w:w="2351"/>
          </w:tcPr>
          <w:p>
            <w:r>
              <w:t>How often have you felt that important things in your life were difficult to manage?</w:t>
            </w:r>
          </w:p>
        </w:tc>
        <w:tc>
          <w:tcPr>
            <w:tcW w:type="dxa" w:w="2351"/>
          </w:tcPr>
          <w:p>
            <w:r>
              <w:t>✅ Shown</w:t>
            </w:r>
          </w:p>
        </w:tc>
        <w:tc>
          <w:tcPr>
            <w:tcW w:type="dxa" w:w="2351"/>
          </w:tcPr>
          <w:p>
            <w:r>
              <w:t>Vague — no context for student occupation</w:t>
            </w:r>
          </w:p>
        </w:tc>
      </w:tr>
      <w:tr>
        <w:tc>
          <w:tcPr>
            <w:tcW w:type="dxa" w:w="2351"/>
          </w:tcPr>
          <w:p>
            <w:r>
              <w:t>Q20</w:t>
            </w:r>
          </w:p>
        </w:tc>
        <w:tc>
          <w:tcPr>
            <w:tcW w:type="dxa" w:w="2351"/>
          </w:tcPr>
          <w:p>
            <w:r>
              <w:t>How often do you feel isolated from others?</w:t>
            </w:r>
          </w:p>
        </w:tc>
        <w:tc>
          <w:tcPr>
            <w:tcW w:type="dxa" w:w="2351"/>
          </w:tcPr>
          <w:p>
            <w:r>
              <w:t>✅ Shown</w:t>
            </w:r>
          </w:p>
        </w:tc>
        <w:tc>
          <w:tcPr>
            <w:tcW w:type="dxa" w:w="2351"/>
          </w:tcPr>
          <w:p>
            <w:r>
              <w:t>Same as Month 1 — not skipped despite stable low score</w:t>
            </w:r>
          </w:p>
        </w:tc>
      </w:tr>
      <w:tr>
        <w:tc>
          <w:tcPr>
            <w:tcW w:type="dxa" w:w="2351"/>
            <w:shd w:val="clear" w:color="auto" w:fill="FDECEA"/>
          </w:tcPr>
          <w:p>
            <w:r>
              <w:t>Q39</w:t>
            </w:r>
          </w:p>
        </w:tc>
        <w:tc>
          <w:tcPr>
            <w:tcW w:type="dxa" w:w="2351"/>
            <w:shd w:val="clear" w:color="auto" w:fill="FDECEA"/>
          </w:tcPr>
          <w:p>
            <w:r>
              <w:t>Have these feelings made it harder to manage your work or daily tasks?</w:t>
            </w:r>
          </w:p>
        </w:tc>
        <w:tc>
          <w:tcPr>
            <w:tcW w:type="dxa" w:w="2351"/>
            <w:shd w:val="clear" w:color="auto" w:fill="FDECEA"/>
          </w:tcPr>
          <w:p>
            <w:r>
              <w:t>❌ Blocked</w:t>
            </w:r>
          </w:p>
        </w:tc>
        <w:tc>
          <w:tcPr>
            <w:tcW w:type="dxa" w:w="2351"/>
            <w:shd w:val="clear" w:color="auto" w:fill="FDECEA"/>
          </w:tcPr>
          <w:p>
            <w:r>
              <w:t>Rule 13: Q18 ≥ 2 required. Alex's score = 1 → permanently hidden</w:t>
            </w:r>
          </w:p>
        </w:tc>
      </w:tr>
    </w:tbl>
    <w:p/>
    <w:p>
      <w:pPr>
        <w:pStyle w:val="Heading1"/>
      </w:pPr>
      <w:r>
        <w:rPr>
          <w:color w:val="1565C0"/>
        </w:rPr>
        <w:t>4. LLM-based Question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565C0"/>
          </w:tcPr>
          <w:p>
            <w:r>
              <w:rPr>
                <w:b/>
                <w:color w:val="FFFFFF"/>
              </w:rPr>
              <w:t>#</w:t>
            </w:r>
          </w:p>
        </w:tc>
        <w:tc>
          <w:tcPr>
            <w:tcW w:type="dxa" w:w="2351"/>
            <w:shd w:val="clear" w:color="auto" w:fill="1565C0"/>
          </w:tcPr>
          <w:p>
            <w:r>
              <w:rPr>
                <w:b/>
                <w:color w:val="FFFFFF"/>
              </w:rPr>
              <w:t>Question</w:t>
            </w:r>
          </w:p>
        </w:tc>
        <w:tc>
          <w:tcPr>
            <w:tcW w:type="dxa" w:w="2351"/>
            <w:shd w:val="clear" w:color="auto" w:fill="1565C0"/>
          </w:tcPr>
          <w:p>
            <w:r>
              <w:rPr>
                <w:b/>
                <w:color w:val="FFFFFF"/>
              </w:rPr>
              <w:t>Change</w:t>
            </w:r>
          </w:p>
        </w:tc>
        <w:tc>
          <w:tcPr>
            <w:tcW w:type="dxa" w:w="2351"/>
            <w:shd w:val="clear" w:color="auto" w:fill="1565C0"/>
          </w:tcPr>
          <w:p>
            <w:r>
              <w:rPr>
                <w:b/>
                <w:color w:val="FFFFFF"/>
              </w:rPr>
              <w:t>Why</w:t>
            </w:r>
          </w:p>
        </w:tc>
      </w:tr>
      <w:tr>
        <w:tc>
          <w:tcPr>
            <w:tcW w:type="dxa" w:w="2351"/>
          </w:tcPr>
          <w:p>
            <w:r>
              <w:t>Q18</w:t>
              <w:br/>
              <w:t>(rephrased)</w:t>
            </w:r>
          </w:p>
        </w:tc>
        <w:tc>
          <w:tcPr>
            <w:tcW w:type="dxa" w:w="2351"/>
          </w:tcPr>
          <w:p>
            <w:r>
              <w:t>Last month you reported this happening on several days. Have you continued to experience these feelings?</w:t>
            </w:r>
          </w:p>
        </w:tc>
        <w:tc>
          <w:tcPr>
            <w:tcW w:type="dxa" w:w="2351"/>
          </w:tcPr>
          <w:p>
            <w:r>
              <w:t>Rephrased</w:t>
            </w:r>
          </w:p>
        </w:tc>
        <w:tc>
          <w:tcPr>
            <w:tcW w:type="dxa" w:w="2351"/>
          </w:tcPr>
          <w:p>
            <w:r>
              <w:t>References Month 1 history — system feels aware</w:t>
            </w:r>
          </w:p>
        </w:tc>
      </w:tr>
      <w:tr>
        <w:tc>
          <w:tcPr>
            <w:tcW w:type="dxa" w:w="2351"/>
          </w:tcPr>
          <w:p>
            <w:r>
              <w:t>Q19</w:t>
              <w:br/>
              <w:t>(rephrased)</w:t>
            </w:r>
          </w:p>
        </w:tc>
        <w:tc>
          <w:tcPr>
            <w:tcW w:type="dxa" w:w="2351"/>
          </w:tcPr>
          <w:p>
            <w:r>
              <w:t>Has it felt harder than usual to stay on top of your studies, daily responsibilities, or relationships?</w:t>
            </w:r>
          </w:p>
        </w:tc>
        <w:tc>
          <w:tcPr>
            <w:tcW w:type="dxa" w:w="2351"/>
          </w:tcPr>
          <w:p>
            <w:r>
              <w:t>Rephrased</w:t>
            </w:r>
          </w:p>
        </w:tc>
        <w:tc>
          <w:tcPr>
            <w:tcW w:type="dxa" w:w="2351"/>
          </w:tcPr>
          <w:p>
            <w:r>
              <w:t>Student-specific language replaces vague phrasing</w:t>
            </w:r>
          </w:p>
        </w:tc>
      </w:tr>
      <w:tr>
        <w:tc>
          <w:tcPr>
            <w:tcW w:type="dxa" w:w="2351"/>
            <w:shd w:val="clear" w:color="auto" w:fill="E8F5E9"/>
          </w:tcPr>
          <w:p>
            <w:r>
              <w:t>NEW</w:t>
            </w:r>
          </w:p>
        </w:tc>
        <w:tc>
          <w:tcPr>
            <w:tcW w:type="dxa" w:w="2351"/>
            <w:shd w:val="clear" w:color="auto" w:fill="E8F5E9"/>
          </w:tcPr>
          <w:p>
            <w:r>
              <w:t>Since you've reported similar feelings for two months in a row, is it getting better, about the same, or worse?</w:t>
            </w:r>
          </w:p>
        </w:tc>
        <w:tc>
          <w:tcPr>
            <w:tcW w:type="dxa" w:w="2351"/>
            <w:shd w:val="clear" w:color="auto" w:fill="E8F5E9"/>
          </w:tcPr>
          <w:p>
            <w:r>
              <w:t>Added</w:t>
            </w:r>
          </w:p>
        </w:tc>
        <w:tc>
          <w:tcPr>
            <w:tcW w:type="dxa" w:w="2351"/>
            <w:shd w:val="clear" w:color="auto" w:fill="E8F5E9"/>
          </w:tcPr>
          <w:p>
            <w:r>
              <w:t>Longitudinal trend signal — not possible with rule-based logic</w:t>
            </w:r>
          </w:p>
        </w:tc>
      </w:tr>
      <w:tr>
        <w:tc>
          <w:tcPr>
            <w:tcW w:type="dxa" w:w="2351"/>
            <w:shd w:val="clear" w:color="auto" w:fill="E3F2FD"/>
          </w:tcPr>
          <w:p>
            <w:r>
              <w:t>Q39</w:t>
              <w:br/>
              <w:t>(unlocked)</w:t>
            </w:r>
          </w:p>
        </w:tc>
        <w:tc>
          <w:tcPr>
            <w:tcW w:type="dxa" w:w="2351"/>
            <w:shd w:val="clear" w:color="auto" w:fill="E3F2FD"/>
          </w:tcPr>
          <w:p>
            <w:r>
              <w:t>Have these feelings made it harder to attend classes, complete work, or maintain relationships?</w:t>
            </w:r>
          </w:p>
        </w:tc>
        <w:tc>
          <w:tcPr>
            <w:tcW w:type="dxa" w:w="2351"/>
            <w:shd w:val="clear" w:color="auto" w:fill="E3F2FD"/>
          </w:tcPr>
          <w:p>
            <w:r>
              <w:t>Unlocked early</w:t>
            </w:r>
          </w:p>
        </w:tc>
        <w:tc>
          <w:tcPr>
            <w:tcW w:type="dxa" w:w="2351"/>
            <w:shd w:val="clear" w:color="auto" w:fill="E3F2FD"/>
          </w:tcPr>
          <w:p>
            <w:r>
              <w:t>Two-month pattern justifies surfacing; student context applied</w:t>
            </w:r>
          </w:p>
        </w:tc>
      </w:tr>
      <w:tr>
        <w:tc>
          <w:tcPr>
            <w:tcW w:type="dxa" w:w="2351"/>
            <w:shd w:val="clear" w:color="auto" w:fill="F5F5F5"/>
          </w:tcPr>
          <w:p>
            <w:r>
              <w:t>Q20</w:t>
            </w:r>
          </w:p>
        </w:tc>
        <w:tc>
          <w:tcPr>
            <w:tcW w:type="dxa" w:w="2351"/>
            <w:shd w:val="clear" w:color="auto" w:fill="F5F5F5"/>
          </w:tcPr>
          <w:p>
            <w:r>
              <w:t>(skipped)</w:t>
            </w:r>
          </w:p>
        </w:tc>
        <w:tc>
          <w:tcPr>
            <w:tcW w:type="dxa" w:w="2351"/>
            <w:shd w:val="clear" w:color="auto" w:fill="F5F5F5"/>
          </w:tcPr>
          <w:p>
            <w:r>
              <w:t>Removed</w:t>
            </w:r>
          </w:p>
        </w:tc>
        <w:tc>
          <w:tcPr>
            <w:tcW w:type="dxa" w:w="2351"/>
            <w:shd w:val="clear" w:color="auto" w:fill="F5F5F5"/>
          </w:tcPr>
          <w:p>
            <w:r>
              <w:t>Low and stable in Month 1 — no new information expected</w:t>
            </w:r>
          </w:p>
        </w:tc>
      </w:tr>
    </w:tbl>
    <w:p/>
    <w:p>
      <w:pPr>
        <w:pStyle w:val="Heading1"/>
      </w:pPr>
      <w:r>
        <w:rPr>
          <w:color w:val="426A8C"/>
        </w:rPr>
        <w:t>5. What Is Different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26A8C"/>
          </w:tcPr>
          <w:p>
            <w:r>
              <w:rPr>
                <w:b/>
                <w:color w:val="FFFFFF"/>
              </w:rPr>
              <w:t>Dimension</w:t>
            </w:r>
          </w:p>
        </w:tc>
        <w:tc>
          <w:tcPr>
            <w:tcW w:type="dxa" w:w="3135"/>
            <w:shd w:val="clear" w:color="auto" w:fill="426A8C"/>
          </w:tcPr>
          <w:p>
            <w:r>
              <w:rPr>
                <w:b/>
                <w:color w:val="FFFFFF"/>
              </w:rPr>
              <w:t>Rule-based</w:t>
            </w:r>
          </w:p>
        </w:tc>
        <w:tc>
          <w:tcPr>
            <w:tcW w:type="dxa" w:w="3135"/>
            <w:shd w:val="clear" w:color="auto" w:fill="1565C0"/>
          </w:tcPr>
          <w:p>
            <w:r>
              <w:rPr>
                <w:b/>
                <w:color w:val="FFFFFF"/>
              </w:rPr>
              <w:t>LLM-based</w:t>
            </w:r>
          </w:p>
        </w:tc>
      </w:tr>
      <w:tr>
        <w:tc>
          <w:tcPr>
            <w:tcW w:type="dxa" w:w="3135"/>
            <w:shd w:val="clear" w:color="auto" w:fill="EAF0F6"/>
          </w:tcPr>
          <w:p>
            <w:r>
              <w:rPr>
                <w:b/>
              </w:rPr>
              <w:t>Phrasing</w:t>
            </w:r>
          </w:p>
        </w:tc>
        <w:tc>
          <w:tcPr>
            <w:tcW w:type="dxa" w:w="3135"/>
            <w:shd w:val="clear" w:color="auto" w:fill="EAF0F6"/>
          </w:tcPr>
          <w:p>
            <w:r>
              <w:t>Generic, identical each month</w:t>
            </w:r>
          </w:p>
        </w:tc>
        <w:tc>
          <w:tcPr>
            <w:tcW w:type="dxa" w:w="3135"/>
          </w:tcPr>
          <w:p>
            <w:r>
              <w:t>Personalised to context and history</w:t>
            </w:r>
          </w:p>
        </w:tc>
      </w:tr>
      <w:tr>
        <w:tc>
          <w:tcPr>
            <w:tcW w:type="dxa" w:w="3135"/>
          </w:tcPr>
          <w:p>
            <w:r>
              <w:rPr>
                <w:b/>
              </w:rPr>
              <w:t>Question selection</w:t>
            </w:r>
          </w:p>
        </w:tc>
        <w:tc>
          <w:tcPr>
            <w:tcW w:type="dxa" w:w="3135"/>
          </w:tcPr>
          <w:p>
            <w:r>
              <w:t>Fixed — all questions always shown</w:t>
            </w:r>
          </w:p>
        </w:tc>
        <w:tc>
          <w:tcPr>
            <w:tcW w:type="dxa" w:w="3135"/>
          </w:tcPr>
          <w:p>
            <w:r>
              <w:t>Dynamic — low-signal questions skipped</w:t>
            </w:r>
          </w:p>
        </w:tc>
      </w:tr>
      <w:tr>
        <w:tc>
          <w:tcPr>
            <w:tcW w:type="dxa" w:w="3135"/>
            <w:shd w:val="clear" w:color="auto" w:fill="EAF0F6"/>
          </w:tcPr>
          <w:p>
            <w:r>
              <w:rPr>
                <w:b/>
              </w:rPr>
              <w:t>Longitudinal awareness</w:t>
            </w:r>
          </w:p>
        </w:tc>
        <w:tc>
          <w:tcPr>
            <w:tcW w:type="dxa" w:w="3135"/>
            <w:shd w:val="clear" w:color="auto" w:fill="EAF0F6"/>
          </w:tcPr>
          <w:p>
            <w:r>
              <w:t>None — resets each month</w:t>
            </w:r>
          </w:p>
        </w:tc>
        <w:tc>
          <w:tcPr>
            <w:tcW w:type="dxa" w:w="3135"/>
          </w:tcPr>
          <w:p>
            <w:r>
              <w:t>Uses Month 1 seed to inform Month 2</w:t>
            </w:r>
          </w:p>
        </w:tc>
      </w:tr>
      <w:tr>
        <w:tc>
          <w:tcPr>
            <w:tcW w:type="dxa" w:w="3135"/>
          </w:tcPr>
          <w:p>
            <w:r>
              <w:rPr>
                <w:b/>
              </w:rPr>
              <w:t>Q39 access</w:t>
            </w:r>
          </w:p>
        </w:tc>
        <w:tc>
          <w:tcPr>
            <w:tcW w:type="dxa" w:w="3135"/>
          </w:tcPr>
          <w:p>
            <w:r>
              <w:t>Blocked unless Q18 ≥ 2</w:t>
            </w:r>
          </w:p>
        </w:tc>
        <w:tc>
          <w:tcPr>
            <w:tcW w:type="dxa" w:w="3135"/>
          </w:tcPr>
          <w:p>
            <w:r>
              <w:t>Unlocked by two-month pattern</w:t>
            </w:r>
          </w:p>
        </w:tc>
      </w:tr>
      <w:tr>
        <w:tc>
          <w:tcPr>
            <w:tcW w:type="dxa" w:w="3135"/>
            <w:shd w:val="clear" w:color="auto" w:fill="EAF0F6"/>
          </w:tcPr>
          <w:p>
            <w:r>
              <w:rPr>
                <w:b/>
              </w:rPr>
              <w:t>New question types</w:t>
            </w:r>
          </w:p>
        </w:tc>
        <w:tc>
          <w:tcPr>
            <w:tcW w:type="dxa" w:w="3135"/>
            <w:shd w:val="clear" w:color="auto" w:fill="EAF0F6"/>
          </w:tcPr>
          <w:p>
            <w:r>
              <w:t>Not possible</w:t>
            </w:r>
          </w:p>
        </w:tc>
        <w:tc>
          <w:tcPr>
            <w:tcW w:type="dxa" w:w="3135"/>
          </w:tcPr>
          <w:p>
            <w:r>
              <w:t>Trend-direction question added</w:t>
            </w:r>
          </w:p>
        </w:tc>
      </w:tr>
    </w:tbl>
    <w:p/>
    <w:p>
      <w:pPr>
        <w:pStyle w:val="Heading1"/>
      </w:pPr>
      <w:r>
        <w:rPr>
          <w:color w:val="426A8C"/>
        </w:rPr>
        <w:t>6. Why That Difference Matters</w:t>
      </w:r>
    </w:p>
    <w:p>
      <w:r>
        <w:t xml:space="preserve">The rule-based system treats every monthly check-in as independent. Alex answers the same questions in the same order every month, and Q39 — the functional impact question — is permanently gated behind a score threshold she never reaches despite two months of persistent mild risk. The LLM-based system reads her Month 1 seed before generating questions: it acknowledges her history, skips questions unlikely to yield new information (Q20), unlocks Q39 early because the longitudinal pattern warrants it, and rephrases questions in language that matches her life as a student. The core difference is </w:t>
      </w:r>
      <w:r>
        <w:rPr>
          <w:b/>
          <w:color w:val="1565C0"/>
        </w:rPr>
        <w:t>selection on the fly</w:t>
      </w:r>
      <w:r>
        <w:t xml:space="preserve"> — the question set is assembled from the same question bank, but the LLM decides which questions are worth asking this month for this person.</w:t>
      </w:r>
    </w:p>
    <w:p/>
    <w:p>
      <w:pPr>
        <w:pStyle w:val="Heading1"/>
      </w:pPr>
      <w:r>
        <w:rPr>
          <w:color w:val="E67E22"/>
        </w:rPr>
        <w:t>7. 1-Minute Demo Story</w:t>
      </w:r>
    </w:p>
    <w:p>
      <w:r>
        <w:rPr>
          <w:b w:val="0"/>
          <w:color w:val="1A1A2E"/>
        </w:rPr>
        <w:t xml:space="preserve">“Meet Alex — </w:t>
      </w:r>
      <w:r>
        <w:rPr>
          <w:b w:val="0"/>
          <w:color w:val="1A1A2E"/>
        </w:rPr>
        <w:t>a 24-year-old international student. She has been flagged as Mild risk for mental health two months in a row.</w:t>
      </w:r>
    </w:p>
    <w:p>
      <w:pPr>
        <w:pStyle w:val="ListBullet"/>
      </w:pPr>
      <w:r>
        <w:rPr>
          <w:b/>
          <w:color w:val="426A8C"/>
        </w:rPr>
        <w:t xml:space="preserve">Rule-based version: </w:t>
      </w:r>
      <w:r>
        <w:rPr>
          <w:sz w:val="20"/>
        </w:rPr>
        <w:t>She gets the same four questions she got last month. One of them — the functional impact question — is blocked by a hard rule because her score was not high enough. The system does not know she has been struggling for two months.</w:t>
      </w:r>
    </w:p>
    <w:p>
      <w:pPr>
        <w:pStyle w:val="ListBullet"/>
      </w:pPr>
      <w:r>
        <w:rPr>
          <w:b/>
          <w:color w:val="1565C0"/>
        </w:rPr>
        <w:t xml:space="preserve">LLM-based version: </w:t>
      </w:r>
      <w:r>
        <w:rPr>
          <w:sz w:val="20"/>
        </w:rPr>
        <w:t>The system reads her Month 1 history before asking the first question. It acknowledges what she reported last month. It asks about her studies instead of vague “important things”. It skips the isolation question because nothing changed there. And it unlocks the functional impact question — because two months of mild risk is a pattern that matters, even if no single month crossed the threshold.</w:t>
      </w:r>
    </w:p>
    <w:p>
      <w:r>
        <w:rPr>
          <w:b/>
          <w:i/>
          <w:color w:val="1A1A2E"/>
          <w:sz w:val="22"/>
        </w:rPr>
        <w:t>Same question bank. Very different experience.”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