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26A8C"/>
        </w:rPr>
        <w:t>Technical Summary for Ethics Application</w:t>
      </w:r>
    </w:p>
    <w:p>
      <w:pPr>
        <w:jc w:val="center"/>
      </w:pPr>
      <w:r>
        <w:rPr>
          <w:i/>
          <w:color w:val="555555"/>
          <w:sz w:val="20"/>
        </w:rPr>
        <w:t>Navigator · FYP B · Prepared for Ethics Application Support</w:t>
      </w:r>
    </w:p>
    <w:p/>
    <w:p>
      <w:pPr>
        <w:pStyle w:val="Heading1"/>
      </w:pPr>
      <w:r>
        <w:rPr>
          <w:color w:val="426A8C"/>
        </w:rPr>
        <w:t>1. What is the Prototype?</w:t>
      </w:r>
    </w:p>
    <w:p>
      <w:r>
        <w:t>Navigator is a web-based prototype that demonstrates two different approaches to adaptive mental health questionnaires. It is accessed via a public URL (hosted on Vercel) from any device — desktop or mobile browser. No installation is required.</w:t>
      </w:r>
    </w:p>
    <w:p>
      <w:pPr>
        <w:pStyle w:val="Heading1"/>
      </w:pPr>
      <w:r>
        <w:rPr>
          <w:color w:val="426A8C"/>
        </w:rPr>
        <w:t>2. How Participants Access the Prototype</w:t>
      </w:r>
    </w:p>
    <w:p>
      <w:pPr>
        <w:pStyle w:val="ListBullet"/>
      </w:pPr>
      <w:r>
        <w:t>Participants receive a public URL link.</w:t>
      </w:r>
    </w:p>
    <w:p>
      <w:pPr>
        <w:pStyle w:val="ListBullet"/>
      </w:pPr>
      <w:r>
        <w:t>No account creation or login is required.</w:t>
      </w:r>
    </w:p>
    <w:p>
      <w:pPr>
        <w:pStyle w:val="ListBullet"/>
      </w:pPr>
      <w:r>
        <w:t>The prototype runs entirely in the browser.</w:t>
      </w:r>
    </w:p>
    <w:p>
      <w:pPr>
        <w:pStyle w:val="ListBullet"/>
      </w:pPr>
      <w:r>
        <w:t>Accessible on desktop and mobile devices.</w:t>
      </w:r>
    </w:p>
    <w:p>
      <w:pPr>
        <w:pStyle w:val="Heading1"/>
      </w:pPr>
      <w:r>
        <w:rPr>
          <w:color w:val="426A8C"/>
        </w:rPr>
        <w:t>3. What Data is Collected</w:t>
      </w:r>
    </w:p>
    <w:p>
      <w:r>
        <w:t>When a participant completes a check-in, the following data is recorded in a Supabase (PostgreSQL) database: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26A8C"/>
          </w:tcPr>
          <w:p>
            <w:r>
              <w:rPr>
                <w:b/>
                <w:color w:val="FFFFFF"/>
              </w:rPr>
              <w:t>Data Item</w:t>
            </w:r>
          </w:p>
        </w:tc>
        <w:tc>
          <w:tcPr>
            <w:tcW w:type="dxa" w:w="4703"/>
            <w:shd w:val="clear" w:color="auto" w:fill="426A8C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  <w:shd w:val="clear" w:color="auto" w:fill="EAF0F6"/>
          </w:tcPr>
          <w:p>
            <w:r>
              <w:t>Responses</w:t>
            </w:r>
          </w:p>
        </w:tc>
        <w:tc>
          <w:tcPr>
            <w:tcW w:type="dxa" w:w="4703"/>
            <w:shd w:val="clear" w:color="auto" w:fill="EAF0F6"/>
          </w:tcPr>
          <w:p>
            <w:r>
              <w:t>The option selected or number entered for each question.</w:t>
            </w:r>
          </w:p>
        </w:tc>
      </w:tr>
      <w:tr>
        <w:tc>
          <w:tcPr>
            <w:tcW w:type="dxa" w:w="4703"/>
          </w:tcPr>
          <w:p>
            <w:r>
              <w:t>Session ID</w:t>
            </w:r>
          </w:p>
        </w:tc>
        <w:tc>
          <w:tcPr>
            <w:tcW w:type="dxa" w:w="4703"/>
          </w:tcPr>
          <w:p>
            <w:r>
              <w:t>An anonymous identifier per session. Not linked to any personal identity.</w:t>
            </w:r>
          </w:p>
        </w:tc>
      </w:tr>
      <w:tr>
        <w:tc>
          <w:tcPr>
            <w:tcW w:type="dxa" w:w="4703"/>
            <w:shd w:val="clear" w:color="auto" w:fill="EAF0F6"/>
          </w:tcPr>
          <w:p>
            <w:r>
              <w:t>Domain scores</w:t>
            </w:r>
          </w:p>
        </w:tc>
        <w:tc>
          <w:tcPr>
            <w:tcW w:type="dxa" w:w="4703"/>
            <w:shd w:val="clear" w:color="auto" w:fill="EAF0F6"/>
          </w:tcPr>
          <w:p>
            <w:r>
              <w:t>Computed risk level per health domain (e.g., Mental Health: Mild).</w:t>
            </w:r>
          </w:p>
        </w:tc>
      </w:tr>
      <w:tr>
        <w:tc>
          <w:tcPr>
            <w:tcW w:type="dxa" w:w="4703"/>
          </w:tcPr>
          <w:p>
            <w:r>
              <w:t>Completion status</w:t>
            </w:r>
          </w:p>
        </w:tc>
        <w:tc>
          <w:tcPr>
            <w:tcW w:type="dxa" w:w="4703"/>
          </w:tcPr>
          <w:p>
            <w:r>
              <w:t>Whether the session was completed or left incomplete.</w:t>
            </w:r>
          </w:p>
        </w:tc>
      </w:tr>
      <w:tr>
        <w:tc>
          <w:tcPr>
            <w:tcW w:type="dxa" w:w="4703"/>
            <w:shd w:val="clear" w:color="auto" w:fill="EAF0F6"/>
          </w:tcPr>
          <w:p>
            <w:r>
              <w:t>Timestamp</w:t>
            </w:r>
          </w:p>
        </w:tc>
        <w:tc>
          <w:tcPr>
            <w:tcW w:type="dxa" w:w="4703"/>
            <w:shd w:val="clear" w:color="auto" w:fill="EAF0F6"/>
          </w:tcPr>
          <w:p>
            <w:r>
              <w:t>The time the session was created and completed.</w:t>
            </w:r>
          </w:p>
        </w:tc>
      </w:tr>
    </w:tbl>
    <w:p/>
    <w:p>
      <w:r>
        <w:rPr>
          <w:b/>
        </w:rPr>
        <w:t xml:space="preserve">No personal information is collected. </w:t>
      </w:r>
      <w:r>
        <w:t>There is no name, email, student ID, or any other identifying information stored. All sessions are anonymous.</w:t>
      </w:r>
    </w:p>
    <w:p>
      <w:pPr>
        <w:pStyle w:val="Heading1"/>
      </w:pPr>
      <w:r>
        <w:rPr>
          <w:color w:val="426A8C"/>
        </w:rPr>
        <w:t>4. How the Rule-based Method Works</w:t>
      </w:r>
    </w:p>
    <w:p>
      <w:r>
        <w:t>The rule-based method uses a fixed set of predefined branching rules stored in the database:</w:t>
      </w:r>
    </w:p>
    <w:p>
      <w:pPr>
        <w:pStyle w:val="ListBullet"/>
      </w:pPr>
      <w:r>
        <w:t>Questions are fixed — the same set is shown to every participant each month.</w:t>
      </w:r>
    </w:p>
    <w:p>
      <w:pPr>
        <w:pStyle w:val="ListBullet"/>
      </w:pPr>
      <w:r>
        <w:t>Follow-up questions unlock only when a specific score threshold is met (e.g., Q39 appears only if Q18 score ≥ 2).</w:t>
      </w:r>
    </w:p>
    <w:p>
      <w:pPr>
        <w:pStyle w:val="ListBullet"/>
      </w:pPr>
      <w:r>
        <w:t>The system has no memory of previous sessions.</w:t>
      </w:r>
    </w:p>
    <w:p>
      <w:pPr>
        <w:pStyle w:val="ListBullet"/>
      </w:pPr>
      <w:r>
        <w:t>No AI or external API is involved.</w:t>
      </w:r>
    </w:p>
    <w:p>
      <w:pPr>
        <w:pStyle w:val="Heading1"/>
      </w:pPr>
      <w:r>
        <w:rPr>
          <w:color w:val="426A8C"/>
        </w:rPr>
        <w:t>5. How the LLM-based Method Works</w:t>
      </w:r>
    </w:p>
    <w:p>
      <w:r>
        <w:t>The LLM-based method uses Google Gemini (gemini-2.5-flash, free tier) to generate a personalised question set before the check-in begins:</w:t>
      </w:r>
    </w:p>
    <w:p>
      <w:pPr>
        <w:pStyle w:val="ListBullet"/>
      </w:pPr>
      <w:r>
        <w:t>A mock user profile (“seed”) containing prior-month context is passed to the Gemini API as a structured prompt.</w:t>
      </w:r>
    </w:p>
    <w:p>
      <w:pPr>
        <w:pStyle w:val="ListBullet"/>
      </w:pPr>
      <w:r>
        <w:t>The LLM selects which questions to include, skips low-signal questions, and rewrites wording to match the user’s context.</w:t>
      </w:r>
    </w:p>
    <w:p>
      <w:pPr>
        <w:pStyle w:val="ListBullet"/>
      </w:pPr>
      <w:r>
        <w:t>The generated questions are returned as JSON and displayed to the participant.</w:t>
      </w:r>
    </w:p>
    <w:p>
      <w:pPr>
        <w:pStyle w:val="ListBullet"/>
      </w:pPr>
      <w:r>
        <w:t>The LLM output is question text only — it does not interpret answers or make clinical decisions.</w:t>
      </w:r>
    </w:p>
    <w:p>
      <w:pPr>
        <w:pStyle w:val="ListBullet"/>
      </w:pPr>
      <w:r>
        <w:t>If the API is unavailable, the system falls back to a hardcoded mock question set.</w:t>
      </w:r>
    </w:p>
    <w:p>
      <w:pPr>
        <w:pStyle w:val="ListBullet"/>
      </w:pPr>
      <w:r>
        <w:t>Participant answers are NOT sent to the Gemini API — only the prior-month seed profile is.</w:t>
      </w:r>
    </w:p>
    <w:p>
      <w:pPr>
        <w:pStyle w:val="Heading1"/>
      </w:pPr>
      <w:r>
        <w:rPr>
          <w:color w:val="426A8C"/>
        </w:rPr>
        <w:t>6. What the LLM Does NOT Do</w:t>
      </w:r>
    </w:p>
    <w:p>
      <w:pPr>
        <w:pStyle w:val="ListBullet"/>
      </w:pPr>
      <w:r>
        <w:t>Does not diagnose, assess, or make any clinical judgement.</w:t>
      </w:r>
    </w:p>
    <w:p>
      <w:pPr>
        <w:pStyle w:val="ListBullet"/>
      </w:pPr>
      <w:r>
        <w:t>Does not receive or store participant answers.</w:t>
      </w:r>
    </w:p>
    <w:p>
      <w:pPr>
        <w:pStyle w:val="ListBullet"/>
      </w:pPr>
      <w:r>
        <w:t>Does not generate advice, recommendations, or feedback to the participant.</w:t>
      </w:r>
    </w:p>
    <w:p>
      <w:pPr>
        <w:pStyle w:val="ListBullet"/>
      </w:pPr>
      <w:r>
        <w:t>Does not identify or profile individual participants.</w:t>
      </w:r>
    </w:p>
    <w:p>
      <w:pPr>
        <w:pStyle w:val="ListBullet"/>
      </w:pPr>
      <w:r>
        <w:t>Output is limited to question wording only.</w:t>
      </w:r>
    </w:p>
    <w:p>
      <w:pPr>
        <w:pStyle w:val="Heading1"/>
      </w:pPr>
      <w:r>
        <w:rPr>
          <w:color w:val="426A8C"/>
        </w:rPr>
        <w:t>7. Study Design Context</w:t>
      </w:r>
    </w:p>
    <w:p>
      <w:r>
        <w:t>Participants complete one or both of the following mental health monthly check-ins: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26A8C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703"/>
            <w:shd w:val="clear" w:color="auto" w:fill="426A8C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  <w:shd w:val="clear" w:color="auto" w:fill="EAF0F6"/>
          </w:tcPr>
          <w:p>
            <w:r>
              <w:t>Rule-based</w:t>
            </w:r>
          </w:p>
        </w:tc>
        <w:tc>
          <w:tcPr>
            <w:tcW w:type="dxa" w:w="4703"/>
            <w:shd w:val="clear" w:color="auto" w:fill="EAF0F6"/>
          </w:tcPr>
          <w:p>
            <w:r>
              <w:t>3 fixed mental health questions. Branching controlled by predefined score thresholds.</w:t>
            </w:r>
          </w:p>
        </w:tc>
      </w:tr>
      <w:tr>
        <w:tc>
          <w:tcPr>
            <w:tcW w:type="dxa" w:w="4703"/>
          </w:tcPr>
          <w:p>
            <w:r>
              <w:t>LLM-based</w:t>
            </w:r>
          </w:p>
        </w:tc>
        <w:tc>
          <w:tcPr>
            <w:tcW w:type="dxa" w:w="4703"/>
          </w:tcPr>
          <w:p>
            <w:r>
              <w:t>3–4 personalised questions. Generated by Gemini based on a mock prior-month profile.</w:t>
            </w:r>
          </w:p>
        </w:tc>
      </w:tr>
    </w:tbl>
    <w:p/>
    <w:p>
      <w:r>
        <w:t>After completing each check-in, participants rate the questions on three dimensions: Clarity, Relevance, and Quality (via Likert scale survey).</w:t>
      </w:r>
    </w:p>
    <w:p>
      <w:pPr>
        <w:pStyle w:val="Heading1"/>
      </w:pPr>
      <w:r>
        <w:rPr>
          <w:color w:val="426A8C"/>
        </w:rPr>
        <w:t>8. Technical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26A8C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703"/>
            <w:shd w:val="clear" w:color="auto" w:fill="426A8C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703"/>
            <w:shd w:val="clear" w:color="auto" w:fill="EAF0F6"/>
          </w:tcPr>
          <w:p>
            <w:r>
              <w:t>Frontend</w:t>
            </w:r>
          </w:p>
        </w:tc>
        <w:tc>
          <w:tcPr>
            <w:tcW w:type="dxa" w:w="4703"/>
            <w:shd w:val="clear" w:color="auto" w:fill="EAF0F6"/>
          </w:tcPr>
          <w:p>
            <w:r>
              <w:t>Flutter (Dart) — compiled to web</w:t>
            </w:r>
          </w:p>
        </w:tc>
      </w:tr>
      <w:tr>
        <w:tc>
          <w:tcPr>
            <w:tcW w:type="dxa" w:w="4703"/>
          </w:tcPr>
          <w:p>
            <w:r>
              <w:t>Database</w:t>
            </w:r>
          </w:p>
        </w:tc>
        <w:tc>
          <w:tcPr>
            <w:tcW w:type="dxa" w:w="4703"/>
          </w:tcPr>
          <w:p>
            <w:r>
              <w:t>Supabase (PostgreSQL) — anonymous session and response storage</w:t>
            </w:r>
          </w:p>
        </w:tc>
      </w:tr>
      <w:tr>
        <w:tc>
          <w:tcPr>
            <w:tcW w:type="dxa" w:w="4703"/>
            <w:shd w:val="clear" w:color="auto" w:fill="EAF0F6"/>
          </w:tcPr>
          <w:p>
            <w:r>
              <w:t>LLM API</w:t>
            </w:r>
          </w:p>
        </w:tc>
        <w:tc>
          <w:tcPr>
            <w:tcW w:type="dxa" w:w="4703"/>
            <w:shd w:val="clear" w:color="auto" w:fill="EAF0F6"/>
          </w:tcPr>
          <w:p>
            <w:r>
              <w:t>Google Gemini 2.5 Flash — free tier, question generation only</w:t>
            </w:r>
          </w:p>
        </w:tc>
      </w:tr>
      <w:tr>
        <w:tc>
          <w:tcPr>
            <w:tcW w:type="dxa" w:w="4703"/>
          </w:tcPr>
          <w:p>
            <w:r>
              <w:t>Hosting</w:t>
            </w:r>
          </w:p>
        </w:tc>
        <w:tc>
          <w:tcPr>
            <w:tcW w:type="dxa" w:w="4703"/>
          </w:tcPr>
          <w:p>
            <w:r>
              <w:t>Vercel — public web deployment via GitHub Actions CI/CD</w:t>
            </w:r>
          </w:p>
        </w:tc>
      </w:tr>
      <w:tr>
        <w:tc>
          <w:tcPr>
            <w:tcW w:type="dxa" w:w="4703"/>
            <w:shd w:val="clear" w:color="auto" w:fill="EAF0F6"/>
          </w:tcPr>
          <w:p>
            <w:r>
              <w:t>Source code</w:t>
            </w:r>
          </w:p>
        </w:tc>
        <w:tc>
          <w:tcPr>
            <w:tcW w:type="dxa" w:w="4703"/>
            <w:shd w:val="clear" w:color="auto" w:fill="EAF0F6"/>
          </w:tcPr>
          <w:p>
            <w:r>
              <w:t>Private GitHub repository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