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A221" w14:textId="4C1B6EAF" w:rsidR="003C5F23" w:rsidRDefault="003C5F23" w:rsidP="003C5F23">
      <w:pPr>
        <w:pStyle w:val="papertitle"/>
        <w:rPr>
          <w:sz w:val="16"/>
          <w:szCs w:val="16"/>
        </w:rPr>
      </w:pPr>
      <w:bookmarkStart w:id="0" w:name="_Hlk95610191"/>
      <w:bookmarkEnd w:id="0"/>
      <w:r w:rsidRPr="003C5F23">
        <w:t>Forecasting of Fish Commodities and the Impact of Covid-19 in Metro Manila</w:t>
      </w:r>
    </w:p>
    <w:p w14:paraId="185E8920" w14:textId="77777777" w:rsidR="002665FE" w:rsidRPr="00CA4392" w:rsidRDefault="002665FE" w:rsidP="002665FE">
      <w:pPr>
        <w:pStyle w:val="Author"/>
        <w:spacing w:before="100" w:beforeAutospacing="1" w:after="100" w:afterAutospacing="1" w:line="120" w:lineRule="auto"/>
        <w:rPr>
          <w:sz w:val="16"/>
          <w:szCs w:val="16"/>
        </w:rPr>
        <w:sectPr w:rsidR="002665FE" w:rsidRPr="00CA4392" w:rsidSect="002665FE">
          <w:footerReference w:type="first" r:id="rId11"/>
          <w:type w:val="continuous"/>
          <w:pgSz w:w="11906" w:h="16838" w:code="9"/>
          <w:pgMar w:top="540" w:right="893" w:bottom="1440" w:left="893" w:header="720" w:footer="720" w:gutter="0"/>
          <w:cols w:space="720"/>
          <w:titlePg/>
          <w:docGrid w:linePitch="360"/>
        </w:sectPr>
      </w:pPr>
    </w:p>
    <w:p w14:paraId="7DBF4735" w14:textId="1CA1FC5C" w:rsidR="002665FE" w:rsidRDefault="0066560B" w:rsidP="002665FE">
      <w:pPr>
        <w:pStyle w:val="Author"/>
        <w:spacing w:before="100" w:beforeAutospacing="1"/>
        <w:rPr>
          <w:sz w:val="18"/>
          <w:szCs w:val="18"/>
        </w:rPr>
      </w:pPr>
      <w:r w:rsidRPr="0066560B">
        <w:rPr>
          <w:sz w:val="18"/>
          <w:szCs w:val="18"/>
        </w:rPr>
        <w:t>Jediboy Betos</w:t>
      </w:r>
      <w:r w:rsidR="002665FE" w:rsidRPr="00F847A6">
        <w:rPr>
          <w:sz w:val="18"/>
          <w:szCs w:val="18"/>
        </w:rPr>
        <w:br/>
      </w:r>
      <w:r>
        <w:rPr>
          <w:i/>
          <w:sz w:val="18"/>
          <w:szCs w:val="18"/>
        </w:rPr>
        <w:t>Technological University of the Philippines</w:t>
      </w:r>
      <w:r w:rsidR="002665FE" w:rsidRPr="00F847A6">
        <w:rPr>
          <w:i/>
          <w:sz w:val="18"/>
          <w:szCs w:val="18"/>
        </w:rPr>
        <w:br/>
      </w:r>
      <w:r>
        <w:rPr>
          <w:sz w:val="18"/>
          <w:szCs w:val="18"/>
        </w:rPr>
        <w:t>Manila, Philippines</w:t>
      </w:r>
      <w:r w:rsidR="002665FE" w:rsidRPr="00F847A6">
        <w:rPr>
          <w:sz w:val="18"/>
          <w:szCs w:val="18"/>
        </w:rPr>
        <w:br/>
      </w:r>
      <w:r>
        <w:rPr>
          <w:sz w:val="18"/>
          <w:szCs w:val="18"/>
        </w:rPr>
        <w:t>jediboy.betos@tup.edu.ph</w:t>
      </w:r>
    </w:p>
    <w:p w14:paraId="08577CD6" w14:textId="77777777" w:rsidR="002665FE" w:rsidRDefault="002665FE" w:rsidP="002665FE">
      <w:pPr>
        <w:sectPr w:rsidR="002665FE" w:rsidSect="0066560B">
          <w:type w:val="continuous"/>
          <w:pgSz w:w="11906" w:h="16838" w:code="9"/>
          <w:pgMar w:top="450" w:right="893" w:bottom="1440" w:left="893" w:header="720" w:footer="720" w:gutter="0"/>
          <w:cols w:space="720"/>
          <w:docGrid w:linePitch="360"/>
        </w:sectPr>
      </w:pPr>
    </w:p>
    <w:p w14:paraId="1F5CD98A" w14:textId="77777777" w:rsidR="002665FE" w:rsidRPr="005B520E" w:rsidRDefault="002665FE" w:rsidP="002665FE">
      <w:pPr>
        <w:sectPr w:rsidR="002665FE" w:rsidRPr="005B520E" w:rsidSect="003B4E04">
          <w:type w:val="continuous"/>
          <w:pgSz w:w="11906" w:h="16838" w:code="9"/>
          <w:pgMar w:top="450" w:right="893" w:bottom="1440" w:left="893" w:header="720" w:footer="720" w:gutter="0"/>
          <w:cols w:num="3" w:space="720"/>
          <w:docGrid w:linePitch="360"/>
        </w:sectPr>
      </w:pPr>
      <w:r>
        <w:br w:type="column"/>
      </w:r>
    </w:p>
    <w:p w14:paraId="481234A9" w14:textId="7E8D7C36" w:rsidR="002665FE" w:rsidRDefault="002665FE" w:rsidP="002665FE">
      <w:pPr>
        <w:pStyle w:val="Abstract"/>
        <w:rPr>
          <w:i/>
          <w:iCs/>
        </w:rPr>
      </w:pPr>
      <w:r>
        <w:rPr>
          <w:i/>
          <w:iCs/>
        </w:rPr>
        <w:t>Abstract</w:t>
      </w:r>
      <w:r>
        <w:t>—</w:t>
      </w:r>
      <w:r w:rsidR="00715FAD">
        <w:t>The COVID-19 pandemic has impacted the over all economy in many sectors such as agriculture.</w:t>
      </w:r>
      <w:r w:rsidR="00C64ADA">
        <w:t xml:space="preserve"> In this study, the researcher analyzes the prices of fish commodities being sold in Metro Manila during the pandemic lockdowns. Using the relevant time series methodologies</w:t>
      </w:r>
      <w:r w:rsidR="00731B5B">
        <w:t xml:space="preserve"> such as the Autoregressive Integrated Moving Average (ARIMA)</w:t>
      </w:r>
      <w:r w:rsidR="00C64ADA">
        <w:t>, the researcher establishes the hypothesis that the COVID-19 lockdowns have an impact on these prices. Based on the study’s findings, the fish commodities were affected by the lockdowns in specified months and even in the entire duration of the lockdown</w:t>
      </w:r>
      <w:r w:rsidR="007C35DC">
        <w:t xml:space="preserve"> from</w:t>
      </w:r>
      <w:r w:rsidR="007C35DC" w:rsidRPr="007C35DC">
        <w:t xml:space="preserve"> </w:t>
      </w:r>
      <w:r w:rsidR="007C35DC">
        <w:t>October 1, 2019 to August 31, 2021</w:t>
      </w:r>
      <w:r w:rsidR="00C64ADA">
        <w:t xml:space="preserve">. </w:t>
      </w:r>
    </w:p>
    <w:p w14:paraId="7D7B13B4" w14:textId="0E595802" w:rsidR="002665FE" w:rsidRPr="004D72B5" w:rsidRDefault="002665FE" w:rsidP="002665FE">
      <w:pPr>
        <w:pStyle w:val="Keywords"/>
      </w:pPr>
      <w:r w:rsidRPr="004D72B5">
        <w:t>Keywords—</w:t>
      </w:r>
      <w:r w:rsidR="00161B19">
        <w:t>ARIMA</w:t>
      </w:r>
      <w:r>
        <w:t>,</w:t>
      </w:r>
      <w:r w:rsidRPr="004D72B5">
        <w:t xml:space="preserve"> </w:t>
      </w:r>
      <w:r w:rsidR="00161B19">
        <w:t>forecasting</w:t>
      </w:r>
      <w:r>
        <w:t>,</w:t>
      </w:r>
      <w:r w:rsidRPr="004D72B5">
        <w:t xml:space="preserve"> </w:t>
      </w:r>
      <w:r w:rsidR="00161B19">
        <w:t>interrupted time series</w:t>
      </w:r>
      <w:r>
        <w:t>,</w:t>
      </w:r>
      <w:r w:rsidRPr="004D72B5">
        <w:t xml:space="preserve"> </w:t>
      </w:r>
      <w:r w:rsidR="00161B19">
        <w:t>COVID-19</w:t>
      </w:r>
      <w:r>
        <w:t>,</w:t>
      </w:r>
      <w:r w:rsidR="00177546">
        <w:t xml:space="preserve"> </w:t>
      </w:r>
      <w:r w:rsidR="00161B19">
        <w:t>fish commodities</w:t>
      </w:r>
      <w:r w:rsidRPr="004D72B5">
        <w:t xml:space="preserve"> </w:t>
      </w:r>
    </w:p>
    <w:p w14:paraId="75AFD833" w14:textId="0F078B98" w:rsidR="002665FE" w:rsidRPr="00D632BE" w:rsidRDefault="002665FE" w:rsidP="002665FE">
      <w:pPr>
        <w:pStyle w:val="Heading1"/>
      </w:pPr>
      <w:r w:rsidRPr="00D632BE">
        <w:t xml:space="preserve">Introduction </w:t>
      </w:r>
    </w:p>
    <w:p w14:paraId="76060772" w14:textId="4833C997" w:rsidR="002665FE" w:rsidRDefault="00E71DBF" w:rsidP="002665FE">
      <w:pPr>
        <w:pStyle w:val="BodyText"/>
        <w:rPr>
          <w:lang w:val="en-US"/>
        </w:rPr>
      </w:pPr>
      <w:bookmarkStart w:id="1" w:name="_Hlk95138138"/>
      <w:r>
        <w:t xml:space="preserve">On December 2019, the first observed cases of the </w:t>
      </w:r>
      <w:r w:rsidRPr="004C350C">
        <w:t>SARS-CoV-2</w:t>
      </w:r>
      <w:r>
        <w:t xml:space="preserve"> virus (COVID-19) were found in Wuhan, China</w:t>
      </w:r>
      <w:r>
        <w:rPr>
          <w:lang w:val="en-US"/>
        </w:rPr>
        <w:t xml:space="preserve"> </w:t>
      </w:r>
      <w:sdt>
        <w:sdtPr>
          <w:rPr>
            <w:lang w:val="en-US"/>
          </w:rPr>
          <w:id w:val="498001421"/>
          <w:citation/>
        </w:sdtPr>
        <w:sdtEndPr/>
        <w:sdtContent>
          <w:r>
            <w:rPr>
              <w:lang w:val="en-US"/>
            </w:rPr>
            <w:fldChar w:fldCharType="begin"/>
          </w:r>
          <w:r>
            <w:rPr>
              <w:lang w:val="en-US"/>
            </w:rPr>
            <w:instrText xml:space="preserve"> CITATION WHO20 \l 1033 </w:instrText>
          </w:r>
          <w:r>
            <w:rPr>
              <w:lang w:val="en-US"/>
            </w:rPr>
            <w:fldChar w:fldCharType="separate"/>
          </w:r>
          <w:r w:rsidRPr="00E71DBF">
            <w:rPr>
              <w:noProof/>
              <w:lang w:val="en-US"/>
            </w:rPr>
            <w:t>[1]</w:t>
          </w:r>
          <w:r>
            <w:rPr>
              <w:lang w:val="en-US"/>
            </w:rPr>
            <w:fldChar w:fldCharType="end"/>
          </w:r>
        </w:sdtContent>
      </w:sdt>
      <w:r>
        <w:t xml:space="preserve">.  As of January 2022, the total number of COVID-19 cases amount to over 313M worldwide while in the Philippines it amounts to over 3M cases </w:t>
      </w:r>
      <w:sdt>
        <w:sdtPr>
          <w:id w:val="1641143206"/>
          <w:citation/>
        </w:sdtPr>
        <w:sdtEndPr/>
        <w:sdtContent>
          <w:r w:rsidR="00B34BA7">
            <w:fldChar w:fldCharType="begin"/>
          </w:r>
          <w:r w:rsidR="00B34BA7">
            <w:rPr>
              <w:lang w:val="en-US"/>
            </w:rPr>
            <w:instrText xml:space="preserve"> CITATION Dep22 \l 1033 </w:instrText>
          </w:r>
          <w:r w:rsidR="00B34BA7">
            <w:fldChar w:fldCharType="separate"/>
          </w:r>
          <w:r w:rsidR="00B34BA7" w:rsidRPr="00B34BA7">
            <w:rPr>
              <w:noProof/>
              <w:lang w:val="en-US"/>
            </w:rPr>
            <w:t>[2]</w:t>
          </w:r>
          <w:r w:rsidR="00B34BA7">
            <w:fldChar w:fldCharType="end"/>
          </w:r>
        </w:sdtContent>
      </w:sdt>
      <w:r>
        <w:t xml:space="preserve">. The impact of this pandemic on the Philippines made its GDP drop to 9.5%, the lowest it has been since World War 2 </w:t>
      </w:r>
      <w:sdt>
        <w:sdtPr>
          <w:id w:val="971947637"/>
          <w:citation/>
        </w:sdtPr>
        <w:sdtEndPr/>
        <w:sdtContent>
          <w:r w:rsidR="00B34BA7">
            <w:fldChar w:fldCharType="begin"/>
          </w:r>
          <w:r w:rsidR="00B34BA7">
            <w:rPr>
              <w:lang w:val="en-US"/>
            </w:rPr>
            <w:instrText xml:space="preserve"> CITATION Fut21 \l 1033 </w:instrText>
          </w:r>
          <w:r w:rsidR="00B34BA7">
            <w:fldChar w:fldCharType="separate"/>
          </w:r>
          <w:r w:rsidR="00B34BA7" w:rsidRPr="00B34BA7">
            <w:rPr>
              <w:noProof/>
              <w:lang w:val="en-US"/>
            </w:rPr>
            <w:t>[3]</w:t>
          </w:r>
          <w:r w:rsidR="00B34BA7">
            <w:fldChar w:fldCharType="end"/>
          </w:r>
        </w:sdtContent>
      </w:sdt>
      <w:r>
        <w:t xml:space="preserve">. The rapid spread of this virus has caused a global pandemic that continues to have an impact on livelihoods and global food security </w:t>
      </w:r>
      <w:bookmarkEnd w:id="1"/>
      <w:sdt>
        <w:sdtPr>
          <w:id w:val="807978990"/>
          <w:citation/>
        </w:sdtPr>
        <w:sdtEndPr/>
        <w:sdtContent>
          <w:r w:rsidR="00B34BA7">
            <w:fldChar w:fldCharType="begin"/>
          </w:r>
          <w:r w:rsidR="00B34BA7">
            <w:rPr>
              <w:lang w:val="en-US"/>
            </w:rPr>
            <w:instrText xml:space="preserve"> CITATION Foo22 \l 1033 </w:instrText>
          </w:r>
          <w:r w:rsidR="00B34BA7">
            <w:fldChar w:fldCharType="separate"/>
          </w:r>
          <w:r w:rsidR="00B34BA7" w:rsidRPr="00B34BA7">
            <w:rPr>
              <w:noProof/>
              <w:lang w:val="en-US"/>
            </w:rPr>
            <w:t>[4]</w:t>
          </w:r>
          <w:r w:rsidR="00B34BA7">
            <w:fldChar w:fldCharType="end"/>
          </w:r>
        </w:sdtContent>
      </w:sdt>
      <w:r w:rsidR="00117B82">
        <w:rPr>
          <w:lang w:val="en-US"/>
        </w:rPr>
        <w:t>.</w:t>
      </w:r>
    </w:p>
    <w:p w14:paraId="05C98E4F" w14:textId="6E3FE6AD" w:rsidR="00117B82" w:rsidRDefault="00655BC9" w:rsidP="002665FE">
      <w:pPr>
        <w:pStyle w:val="BodyText"/>
        <w:rPr>
          <w:lang w:val="en-US"/>
        </w:rPr>
      </w:pPr>
      <w:r w:rsidRPr="00655BC9">
        <w:rPr>
          <w:lang w:val="en-US"/>
        </w:rPr>
        <w:t xml:space="preserve">The COVID 19 pandemic and community quarantines has certainly affected the agricultural sector in terms of logistics and supply chain bottlenecks and in terms of food systems and availability as of July 2020, other external drivers such as pests and climate change are observed to have a more significant impact on food security in the Philippines </w:t>
      </w:r>
      <w:sdt>
        <w:sdtPr>
          <w:rPr>
            <w:lang w:val="en-US"/>
          </w:rPr>
          <w:id w:val="122974261"/>
          <w:citation/>
        </w:sdtPr>
        <w:sdtEndPr/>
        <w:sdtContent>
          <w:r>
            <w:rPr>
              <w:lang w:val="en-US"/>
            </w:rPr>
            <w:fldChar w:fldCharType="begin"/>
          </w:r>
          <w:r>
            <w:rPr>
              <w:lang w:val="en-US"/>
            </w:rPr>
            <w:instrText xml:space="preserve"> CITATION Pal20 \l 1033 </w:instrText>
          </w:r>
          <w:r>
            <w:rPr>
              <w:lang w:val="en-US"/>
            </w:rPr>
            <w:fldChar w:fldCharType="separate"/>
          </w:r>
          <w:r w:rsidRPr="00655BC9">
            <w:rPr>
              <w:noProof/>
              <w:lang w:val="en-US"/>
            </w:rPr>
            <w:t>[5]</w:t>
          </w:r>
          <w:r>
            <w:rPr>
              <w:lang w:val="en-US"/>
            </w:rPr>
            <w:fldChar w:fldCharType="end"/>
          </w:r>
        </w:sdtContent>
      </w:sdt>
      <w:r w:rsidRPr="00655BC9">
        <w:rPr>
          <w:lang w:val="en-US"/>
        </w:rPr>
        <w:t xml:space="preserve">. Agricultural damages caused by typhoons amount to 4.6B </w:t>
      </w:r>
      <w:proofErr w:type="spellStart"/>
      <w:r w:rsidRPr="00655BC9">
        <w:rPr>
          <w:lang w:val="en-US"/>
        </w:rPr>
        <w:t>PhP</w:t>
      </w:r>
      <w:proofErr w:type="spellEnd"/>
      <w:r w:rsidRPr="00655BC9">
        <w:rPr>
          <w:lang w:val="en-US"/>
        </w:rPr>
        <w:t xml:space="preserve"> in the last quarter of 2020 </w:t>
      </w:r>
      <w:sdt>
        <w:sdtPr>
          <w:rPr>
            <w:lang w:val="en-US"/>
          </w:rPr>
          <w:id w:val="-447999885"/>
          <w:citation/>
        </w:sdtPr>
        <w:sdtEndPr/>
        <w:sdtContent>
          <w:r>
            <w:rPr>
              <w:lang w:val="en-US"/>
            </w:rPr>
            <w:fldChar w:fldCharType="begin"/>
          </w:r>
          <w:r>
            <w:rPr>
              <w:lang w:val="en-US"/>
            </w:rPr>
            <w:instrText xml:space="preserve"> CITATION Bev21 \l 1033 </w:instrText>
          </w:r>
          <w:r>
            <w:rPr>
              <w:lang w:val="en-US"/>
            </w:rPr>
            <w:fldChar w:fldCharType="separate"/>
          </w:r>
          <w:r w:rsidRPr="00655BC9">
            <w:rPr>
              <w:noProof/>
              <w:lang w:val="en-US"/>
            </w:rPr>
            <w:t>[6]</w:t>
          </w:r>
          <w:r>
            <w:rPr>
              <w:lang w:val="en-US"/>
            </w:rPr>
            <w:fldChar w:fldCharType="end"/>
          </w:r>
        </w:sdtContent>
      </w:sdt>
      <w:r w:rsidRPr="00655BC9">
        <w:rPr>
          <w:lang w:val="en-US"/>
        </w:rPr>
        <w:t xml:space="preserve">. Initially, during the first phases of lockdown supply chain transport was were faced with local government </w:t>
      </w:r>
      <w:proofErr w:type="gramStart"/>
      <w:r w:rsidRPr="00655BC9">
        <w:rPr>
          <w:lang w:val="en-US"/>
        </w:rPr>
        <w:t>unit</w:t>
      </w:r>
      <w:r>
        <w:rPr>
          <w:lang w:val="en-US"/>
        </w:rPr>
        <w:t xml:space="preserve"> </w:t>
      </w:r>
      <w:r w:rsidRPr="00655BC9">
        <w:rPr>
          <w:lang w:val="en-US"/>
        </w:rPr>
        <w:t>imposed</w:t>
      </w:r>
      <w:proofErr w:type="gramEnd"/>
      <w:r w:rsidRPr="00655BC9">
        <w:rPr>
          <w:lang w:val="en-US"/>
        </w:rPr>
        <w:t xml:space="preserve"> transport restrictions and the suspension of public transport. One of the Department of Agriculture’s response to the pandemic for economic recovery of agribusinesses was the approval of the Expanded SURE Aid and Recovery Project for SURE Covid-19 financing program that prioritizes micro and small businesses as it plays a crucial role in ensuring food availability in Metro Manila and other urban centers </w:t>
      </w:r>
      <w:sdt>
        <w:sdtPr>
          <w:rPr>
            <w:lang w:val="en-US"/>
          </w:rPr>
          <w:id w:val="-1552603911"/>
          <w:citation/>
        </w:sdtPr>
        <w:sdtEndPr/>
        <w:sdtContent>
          <w:r>
            <w:rPr>
              <w:lang w:val="en-US"/>
            </w:rPr>
            <w:fldChar w:fldCharType="begin"/>
          </w:r>
          <w:r>
            <w:rPr>
              <w:lang w:val="en-US"/>
            </w:rPr>
            <w:instrText xml:space="preserve"> CITATION Dep20 \l 1033 </w:instrText>
          </w:r>
          <w:r>
            <w:rPr>
              <w:lang w:val="en-US"/>
            </w:rPr>
            <w:fldChar w:fldCharType="separate"/>
          </w:r>
          <w:r w:rsidRPr="00655BC9">
            <w:rPr>
              <w:noProof/>
              <w:lang w:val="en-US"/>
            </w:rPr>
            <w:t>[7]</w:t>
          </w:r>
          <w:r>
            <w:rPr>
              <w:lang w:val="en-US"/>
            </w:rPr>
            <w:fldChar w:fldCharType="end"/>
          </w:r>
        </w:sdtContent>
      </w:sdt>
      <w:r w:rsidRPr="00655BC9">
        <w:rPr>
          <w:lang w:val="en-US"/>
        </w:rPr>
        <w:t xml:space="preserve">.  After an agreement and a change of policy for food logistics, namely food and cargo pass, the government was successful in assuring the movement of goods and </w:t>
      </w:r>
      <w:proofErr w:type="spellStart"/>
      <w:r w:rsidRPr="00655BC9">
        <w:rPr>
          <w:lang w:val="en-US"/>
        </w:rPr>
        <w:t>agro</w:t>
      </w:r>
      <w:proofErr w:type="spellEnd"/>
      <w:r w:rsidRPr="00655BC9">
        <w:rPr>
          <w:lang w:val="en-US"/>
        </w:rPr>
        <w:t xml:space="preserve">-inputs </w:t>
      </w:r>
      <w:sdt>
        <w:sdtPr>
          <w:rPr>
            <w:lang w:val="en-US"/>
          </w:rPr>
          <w:id w:val="737211563"/>
          <w:citation/>
        </w:sdtPr>
        <w:sdtEndPr/>
        <w:sdtContent>
          <w:r>
            <w:rPr>
              <w:lang w:val="en-US"/>
            </w:rPr>
            <w:fldChar w:fldCharType="begin"/>
          </w:r>
          <w:r>
            <w:rPr>
              <w:lang w:val="en-US"/>
            </w:rPr>
            <w:instrText xml:space="preserve"> CITATION Dep201 \l 1033 </w:instrText>
          </w:r>
          <w:r>
            <w:rPr>
              <w:lang w:val="en-US"/>
            </w:rPr>
            <w:fldChar w:fldCharType="separate"/>
          </w:r>
          <w:r w:rsidRPr="00655BC9">
            <w:rPr>
              <w:noProof/>
              <w:lang w:val="en-US"/>
            </w:rPr>
            <w:t>[8]</w:t>
          </w:r>
          <w:r>
            <w:rPr>
              <w:lang w:val="en-US"/>
            </w:rPr>
            <w:fldChar w:fldCharType="end"/>
          </w:r>
        </w:sdtContent>
      </w:sdt>
      <w:r w:rsidRPr="00655BC9">
        <w:rPr>
          <w:lang w:val="en-US"/>
        </w:rPr>
        <w:t xml:space="preserve">. Most agribusinesses also report a decline in sales with the exception of direct online sellers and e-commerce after an initial round of panic buying. Prices were then showing volatility before and after ECQ followed by relatively stable prices </w:t>
      </w:r>
      <w:sdt>
        <w:sdtPr>
          <w:rPr>
            <w:lang w:val="en-US"/>
          </w:rPr>
          <w:id w:val="-717821425"/>
          <w:citation/>
        </w:sdtPr>
        <w:sdtEndPr/>
        <w:sdtContent>
          <w:r>
            <w:rPr>
              <w:lang w:val="en-US"/>
            </w:rPr>
            <w:fldChar w:fldCharType="begin"/>
          </w:r>
          <w:r>
            <w:rPr>
              <w:lang w:val="en-US"/>
            </w:rPr>
            <w:instrText xml:space="preserve"> CITATION Foo21 \l 1033 </w:instrText>
          </w:r>
          <w:r>
            <w:rPr>
              <w:lang w:val="en-US"/>
            </w:rPr>
            <w:fldChar w:fldCharType="separate"/>
          </w:r>
          <w:r w:rsidRPr="00655BC9">
            <w:rPr>
              <w:noProof/>
              <w:lang w:val="en-US"/>
            </w:rPr>
            <w:t>[9]</w:t>
          </w:r>
          <w:r>
            <w:rPr>
              <w:lang w:val="en-US"/>
            </w:rPr>
            <w:fldChar w:fldCharType="end"/>
          </w:r>
        </w:sdtContent>
      </w:sdt>
      <w:r>
        <w:rPr>
          <w:lang w:val="en-US"/>
        </w:rPr>
        <w:t>.</w:t>
      </w:r>
    </w:p>
    <w:p w14:paraId="2481646C" w14:textId="2382E602" w:rsidR="00482D48" w:rsidRPr="00117B82" w:rsidRDefault="003F1A5B" w:rsidP="002665FE">
      <w:pPr>
        <w:pStyle w:val="BodyText"/>
        <w:rPr>
          <w:lang w:val="en-US"/>
        </w:rPr>
      </w:pPr>
      <w:r>
        <w:t xml:space="preserve">In the face of the ongoing pandemic, a need to analyze and capture the causes of the COVID-19 spread is necessary when dealing with the economics of trade and the enforcement of trade policies for fair retail pricing of commodities. On a technical standpoint, there are difficulties and challenges with developing time series models employed by central bankers, </w:t>
      </w:r>
      <w:r>
        <w:t xml:space="preserve">economists, and practitioners for analyzing price fluctuations and inflation due to observations affected by the pandemic </w:t>
      </w:r>
      <w:sdt>
        <w:sdtPr>
          <w:id w:val="1969631305"/>
          <w:citation/>
        </w:sdtPr>
        <w:sdtEndPr/>
        <w:sdtContent>
          <w:r>
            <w:fldChar w:fldCharType="begin"/>
          </w:r>
          <w:r>
            <w:rPr>
              <w:lang w:val="en-US"/>
            </w:rPr>
            <w:instrText xml:space="preserve"> CITATION Bob21 \l 1033 </w:instrText>
          </w:r>
          <w:r>
            <w:fldChar w:fldCharType="separate"/>
          </w:r>
          <w:r w:rsidRPr="003F1A5B">
            <w:rPr>
              <w:noProof/>
              <w:lang w:val="en-US"/>
            </w:rPr>
            <w:t>[10]</w:t>
          </w:r>
          <w:r>
            <w:fldChar w:fldCharType="end"/>
          </w:r>
        </w:sdtContent>
      </w:sdt>
      <w:r>
        <w:t>. In this paper, the researcher analyzes the impacts of COVID 19 on the prices of fish commodities and validates accuracy with forecasting. Further, the researcher’s goal with this paper is to add to the literature that analyzes COVID 19 impacts to help in deriving conclusions based on existing methods. The methodology of this study aims to develop a time series model for analyzing and forecasting the prices of fish commodities with the dataset provided by the Philippines’ Department of Agriculture themselves.</w:t>
      </w:r>
    </w:p>
    <w:p w14:paraId="6058A868" w14:textId="6AAE58F1" w:rsidR="002665FE" w:rsidRPr="006B6B66" w:rsidRDefault="007C555B" w:rsidP="002665FE">
      <w:pPr>
        <w:pStyle w:val="Heading1"/>
      </w:pPr>
      <w:r>
        <w:t>Related works</w:t>
      </w:r>
    </w:p>
    <w:p w14:paraId="227F336E" w14:textId="7F3F2695" w:rsidR="002665FE" w:rsidRDefault="00126FE5" w:rsidP="002665FE">
      <w:pPr>
        <w:pStyle w:val="BodyText"/>
      </w:pPr>
      <w:proofErr w:type="spellStart"/>
      <w:r>
        <w:rPr>
          <w:lang w:val="en-US"/>
        </w:rPr>
        <w:t>Daglis</w:t>
      </w:r>
      <w:proofErr w:type="spellEnd"/>
      <w:r>
        <w:rPr>
          <w:lang w:val="en-US"/>
        </w:rPr>
        <w:t xml:space="preserve">, </w:t>
      </w:r>
      <w:proofErr w:type="spellStart"/>
      <w:r>
        <w:rPr>
          <w:lang w:val="en-US"/>
        </w:rPr>
        <w:t>Konstantakis</w:t>
      </w:r>
      <w:proofErr w:type="spellEnd"/>
      <w:r>
        <w:rPr>
          <w:lang w:val="en-US"/>
        </w:rPr>
        <w:t xml:space="preserve">, and </w:t>
      </w:r>
      <w:proofErr w:type="spellStart"/>
      <w:r>
        <w:rPr>
          <w:lang w:val="en-US"/>
        </w:rPr>
        <w:t>Michaelides</w:t>
      </w:r>
      <w:proofErr w:type="spellEnd"/>
      <w:r>
        <w:rPr>
          <w:lang w:val="en-US"/>
        </w:rPr>
        <w:t xml:space="preserve"> (2020)</w:t>
      </w:r>
      <w:r w:rsidR="007C555B">
        <w:t xml:space="preserve"> analyzed the global prices of wheat and oat markets using relevant time series causality testing models by Dufour and Renault and cross validated with forecasting using a Vector autoregressive model as a baseline</w:t>
      </w:r>
      <w:r>
        <w:rPr>
          <w:lang w:val="en-US"/>
        </w:rPr>
        <w:t xml:space="preserve"> </w:t>
      </w:r>
      <w:sdt>
        <w:sdtPr>
          <w:rPr>
            <w:lang w:val="en-US"/>
          </w:rPr>
          <w:id w:val="1331869499"/>
          <w:citation/>
        </w:sdtPr>
        <w:sdtEndPr/>
        <w:sdtContent>
          <w:r>
            <w:rPr>
              <w:lang w:val="en-US"/>
            </w:rPr>
            <w:fldChar w:fldCharType="begin"/>
          </w:r>
          <w:r>
            <w:rPr>
              <w:lang w:val="en-US"/>
            </w:rPr>
            <w:instrText xml:space="preserve"> CITATION Dag20 \l 1033 </w:instrText>
          </w:r>
          <w:r>
            <w:rPr>
              <w:lang w:val="en-US"/>
            </w:rPr>
            <w:fldChar w:fldCharType="separate"/>
          </w:r>
          <w:r w:rsidRPr="00126FE5">
            <w:rPr>
              <w:noProof/>
              <w:lang w:val="en-US"/>
            </w:rPr>
            <w:t>[11]</w:t>
          </w:r>
          <w:r>
            <w:rPr>
              <w:lang w:val="en-US"/>
            </w:rPr>
            <w:fldChar w:fldCharType="end"/>
          </w:r>
        </w:sdtContent>
      </w:sdt>
      <w:r w:rsidR="007C555B">
        <w:t>. Their results where then evaluated with  three distinct measures of forecasting accuracy tests: mean absolute error, mea</w:t>
      </w:r>
      <w:r w:rsidR="007C555B">
        <w:rPr>
          <w:lang w:val="en-US"/>
        </w:rPr>
        <w:t>n</w:t>
      </w:r>
      <w:r w:rsidR="007C555B">
        <w:t xml:space="preserve"> absolute percentage error, and root mean square forecasting error. Their findings imply that the COVID-19 provides statistically significant information for modeling that is indicative of the pandemic impact. It also gives evidence that accounting for observations of the COVID-19 pandemic greatly increases forecasting ability of relevant agricultural commodities.</w:t>
      </w:r>
    </w:p>
    <w:p w14:paraId="649C70B0" w14:textId="5C57EA5A" w:rsidR="00CF7A56" w:rsidRDefault="007864B1" w:rsidP="002665FE">
      <w:pPr>
        <w:pStyle w:val="BodyText"/>
      </w:pPr>
      <w:r>
        <w:rPr>
          <w:lang w:val="en-US"/>
        </w:rPr>
        <w:t>Hung (2021)</w:t>
      </w:r>
      <w:r w:rsidRPr="007864B1">
        <w:t xml:space="preserve"> investigated crude oil prices and commodity markets from the pre-COVID-19 period (February 2018) to the early stages of the pandemic (May 2020)</w:t>
      </w:r>
      <w:r>
        <w:rPr>
          <w:lang w:val="en-US"/>
        </w:rPr>
        <w:t xml:space="preserve"> </w:t>
      </w:r>
      <w:sdt>
        <w:sdtPr>
          <w:rPr>
            <w:lang w:val="en-US"/>
          </w:rPr>
          <w:id w:val="-1027415679"/>
          <w:citation/>
        </w:sdtPr>
        <w:sdtEndPr/>
        <w:sdtContent>
          <w:r>
            <w:rPr>
              <w:lang w:val="en-US"/>
            </w:rPr>
            <w:fldChar w:fldCharType="begin"/>
          </w:r>
          <w:r>
            <w:rPr>
              <w:lang w:val="en-US"/>
            </w:rPr>
            <w:instrText xml:space="preserve"> CITATION Hun21 \l 1033 </w:instrText>
          </w:r>
          <w:r>
            <w:rPr>
              <w:lang w:val="en-US"/>
            </w:rPr>
            <w:fldChar w:fldCharType="separate"/>
          </w:r>
          <w:r w:rsidRPr="007864B1">
            <w:rPr>
              <w:noProof/>
              <w:lang w:val="en-US"/>
            </w:rPr>
            <w:t>[12]</w:t>
          </w:r>
          <w:r>
            <w:rPr>
              <w:lang w:val="en-US"/>
            </w:rPr>
            <w:fldChar w:fldCharType="end"/>
          </w:r>
        </w:sdtContent>
      </w:sdt>
      <w:r w:rsidRPr="007864B1">
        <w:t>. They analyzed the spillover effects and time-frequency correctness of crude oil prices and agriculture markets using spillover index of Diebold and Yilmaz and wavelet coherence approaches for the periods before the pandemic. Their research concludes that there is statistically more apparent return spillovers of crude oil and agricultural markets during the pandemic than before. They also revealed that there exists significant dependent patterns between crude oil and agricultural commodity markets that can provide prominent implications for policymakers.</w:t>
      </w:r>
    </w:p>
    <w:p w14:paraId="33C659F6" w14:textId="02319B24" w:rsidR="00A85C59" w:rsidRDefault="00584DE6" w:rsidP="002665FE">
      <w:pPr>
        <w:pStyle w:val="BodyText"/>
      </w:pPr>
      <w:r w:rsidRPr="00584DE6">
        <w:t xml:space="preserve">The European Union (EU)’s agri-food markets are also examined to have a significant decrease in agri-food exports and imports during the 2nd and 3rd quarters of 2020. </w:t>
      </w:r>
      <w:proofErr w:type="spellStart"/>
      <w:r>
        <w:rPr>
          <w:lang w:val="en-US"/>
        </w:rPr>
        <w:t>Hamulczuk</w:t>
      </w:r>
      <w:proofErr w:type="spellEnd"/>
      <w:r>
        <w:rPr>
          <w:lang w:val="en-US"/>
        </w:rPr>
        <w:t xml:space="preserve"> and </w:t>
      </w:r>
      <w:proofErr w:type="spellStart"/>
      <w:r>
        <w:rPr>
          <w:lang w:val="en-US"/>
        </w:rPr>
        <w:t>Skrpzypczyk</w:t>
      </w:r>
      <w:proofErr w:type="spellEnd"/>
      <w:r>
        <w:rPr>
          <w:lang w:val="en-US"/>
        </w:rPr>
        <w:t xml:space="preserve"> (2021) </w:t>
      </w:r>
      <w:r w:rsidRPr="00584DE6">
        <w:t>examines the trade-balance significance of EU countries for changes in agri-food producer prices using a spatial partial equilibrium model</w:t>
      </w:r>
      <w:r>
        <w:rPr>
          <w:lang w:val="en-US"/>
        </w:rPr>
        <w:t xml:space="preserve"> </w:t>
      </w:r>
      <w:sdt>
        <w:sdtPr>
          <w:rPr>
            <w:lang w:val="en-US"/>
          </w:rPr>
          <w:id w:val="-1424333615"/>
          <w:citation/>
        </w:sdtPr>
        <w:sdtEndPr/>
        <w:sdtContent>
          <w:r>
            <w:rPr>
              <w:lang w:val="en-US"/>
            </w:rPr>
            <w:fldChar w:fldCharType="begin"/>
          </w:r>
          <w:r>
            <w:rPr>
              <w:lang w:val="en-US"/>
            </w:rPr>
            <w:instrText xml:space="preserve"> CITATION Ham21 \l 1033 </w:instrText>
          </w:r>
          <w:r>
            <w:rPr>
              <w:lang w:val="en-US"/>
            </w:rPr>
            <w:fldChar w:fldCharType="separate"/>
          </w:r>
          <w:r w:rsidRPr="00584DE6">
            <w:rPr>
              <w:noProof/>
              <w:lang w:val="en-US"/>
            </w:rPr>
            <w:t>[13]</w:t>
          </w:r>
          <w:r>
            <w:rPr>
              <w:lang w:val="en-US"/>
            </w:rPr>
            <w:fldChar w:fldCharType="end"/>
          </w:r>
        </w:sdtContent>
      </w:sdt>
      <w:r w:rsidRPr="00584DE6">
        <w:t>. They determined a deterioration in spatial integration of EU agri-food markets and is an indication of the COVID-19 pandemic causing a reduction in economic welfare. In their examination, one of the key driving forces of agri-food prices in the EU during the 2nd and 3rd quarters of 2020 was pandemic related food shortages and surpluses.</w:t>
      </w:r>
    </w:p>
    <w:p w14:paraId="44196F6C" w14:textId="47C3EE75" w:rsidR="00E05DE6" w:rsidRDefault="00E05DE6" w:rsidP="002665FE">
      <w:pPr>
        <w:pStyle w:val="BodyText"/>
      </w:pPr>
      <w:proofErr w:type="spellStart"/>
      <w:r>
        <w:rPr>
          <w:lang w:val="en-US"/>
        </w:rPr>
        <w:t>Goeb</w:t>
      </w:r>
      <w:proofErr w:type="spellEnd"/>
      <w:r>
        <w:rPr>
          <w:lang w:val="en-US"/>
        </w:rPr>
        <w:t>, et al. (2021)</w:t>
      </w:r>
      <w:r w:rsidRPr="00E05DE6">
        <w:t xml:space="preserve"> uses a simple empirical model to evaluate milling margins and paddy and rice prices in Myanmar</w:t>
      </w:r>
      <w:r>
        <w:rPr>
          <w:lang w:val="en-US"/>
        </w:rPr>
        <w:t xml:space="preserve"> </w:t>
      </w:r>
      <w:sdt>
        <w:sdtPr>
          <w:rPr>
            <w:lang w:val="en-US"/>
          </w:rPr>
          <w:id w:val="782004814"/>
          <w:citation/>
        </w:sdtPr>
        <w:sdtEndPr/>
        <w:sdtContent>
          <w:r>
            <w:rPr>
              <w:lang w:val="en-US"/>
            </w:rPr>
            <w:fldChar w:fldCharType="begin"/>
          </w:r>
          <w:r>
            <w:rPr>
              <w:lang w:val="en-US"/>
            </w:rPr>
            <w:instrText xml:space="preserve"> CITATION Goe21 \l 1033 </w:instrText>
          </w:r>
          <w:r>
            <w:rPr>
              <w:lang w:val="en-US"/>
            </w:rPr>
            <w:fldChar w:fldCharType="separate"/>
          </w:r>
          <w:r w:rsidRPr="00E05DE6">
            <w:rPr>
              <w:noProof/>
              <w:lang w:val="en-US"/>
            </w:rPr>
            <w:t>[14]</w:t>
          </w:r>
          <w:r>
            <w:rPr>
              <w:lang w:val="en-US"/>
            </w:rPr>
            <w:fldChar w:fldCharType="end"/>
          </w:r>
        </w:sdtContent>
      </w:sdt>
      <w:r w:rsidRPr="00E05DE6">
        <w:t xml:space="preserve">. As their analysis is descriptive and does not </w:t>
      </w:r>
      <w:r w:rsidRPr="00E05DE6">
        <w:lastRenderedPageBreak/>
        <w:t>isolate causal impact, they framed their datasets into inputs (paddy before being processed) and outputs (head rice, broken rice, rice bran) from before and during the pandemic. Their findings suggests that Myanmar’s rice mills were affected the pandemic yet surprisingly showed resilience in the early stages of quarantine and thus milling margins were relatively unaffected. They note that paddy-to-rice margin changes were small and is not a major explanation for price changes. They do however see significant effects of increased demand to price changes of Myanmar’s exported rice variety.</w:t>
      </w:r>
    </w:p>
    <w:p w14:paraId="429FD3C6" w14:textId="7D1DFF0F" w:rsidR="007548BD" w:rsidRDefault="001873F1" w:rsidP="002665FE">
      <w:pPr>
        <w:pStyle w:val="BodyText"/>
        <w:rPr>
          <w:lang w:val="en-US"/>
        </w:rPr>
      </w:pPr>
      <w:proofErr w:type="spellStart"/>
      <w:r>
        <w:rPr>
          <w:lang w:val="en-US"/>
        </w:rPr>
        <w:t>Chitikela</w:t>
      </w:r>
      <w:proofErr w:type="spellEnd"/>
      <w:r>
        <w:rPr>
          <w:lang w:val="en-US"/>
        </w:rPr>
        <w:t xml:space="preserve">, et al. (2021) </w:t>
      </w:r>
      <w:r w:rsidRPr="001873F1">
        <w:t>investigated the impact of COVID 19 on tomato supply and prices in India using an ARIMA intervention model and two AI-based intervention models--namely support vector regressions and artificial neural networks</w:t>
      </w:r>
      <w:r w:rsidR="006A31C0">
        <w:rPr>
          <w:lang w:val="en-US"/>
        </w:rPr>
        <w:t xml:space="preserve"> </w:t>
      </w:r>
      <w:sdt>
        <w:sdtPr>
          <w:rPr>
            <w:lang w:val="en-US"/>
          </w:rPr>
          <w:id w:val="-61950471"/>
          <w:citation/>
        </w:sdtPr>
        <w:sdtEndPr/>
        <w:sdtContent>
          <w:r w:rsidR="006A31C0">
            <w:rPr>
              <w:lang w:val="en-US"/>
            </w:rPr>
            <w:fldChar w:fldCharType="begin"/>
          </w:r>
          <w:r w:rsidR="006A31C0">
            <w:rPr>
              <w:lang w:val="en-US"/>
            </w:rPr>
            <w:instrText xml:space="preserve"> CITATION Chi21 \l 1033 </w:instrText>
          </w:r>
          <w:r w:rsidR="006A31C0">
            <w:rPr>
              <w:lang w:val="en-US"/>
            </w:rPr>
            <w:fldChar w:fldCharType="separate"/>
          </w:r>
          <w:r w:rsidR="006A31C0" w:rsidRPr="006A31C0">
            <w:rPr>
              <w:noProof/>
              <w:lang w:val="en-US"/>
            </w:rPr>
            <w:t>[15]</w:t>
          </w:r>
          <w:r w:rsidR="006A31C0">
            <w:rPr>
              <w:lang w:val="en-US"/>
            </w:rPr>
            <w:fldChar w:fldCharType="end"/>
          </w:r>
        </w:sdtContent>
      </w:sdt>
      <w:r w:rsidRPr="001873F1">
        <w:t xml:space="preserve">. The models were evaluated using mean absolute percentage error for forecasting. The models confirmed a negative impact on the supply and a positive impact on the prices of tomatoes. This implies that spillover effects from the pandemic and the resulting increase of transportation contributed to the rising prices of tomatoes along with a lower degree of consumption. Their research also details empirical results from six specific models selected from their methodology. The performance of their ARIMA, ARIMA intervention, SVR, SVR intervention, ANN, and ANN intervention models were evaluated based on forecasting ability according to their modal errors training and test datasets. They’ve concluded that among the models used for analysis, ANN intervention model outperforms the others in both training and test data sets. Their purpose of using an AI-based model was to capture nonlinear and complex natures of their data and recommends that it can be used for potential effects of government </w:t>
      </w:r>
      <w:r w:rsidR="002E5D0F" w:rsidRPr="001873F1">
        <w:t>programs</w:t>
      </w:r>
      <w:r w:rsidRPr="001873F1">
        <w:t xml:space="preserve"> and policies.</w:t>
      </w:r>
      <w:r w:rsidR="006368A7">
        <w:rPr>
          <w:lang w:val="en-US"/>
        </w:rPr>
        <w:t xml:space="preserve"> </w:t>
      </w:r>
      <w:r w:rsidR="006368A7">
        <w:rPr>
          <w:lang w:val="en-US"/>
        </w:rPr>
        <w:tab/>
      </w:r>
    </w:p>
    <w:p w14:paraId="23BF713A" w14:textId="71E2C779" w:rsidR="00D52FBA" w:rsidRPr="0038380D" w:rsidRDefault="006368A7" w:rsidP="002665FE">
      <w:pPr>
        <w:pStyle w:val="BodyText"/>
      </w:pPr>
      <w:proofErr w:type="spellStart"/>
      <w:r>
        <w:rPr>
          <w:lang w:val="en-US"/>
        </w:rPr>
        <w:t>Ruan</w:t>
      </w:r>
      <w:proofErr w:type="spellEnd"/>
      <w:r>
        <w:rPr>
          <w:lang w:val="en-US"/>
        </w:rPr>
        <w:t xml:space="preserve">, Cai, and </w:t>
      </w:r>
      <w:proofErr w:type="spellStart"/>
      <w:r>
        <w:rPr>
          <w:lang w:val="en-US"/>
        </w:rPr>
        <w:t>Jin</w:t>
      </w:r>
      <w:proofErr w:type="spellEnd"/>
      <w:r>
        <w:rPr>
          <w:lang w:val="en-US"/>
        </w:rPr>
        <w:t xml:space="preserve"> (2021) </w:t>
      </w:r>
      <w:r>
        <w:t>uses a combination of</w:t>
      </w:r>
      <w:r w:rsidRPr="008F3909">
        <w:t xml:space="preserve"> time regression discontinuity design method (T-RD) and the difference-in-difference method (DID)</w:t>
      </w:r>
      <w:r>
        <w:t xml:space="preserve"> in analyzing vegetable prices from wholesale markets in China and the effects of COVID-19 lockdowns. Their study was done to determine to evaluate the level and dispersion of vegetable prices accounting the effects of lockdown measures adopted by the Chinese government. Their results show that the lockdowns had a statistically significant effect on vegetable markets. The daily prices of cabbage increased by 46% on the initial phases of the lockdown to a peak of 65% by the 4</w:t>
      </w:r>
      <w:r w:rsidRPr="0001697D">
        <w:rPr>
          <w:vertAlign w:val="superscript"/>
        </w:rPr>
        <w:t>th</w:t>
      </w:r>
      <w:r>
        <w:t xml:space="preserve"> week of lockdowns before declining and normalizing back on the 10</w:t>
      </w:r>
      <w:r w:rsidRPr="0001697D">
        <w:rPr>
          <w:vertAlign w:val="superscript"/>
        </w:rPr>
        <w:t>th</w:t>
      </w:r>
      <w:r>
        <w:t xml:space="preserve"> week. Their conclusions confirm that disruptions of supply chains where the driving force of price surges and draw policy implications pertaining to prioritizing smooth flow of perishable products to markets.</w:t>
      </w:r>
    </w:p>
    <w:p w14:paraId="5EECB4EA" w14:textId="03FCC381" w:rsidR="002665FE" w:rsidRDefault="00500365" w:rsidP="002665FE">
      <w:pPr>
        <w:pStyle w:val="Heading1"/>
      </w:pPr>
      <w:r>
        <w:t>Materials and Methods</w:t>
      </w:r>
    </w:p>
    <w:p w14:paraId="32D61139" w14:textId="384EF094" w:rsidR="003D37FC" w:rsidRDefault="00F33F38" w:rsidP="002665FE">
      <w:pPr>
        <w:pStyle w:val="BodyText"/>
      </w:pPr>
      <w:r w:rsidRPr="00F33F38">
        <w:t xml:space="preserve">The daily prevailing prices of commodity goods are recorded by the Department of Agriculture </w:t>
      </w:r>
      <w:sdt>
        <w:sdtPr>
          <w:id w:val="1741055314"/>
          <w:citation/>
        </w:sdtPr>
        <w:sdtEndPr/>
        <w:sdtContent>
          <w:r>
            <w:fldChar w:fldCharType="begin"/>
          </w:r>
          <w:r>
            <w:rPr>
              <w:lang w:val="en-US"/>
            </w:rPr>
            <w:instrText xml:space="preserve"> CITATION Dep221 \l 1033 </w:instrText>
          </w:r>
          <w:r>
            <w:fldChar w:fldCharType="separate"/>
          </w:r>
          <w:r w:rsidRPr="00F33F38">
            <w:rPr>
              <w:noProof/>
              <w:lang w:val="en-US"/>
            </w:rPr>
            <w:t>[16]</w:t>
          </w:r>
          <w:r>
            <w:fldChar w:fldCharType="end"/>
          </w:r>
        </w:sdtContent>
      </w:sdt>
      <w:r>
        <w:rPr>
          <w:lang w:val="en-US"/>
        </w:rPr>
        <w:t xml:space="preserve">. </w:t>
      </w:r>
      <w:r w:rsidRPr="00F33F38">
        <w:t xml:space="preserve">The data was available in tabulated formats with retail prices per kilogram from each public market and a summarized column of high, low, prevailing and average prices for each specified commodity. The locations of the 13 public markets that were constantly monitored are from the major cities of Metro Manila. The range of the dataset used in this study are reflected by the </w:t>
      </w:r>
      <w:proofErr w:type="spellStart"/>
      <w:r w:rsidRPr="00F33F38">
        <w:t>parsable</w:t>
      </w:r>
      <w:proofErr w:type="spellEnd"/>
      <w:r w:rsidRPr="00F33F38">
        <w:t xml:space="preserve"> formats and the relevant consistency with regards to the start of the lockdowns in Metro Manila.</w:t>
      </w:r>
    </w:p>
    <w:p w14:paraId="47701E81" w14:textId="77777777" w:rsidR="000B45F6" w:rsidRDefault="000B45F6" w:rsidP="002665FE">
      <w:pPr>
        <w:pStyle w:val="BodyText"/>
      </w:pPr>
    </w:p>
    <w:p w14:paraId="213823FB" w14:textId="77777777" w:rsidR="0041014B" w:rsidRPr="005B520E" w:rsidRDefault="0041014B" w:rsidP="0041014B">
      <w:pPr>
        <w:pStyle w:val="tablehead"/>
      </w:pPr>
      <w:r>
        <w:t>List of public markets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147"/>
        <w:gridCol w:w="1440"/>
      </w:tblGrid>
      <w:tr w:rsidR="0041014B" w14:paraId="4C7A294B" w14:textId="77777777" w:rsidTr="00202B59">
        <w:trPr>
          <w:cantSplit/>
          <w:trHeight w:val="240"/>
          <w:tblHeader/>
          <w:jc w:val="center"/>
        </w:trPr>
        <w:tc>
          <w:tcPr>
            <w:tcW w:w="3147" w:type="dxa"/>
            <w:vAlign w:val="center"/>
          </w:tcPr>
          <w:p w14:paraId="01C9184C" w14:textId="77777777" w:rsidR="0041014B" w:rsidRDefault="0041014B" w:rsidP="00202B59">
            <w:pPr>
              <w:pStyle w:val="tablecolsubhead"/>
            </w:pPr>
            <w:r>
              <w:t>Public Market</w:t>
            </w:r>
          </w:p>
        </w:tc>
        <w:tc>
          <w:tcPr>
            <w:tcW w:w="1440" w:type="dxa"/>
            <w:vAlign w:val="center"/>
          </w:tcPr>
          <w:p w14:paraId="1AB5D35C" w14:textId="77777777" w:rsidR="0041014B" w:rsidRDefault="0041014B" w:rsidP="00202B59">
            <w:pPr>
              <w:pStyle w:val="tablecolsubhead"/>
            </w:pPr>
            <w:r>
              <w:t>Municipality</w:t>
            </w:r>
          </w:p>
        </w:tc>
      </w:tr>
      <w:tr w:rsidR="0041014B" w14:paraId="4B152A20" w14:textId="77777777" w:rsidTr="00202B59">
        <w:trPr>
          <w:trHeight w:val="320"/>
          <w:jc w:val="center"/>
        </w:trPr>
        <w:tc>
          <w:tcPr>
            <w:tcW w:w="3147" w:type="dxa"/>
          </w:tcPr>
          <w:p w14:paraId="058F0DEC" w14:textId="77777777" w:rsidR="0041014B" w:rsidRDefault="0041014B" w:rsidP="00202B59">
            <w:pPr>
              <w:pStyle w:val="tablecopy"/>
            </w:pPr>
            <w:r w:rsidRPr="001C23C0">
              <w:t>New Las Piñas City Public Market</w:t>
            </w:r>
          </w:p>
        </w:tc>
        <w:tc>
          <w:tcPr>
            <w:tcW w:w="1440" w:type="dxa"/>
            <w:vAlign w:val="center"/>
          </w:tcPr>
          <w:p w14:paraId="5C15CAE2" w14:textId="77777777" w:rsidR="0041014B" w:rsidRDefault="0041014B" w:rsidP="00202B59">
            <w:pPr>
              <w:rPr>
                <w:sz w:val="16"/>
                <w:szCs w:val="16"/>
              </w:rPr>
            </w:pPr>
            <w:r w:rsidRPr="0006784C">
              <w:rPr>
                <w:sz w:val="16"/>
                <w:szCs w:val="16"/>
              </w:rPr>
              <w:t xml:space="preserve">Las </w:t>
            </w:r>
            <w:proofErr w:type="spellStart"/>
            <w:r w:rsidRPr="0006784C">
              <w:rPr>
                <w:sz w:val="16"/>
                <w:szCs w:val="16"/>
              </w:rPr>
              <w:t>Piñas</w:t>
            </w:r>
            <w:proofErr w:type="spellEnd"/>
            <w:r w:rsidRPr="0006784C">
              <w:rPr>
                <w:sz w:val="16"/>
                <w:szCs w:val="16"/>
              </w:rPr>
              <w:t xml:space="preserve"> City</w:t>
            </w:r>
          </w:p>
        </w:tc>
      </w:tr>
      <w:tr w:rsidR="0041014B" w14:paraId="3FE1B11B" w14:textId="77777777" w:rsidTr="00202B59">
        <w:trPr>
          <w:trHeight w:val="320"/>
          <w:jc w:val="center"/>
        </w:trPr>
        <w:tc>
          <w:tcPr>
            <w:tcW w:w="3147" w:type="dxa"/>
          </w:tcPr>
          <w:p w14:paraId="05FDE84B" w14:textId="77777777" w:rsidR="0041014B" w:rsidRDefault="0041014B" w:rsidP="00202B59">
            <w:pPr>
              <w:pStyle w:val="tablecopy"/>
            </w:pPr>
            <w:r w:rsidRPr="001C23C0">
              <w:t xml:space="preserve">Guadalupe Public Market </w:t>
            </w:r>
          </w:p>
        </w:tc>
        <w:tc>
          <w:tcPr>
            <w:tcW w:w="1440" w:type="dxa"/>
            <w:vAlign w:val="center"/>
          </w:tcPr>
          <w:p w14:paraId="78C5307A" w14:textId="77777777" w:rsidR="0041014B" w:rsidRDefault="0041014B" w:rsidP="00202B59">
            <w:pPr>
              <w:rPr>
                <w:sz w:val="16"/>
                <w:szCs w:val="16"/>
              </w:rPr>
            </w:pPr>
            <w:r>
              <w:rPr>
                <w:sz w:val="16"/>
                <w:szCs w:val="16"/>
              </w:rPr>
              <w:t>Makati City</w:t>
            </w:r>
          </w:p>
        </w:tc>
      </w:tr>
      <w:tr w:rsidR="0041014B" w14:paraId="60460531"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77C65E97" w14:textId="77777777" w:rsidR="0041014B" w:rsidRDefault="0041014B" w:rsidP="0041014B">
            <w:pPr>
              <w:pStyle w:val="tablecopy"/>
            </w:pPr>
            <w:r>
              <w:t>Public Market</w:t>
            </w:r>
          </w:p>
        </w:tc>
        <w:tc>
          <w:tcPr>
            <w:tcW w:w="1440" w:type="dxa"/>
            <w:tcBorders>
              <w:top w:val="single" w:sz="2" w:space="0" w:color="auto"/>
              <w:left w:val="single" w:sz="2" w:space="0" w:color="auto"/>
              <w:bottom w:val="single" w:sz="2" w:space="0" w:color="auto"/>
              <w:right w:val="single" w:sz="2" w:space="0" w:color="auto"/>
            </w:tcBorders>
            <w:vAlign w:val="center"/>
          </w:tcPr>
          <w:p w14:paraId="1027C1E4" w14:textId="77777777" w:rsidR="0041014B" w:rsidRPr="0041014B" w:rsidRDefault="0041014B" w:rsidP="0041014B">
            <w:pPr>
              <w:rPr>
                <w:sz w:val="16"/>
                <w:szCs w:val="16"/>
              </w:rPr>
            </w:pPr>
            <w:r w:rsidRPr="0041014B">
              <w:rPr>
                <w:sz w:val="16"/>
                <w:szCs w:val="16"/>
              </w:rPr>
              <w:t>Municipality</w:t>
            </w:r>
          </w:p>
        </w:tc>
      </w:tr>
      <w:tr w:rsidR="0041014B" w14:paraId="60836EF6"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79421FEF" w14:textId="77777777" w:rsidR="0041014B" w:rsidRDefault="0041014B" w:rsidP="005B6360">
            <w:pPr>
              <w:pStyle w:val="tablecopy"/>
            </w:pPr>
            <w:r w:rsidRPr="001C23C0">
              <w:t>New Las Piñas City Public Market</w:t>
            </w:r>
          </w:p>
        </w:tc>
        <w:tc>
          <w:tcPr>
            <w:tcW w:w="1440" w:type="dxa"/>
            <w:tcBorders>
              <w:top w:val="single" w:sz="2" w:space="0" w:color="auto"/>
              <w:left w:val="single" w:sz="2" w:space="0" w:color="auto"/>
              <w:bottom w:val="single" w:sz="2" w:space="0" w:color="auto"/>
              <w:right w:val="single" w:sz="2" w:space="0" w:color="auto"/>
            </w:tcBorders>
            <w:vAlign w:val="center"/>
          </w:tcPr>
          <w:p w14:paraId="78D00CAE" w14:textId="77777777" w:rsidR="0041014B" w:rsidRDefault="0041014B" w:rsidP="005B6360">
            <w:pPr>
              <w:rPr>
                <w:sz w:val="16"/>
                <w:szCs w:val="16"/>
              </w:rPr>
            </w:pPr>
            <w:r w:rsidRPr="0006784C">
              <w:rPr>
                <w:sz w:val="16"/>
                <w:szCs w:val="16"/>
              </w:rPr>
              <w:t xml:space="preserve">Las </w:t>
            </w:r>
            <w:proofErr w:type="spellStart"/>
            <w:r w:rsidRPr="0006784C">
              <w:rPr>
                <w:sz w:val="16"/>
                <w:szCs w:val="16"/>
              </w:rPr>
              <w:t>Piñas</w:t>
            </w:r>
            <w:proofErr w:type="spellEnd"/>
            <w:r w:rsidRPr="0006784C">
              <w:rPr>
                <w:sz w:val="16"/>
                <w:szCs w:val="16"/>
              </w:rPr>
              <w:t xml:space="preserve"> City</w:t>
            </w:r>
          </w:p>
        </w:tc>
      </w:tr>
      <w:tr w:rsidR="0041014B" w14:paraId="0EA3C159"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2D44C808" w14:textId="77777777" w:rsidR="0041014B" w:rsidRDefault="0041014B" w:rsidP="005B6360">
            <w:pPr>
              <w:pStyle w:val="tablecopy"/>
            </w:pPr>
            <w:r w:rsidRPr="001C23C0">
              <w:t xml:space="preserve">Guadalupe Public Market </w:t>
            </w:r>
          </w:p>
        </w:tc>
        <w:tc>
          <w:tcPr>
            <w:tcW w:w="1440" w:type="dxa"/>
            <w:tcBorders>
              <w:top w:val="single" w:sz="2" w:space="0" w:color="auto"/>
              <w:left w:val="single" w:sz="2" w:space="0" w:color="auto"/>
              <w:bottom w:val="single" w:sz="2" w:space="0" w:color="auto"/>
              <w:right w:val="single" w:sz="2" w:space="0" w:color="auto"/>
            </w:tcBorders>
            <w:vAlign w:val="center"/>
          </w:tcPr>
          <w:p w14:paraId="42BAADA1" w14:textId="77777777" w:rsidR="0041014B" w:rsidRDefault="0041014B" w:rsidP="005B6360">
            <w:pPr>
              <w:rPr>
                <w:sz w:val="16"/>
                <w:szCs w:val="16"/>
              </w:rPr>
            </w:pPr>
            <w:r>
              <w:rPr>
                <w:sz w:val="16"/>
                <w:szCs w:val="16"/>
              </w:rPr>
              <w:t>Makati City</w:t>
            </w:r>
          </w:p>
        </w:tc>
      </w:tr>
      <w:tr w:rsidR="0041014B" w14:paraId="232ACB94"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3B3D2E3A" w14:textId="77777777" w:rsidR="0041014B" w:rsidRDefault="0041014B" w:rsidP="005B6360">
            <w:pPr>
              <w:pStyle w:val="tablecopy"/>
            </w:pPr>
            <w:r w:rsidRPr="001C23C0">
              <w:t>San Andres Market</w:t>
            </w:r>
          </w:p>
        </w:tc>
        <w:tc>
          <w:tcPr>
            <w:tcW w:w="1440" w:type="dxa"/>
            <w:tcBorders>
              <w:top w:val="single" w:sz="2" w:space="0" w:color="auto"/>
              <w:left w:val="single" w:sz="2" w:space="0" w:color="auto"/>
              <w:bottom w:val="single" w:sz="2" w:space="0" w:color="auto"/>
              <w:right w:val="single" w:sz="2" w:space="0" w:color="auto"/>
            </w:tcBorders>
            <w:vAlign w:val="center"/>
          </w:tcPr>
          <w:p w14:paraId="35233812" w14:textId="77777777" w:rsidR="0041014B" w:rsidRPr="00E97D37" w:rsidRDefault="0041014B" w:rsidP="005B6360">
            <w:pPr>
              <w:rPr>
                <w:sz w:val="16"/>
                <w:szCs w:val="16"/>
              </w:rPr>
            </w:pPr>
            <w:r>
              <w:rPr>
                <w:sz w:val="16"/>
                <w:szCs w:val="16"/>
              </w:rPr>
              <w:t>Manila City</w:t>
            </w:r>
          </w:p>
        </w:tc>
      </w:tr>
      <w:tr w:rsidR="0041014B" w14:paraId="0CB6C662"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3BD0B9B8" w14:textId="77777777" w:rsidR="0041014B" w:rsidRDefault="0041014B" w:rsidP="005B6360">
            <w:pPr>
              <w:pStyle w:val="tablecopy"/>
            </w:pPr>
            <w:r w:rsidRPr="001C23C0">
              <w:t>Quinta Market</w:t>
            </w:r>
          </w:p>
        </w:tc>
        <w:tc>
          <w:tcPr>
            <w:tcW w:w="1440" w:type="dxa"/>
            <w:tcBorders>
              <w:top w:val="single" w:sz="2" w:space="0" w:color="auto"/>
              <w:left w:val="single" w:sz="2" w:space="0" w:color="auto"/>
              <w:bottom w:val="single" w:sz="2" w:space="0" w:color="auto"/>
              <w:right w:val="single" w:sz="2" w:space="0" w:color="auto"/>
            </w:tcBorders>
            <w:vAlign w:val="center"/>
          </w:tcPr>
          <w:p w14:paraId="51719039" w14:textId="77777777" w:rsidR="0041014B" w:rsidRDefault="0041014B" w:rsidP="005B6360">
            <w:pPr>
              <w:rPr>
                <w:sz w:val="16"/>
                <w:szCs w:val="16"/>
              </w:rPr>
            </w:pPr>
            <w:r>
              <w:rPr>
                <w:sz w:val="16"/>
                <w:szCs w:val="16"/>
              </w:rPr>
              <w:t>Manila City</w:t>
            </w:r>
          </w:p>
        </w:tc>
      </w:tr>
      <w:tr w:rsidR="0041014B" w14:paraId="4322B298"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5AE551C0" w14:textId="77777777" w:rsidR="0041014B" w:rsidRDefault="0041014B" w:rsidP="005B6360">
            <w:pPr>
              <w:pStyle w:val="tablecopy"/>
            </w:pPr>
            <w:r w:rsidRPr="001C23C0">
              <w:t>Marikina Public Market</w:t>
            </w:r>
          </w:p>
        </w:tc>
        <w:tc>
          <w:tcPr>
            <w:tcW w:w="1440" w:type="dxa"/>
            <w:tcBorders>
              <w:top w:val="single" w:sz="2" w:space="0" w:color="auto"/>
              <w:left w:val="single" w:sz="2" w:space="0" w:color="auto"/>
              <w:bottom w:val="single" w:sz="2" w:space="0" w:color="auto"/>
              <w:right w:val="single" w:sz="2" w:space="0" w:color="auto"/>
            </w:tcBorders>
            <w:vAlign w:val="center"/>
          </w:tcPr>
          <w:p w14:paraId="2A7E1CC6" w14:textId="77777777" w:rsidR="0041014B" w:rsidRDefault="0041014B" w:rsidP="005B6360">
            <w:pPr>
              <w:rPr>
                <w:sz w:val="16"/>
                <w:szCs w:val="16"/>
              </w:rPr>
            </w:pPr>
            <w:r>
              <w:rPr>
                <w:sz w:val="16"/>
                <w:szCs w:val="16"/>
              </w:rPr>
              <w:t>Marikina City</w:t>
            </w:r>
          </w:p>
        </w:tc>
      </w:tr>
      <w:tr w:rsidR="0041014B" w14:paraId="26630EAE"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252A42D1" w14:textId="77777777" w:rsidR="0041014B" w:rsidRDefault="0041014B" w:rsidP="005B6360">
            <w:pPr>
              <w:pStyle w:val="tablecopy"/>
            </w:pPr>
            <w:r w:rsidRPr="001C23C0">
              <w:t>Pamilihang Lungsod ng Muntinlupa</w:t>
            </w:r>
          </w:p>
        </w:tc>
        <w:tc>
          <w:tcPr>
            <w:tcW w:w="1440" w:type="dxa"/>
            <w:tcBorders>
              <w:top w:val="single" w:sz="2" w:space="0" w:color="auto"/>
              <w:left w:val="single" w:sz="2" w:space="0" w:color="auto"/>
              <w:bottom w:val="single" w:sz="2" w:space="0" w:color="auto"/>
              <w:right w:val="single" w:sz="2" w:space="0" w:color="auto"/>
            </w:tcBorders>
            <w:vAlign w:val="center"/>
          </w:tcPr>
          <w:p w14:paraId="61521E58" w14:textId="77777777" w:rsidR="0041014B" w:rsidRDefault="0041014B" w:rsidP="005B6360">
            <w:pPr>
              <w:rPr>
                <w:sz w:val="16"/>
                <w:szCs w:val="16"/>
              </w:rPr>
            </w:pPr>
            <w:r>
              <w:rPr>
                <w:sz w:val="16"/>
                <w:szCs w:val="16"/>
              </w:rPr>
              <w:t>Muntinlupa City</w:t>
            </w:r>
          </w:p>
        </w:tc>
      </w:tr>
      <w:tr w:rsidR="0041014B" w14:paraId="0BE3B630"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4136F497" w14:textId="77777777" w:rsidR="0041014B" w:rsidRDefault="0041014B" w:rsidP="005B6360">
            <w:pPr>
              <w:pStyle w:val="tablecopy"/>
            </w:pPr>
            <w:r w:rsidRPr="001C23C0">
              <w:t>Pasay City Market</w:t>
            </w:r>
          </w:p>
        </w:tc>
        <w:tc>
          <w:tcPr>
            <w:tcW w:w="1440" w:type="dxa"/>
            <w:tcBorders>
              <w:top w:val="single" w:sz="2" w:space="0" w:color="auto"/>
              <w:left w:val="single" w:sz="2" w:space="0" w:color="auto"/>
              <w:bottom w:val="single" w:sz="2" w:space="0" w:color="auto"/>
              <w:right w:val="single" w:sz="2" w:space="0" w:color="auto"/>
            </w:tcBorders>
            <w:vAlign w:val="center"/>
          </w:tcPr>
          <w:p w14:paraId="7452145A" w14:textId="77777777" w:rsidR="0041014B" w:rsidRDefault="0041014B" w:rsidP="005B6360">
            <w:pPr>
              <w:rPr>
                <w:sz w:val="16"/>
                <w:szCs w:val="16"/>
              </w:rPr>
            </w:pPr>
            <w:r>
              <w:rPr>
                <w:sz w:val="16"/>
                <w:szCs w:val="16"/>
              </w:rPr>
              <w:t>Pasay City</w:t>
            </w:r>
          </w:p>
        </w:tc>
      </w:tr>
      <w:tr w:rsidR="0041014B" w14:paraId="6E44E318"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39D0FBB9" w14:textId="77777777" w:rsidR="0041014B" w:rsidRDefault="0041014B" w:rsidP="005B6360">
            <w:pPr>
              <w:pStyle w:val="tablecopy"/>
            </w:pPr>
            <w:r w:rsidRPr="001C23C0">
              <w:t>Pasig City Mega Market</w:t>
            </w:r>
          </w:p>
        </w:tc>
        <w:tc>
          <w:tcPr>
            <w:tcW w:w="1440" w:type="dxa"/>
            <w:tcBorders>
              <w:top w:val="single" w:sz="2" w:space="0" w:color="auto"/>
              <w:left w:val="single" w:sz="2" w:space="0" w:color="auto"/>
              <w:bottom w:val="single" w:sz="2" w:space="0" w:color="auto"/>
              <w:right w:val="single" w:sz="2" w:space="0" w:color="auto"/>
            </w:tcBorders>
            <w:vAlign w:val="center"/>
          </w:tcPr>
          <w:p w14:paraId="2155A919" w14:textId="77777777" w:rsidR="0041014B" w:rsidRDefault="0041014B" w:rsidP="005B6360">
            <w:pPr>
              <w:rPr>
                <w:sz w:val="16"/>
                <w:szCs w:val="16"/>
              </w:rPr>
            </w:pPr>
            <w:r>
              <w:rPr>
                <w:sz w:val="16"/>
                <w:szCs w:val="16"/>
              </w:rPr>
              <w:t>Pasig City</w:t>
            </w:r>
          </w:p>
        </w:tc>
      </w:tr>
      <w:tr w:rsidR="0041014B" w14:paraId="20B2689F"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63C906B4" w14:textId="77777777" w:rsidR="0041014B" w:rsidRDefault="0041014B" w:rsidP="005B6360">
            <w:pPr>
              <w:pStyle w:val="tablecopy"/>
            </w:pPr>
            <w:r w:rsidRPr="001C23C0">
              <w:t>Commonwealth Market</w:t>
            </w:r>
          </w:p>
        </w:tc>
        <w:tc>
          <w:tcPr>
            <w:tcW w:w="1440" w:type="dxa"/>
            <w:tcBorders>
              <w:top w:val="single" w:sz="2" w:space="0" w:color="auto"/>
              <w:left w:val="single" w:sz="2" w:space="0" w:color="auto"/>
              <w:bottom w:val="single" w:sz="2" w:space="0" w:color="auto"/>
              <w:right w:val="single" w:sz="2" w:space="0" w:color="auto"/>
            </w:tcBorders>
            <w:vAlign w:val="center"/>
          </w:tcPr>
          <w:p w14:paraId="32131251" w14:textId="77777777" w:rsidR="0041014B" w:rsidRDefault="0041014B" w:rsidP="005B6360">
            <w:pPr>
              <w:rPr>
                <w:sz w:val="16"/>
                <w:szCs w:val="16"/>
              </w:rPr>
            </w:pPr>
            <w:r>
              <w:rPr>
                <w:sz w:val="16"/>
                <w:szCs w:val="16"/>
              </w:rPr>
              <w:t>Quezon City</w:t>
            </w:r>
          </w:p>
        </w:tc>
      </w:tr>
      <w:tr w:rsidR="0041014B" w14:paraId="5B76DCFF"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77646244" w14:textId="77777777" w:rsidR="0041014B" w:rsidRDefault="0041014B" w:rsidP="005B6360">
            <w:pPr>
              <w:pStyle w:val="tablecopy"/>
            </w:pPr>
            <w:r w:rsidRPr="001C23C0">
              <w:t xml:space="preserve">Muñoz Market </w:t>
            </w:r>
          </w:p>
        </w:tc>
        <w:tc>
          <w:tcPr>
            <w:tcW w:w="1440" w:type="dxa"/>
            <w:tcBorders>
              <w:top w:val="single" w:sz="2" w:space="0" w:color="auto"/>
              <w:left w:val="single" w:sz="2" w:space="0" w:color="auto"/>
              <w:bottom w:val="single" w:sz="2" w:space="0" w:color="auto"/>
              <w:right w:val="single" w:sz="2" w:space="0" w:color="auto"/>
            </w:tcBorders>
            <w:vAlign w:val="center"/>
          </w:tcPr>
          <w:p w14:paraId="611AC7FB" w14:textId="77777777" w:rsidR="0041014B" w:rsidRDefault="0041014B" w:rsidP="005B6360">
            <w:pPr>
              <w:rPr>
                <w:sz w:val="16"/>
                <w:szCs w:val="16"/>
              </w:rPr>
            </w:pPr>
            <w:r>
              <w:rPr>
                <w:sz w:val="16"/>
                <w:szCs w:val="16"/>
              </w:rPr>
              <w:t>Quezon City</w:t>
            </w:r>
          </w:p>
        </w:tc>
      </w:tr>
      <w:tr w:rsidR="0041014B" w14:paraId="3D567ECA"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7A09034A" w14:textId="77777777" w:rsidR="0041014B" w:rsidRDefault="0041014B" w:rsidP="005B6360">
            <w:pPr>
              <w:pStyle w:val="tablecopy"/>
            </w:pPr>
            <w:r w:rsidRPr="001C23C0">
              <w:t xml:space="preserve">Mega Q-mart </w:t>
            </w:r>
          </w:p>
        </w:tc>
        <w:tc>
          <w:tcPr>
            <w:tcW w:w="1440" w:type="dxa"/>
            <w:tcBorders>
              <w:top w:val="single" w:sz="2" w:space="0" w:color="auto"/>
              <w:left w:val="single" w:sz="2" w:space="0" w:color="auto"/>
              <w:bottom w:val="single" w:sz="2" w:space="0" w:color="auto"/>
              <w:right w:val="single" w:sz="2" w:space="0" w:color="auto"/>
            </w:tcBorders>
            <w:vAlign w:val="center"/>
          </w:tcPr>
          <w:p w14:paraId="46D03A39" w14:textId="77777777" w:rsidR="0041014B" w:rsidRDefault="0041014B" w:rsidP="005B6360">
            <w:pPr>
              <w:rPr>
                <w:sz w:val="16"/>
                <w:szCs w:val="16"/>
              </w:rPr>
            </w:pPr>
            <w:r>
              <w:rPr>
                <w:sz w:val="16"/>
                <w:szCs w:val="16"/>
              </w:rPr>
              <w:t>Quezon City</w:t>
            </w:r>
          </w:p>
        </w:tc>
      </w:tr>
      <w:tr w:rsidR="0041014B" w14:paraId="45A962A4"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3A4ADC4E" w14:textId="77777777" w:rsidR="0041014B" w:rsidRDefault="0041014B" w:rsidP="005B6360">
            <w:pPr>
              <w:pStyle w:val="tablecopy"/>
            </w:pPr>
            <w:r w:rsidRPr="001C23C0">
              <w:t>Malabon Central Market</w:t>
            </w:r>
          </w:p>
        </w:tc>
        <w:tc>
          <w:tcPr>
            <w:tcW w:w="1440" w:type="dxa"/>
            <w:tcBorders>
              <w:top w:val="single" w:sz="2" w:space="0" w:color="auto"/>
              <w:left w:val="single" w:sz="2" w:space="0" w:color="auto"/>
              <w:bottom w:val="single" w:sz="2" w:space="0" w:color="auto"/>
              <w:right w:val="single" w:sz="2" w:space="0" w:color="auto"/>
            </w:tcBorders>
            <w:vAlign w:val="center"/>
          </w:tcPr>
          <w:p w14:paraId="64F27CC4" w14:textId="77777777" w:rsidR="0041014B" w:rsidRDefault="0041014B" w:rsidP="005B6360">
            <w:pPr>
              <w:rPr>
                <w:sz w:val="16"/>
                <w:szCs w:val="16"/>
              </w:rPr>
            </w:pPr>
            <w:r>
              <w:rPr>
                <w:sz w:val="16"/>
                <w:szCs w:val="16"/>
              </w:rPr>
              <w:t>Malabon City</w:t>
            </w:r>
          </w:p>
        </w:tc>
      </w:tr>
      <w:tr w:rsidR="0041014B" w14:paraId="733CECE8" w14:textId="77777777" w:rsidTr="0041014B">
        <w:trPr>
          <w:trHeight w:val="320"/>
          <w:jc w:val="center"/>
        </w:trPr>
        <w:tc>
          <w:tcPr>
            <w:tcW w:w="3147" w:type="dxa"/>
            <w:tcBorders>
              <w:top w:val="single" w:sz="2" w:space="0" w:color="auto"/>
              <w:left w:val="single" w:sz="2" w:space="0" w:color="auto"/>
              <w:bottom w:val="single" w:sz="2" w:space="0" w:color="auto"/>
              <w:right w:val="single" w:sz="2" w:space="0" w:color="auto"/>
            </w:tcBorders>
          </w:tcPr>
          <w:p w14:paraId="0E39F596" w14:textId="77777777" w:rsidR="0041014B" w:rsidRDefault="0041014B" w:rsidP="005B6360">
            <w:pPr>
              <w:pStyle w:val="tablecopy"/>
            </w:pPr>
            <w:r w:rsidRPr="001C23C0">
              <w:t>Pritil Public Market</w:t>
            </w:r>
          </w:p>
        </w:tc>
        <w:tc>
          <w:tcPr>
            <w:tcW w:w="1440" w:type="dxa"/>
            <w:tcBorders>
              <w:top w:val="single" w:sz="2" w:space="0" w:color="auto"/>
              <w:left w:val="single" w:sz="2" w:space="0" w:color="auto"/>
              <w:bottom w:val="single" w:sz="2" w:space="0" w:color="auto"/>
              <w:right w:val="single" w:sz="2" w:space="0" w:color="auto"/>
            </w:tcBorders>
            <w:vAlign w:val="center"/>
          </w:tcPr>
          <w:p w14:paraId="608F4452" w14:textId="77777777" w:rsidR="0041014B" w:rsidRDefault="0041014B" w:rsidP="005B6360">
            <w:pPr>
              <w:rPr>
                <w:sz w:val="16"/>
                <w:szCs w:val="16"/>
              </w:rPr>
            </w:pPr>
            <w:r>
              <w:rPr>
                <w:sz w:val="16"/>
                <w:szCs w:val="16"/>
              </w:rPr>
              <w:t>Manila City</w:t>
            </w:r>
          </w:p>
        </w:tc>
      </w:tr>
    </w:tbl>
    <w:p w14:paraId="7FDF54A9" w14:textId="77777777" w:rsidR="00EA6A48" w:rsidRDefault="00EA6A48" w:rsidP="00EA6A48">
      <w:pPr>
        <w:pStyle w:val="BodyText"/>
      </w:pPr>
    </w:p>
    <w:p w14:paraId="77C386EF" w14:textId="6D70E2AA" w:rsidR="00EA6A48" w:rsidRPr="00EA6A48" w:rsidRDefault="00EA6A48" w:rsidP="00EA6A48">
      <w:pPr>
        <w:pStyle w:val="BodyText"/>
        <w:rPr>
          <w:smallCaps/>
          <w:noProof/>
          <w:spacing w:val="0"/>
          <w:sz w:val="16"/>
          <w:szCs w:val="16"/>
          <w:lang w:val="en-US" w:eastAsia="en-US"/>
        </w:rPr>
      </w:pPr>
      <w:r w:rsidRPr="00EA6A48">
        <w:t xml:space="preserve">There was a lot of inconsistency in the data such as missing dates and duplicates. For the gathered time series data, a good 23.96% are missing for </w:t>
      </w:r>
      <w:proofErr w:type="spellStart"/>
      <w:r w:rsidRPr="00EA6A48">
        <w:t>Bangus</w:t>
      </w:r>
      <w:proofErr w:type="spellEnd"/>
      <w:r w:rsidRPr="00EA6A48">
        <w:t xml:space="preserve">, Tilapia and Local Round </w:t>
      </w:r>
      <w:proofErr w:type="spellStart"/>
      <w:r w:rsidRPr="00EA6A48">
        <w:t>Scad</w:t>
      </w:r>
      <w:proofErr w:type="spellEnd"/>
      <w:r w:rsidRPr="00EA6A48">
        <w:t xml:space="preserve">, 37.10% for </w:t>
      </w:r>
      <w:proofErr w:type="spellStart"/>
      <w:r w:rsidRPr="00EA6A48">
        <w:t>Alumahan</w:t>
      </w:r>
      <w:proofErr w:type="spellEnd"/>
      <w:r w:rsidRPr="00EA6A48">
        <w:t xml:space="preserve"> and 71.38% for Imported Round </w:t>
      </w:r>
      <w:proofErr w:type="spellStart"/>
      <w:r w:rsidRPr="00EA6A48">
        <w:t>Scad</w:t>
      </w:r>
      <w:proofErr w:type="spellEnd"/>
      <w:r w:rsidRPr="00EA6A48">
        <w:t xml:space="preserve"> prices. According to the price monitoring, the missing data are an indication that the goods are not available in the market during the specific dates or that the markets are closed due to stringent lockdowns. </w:t>
      </w:r>
      <w:r w:rsidR="001A0290">
        <w:rPr>
          <w:lang w:val="en-US"/>
        </w:rPr>
        <w:t>Dong and Peng (2013)</w:t>
      </w:r>
      <w:r w:rsidRPr="00EA6A48">
        <w:t xml:space="preserve"> reviews that a good 15% to 20% of missing data is common and that new and improved ways of imputing data can provide statistically significant</w:t>
      </w:r>
      <w:r w:rsidR="005C50E3">
        <w:rPr>
          <w:lang w:val="en-US"/>
        </w:rPr>
        <w:t xml:space="preserve"> analysis</w:t>
      </w:r>
      <w:r w:rsidR="006C427B">
        <w:rPr>
          <w:lang w:val="en-US"/>
        </w:rPr>
        <w:t xml:space="preserve"> </w:t>
      </w:r>
      <w:sdt>
        <w:sdtPr>
          <w:rPr>
            <w:lang w:val="en-US"/>
          </w:rPr>
          <w:id w:val="-411394058"/>
          <w:citation/>
        </w:sdtPr>
        <w:sdtEndPr/>
        <w:sdtContent>
          <w:r w:rsidR="006C427B">
            <w:rPr>
              <w:lang w:val="en-US"/>
            </w:rPr>
            <w:fldChar w:fldCharType="begin"/>
          </w:r>
          <w:r w:rsidR="006C427B">
            <w:rPr>
              <w:lang w:val="en-US"/>
            </w:rPr>
            <w:instrText xml:space="preserve"> CITATION Don13 \l 1033 </w:instrText>
          </w:r>
          <w:r w:rsidR="006C427B">
            <w:rPr>
              <w:lang w:val="en-US"/>
            </w:rPr>
            <w:fldChar w:fldCharType="separate"/>
          </w:r>
          <w:r w:rsidR="006C427B" w:rsidRPr="006C427B">
            <w:rPr>
              <w:noProof/>
              <w:lang w:val="en-US"/>
            </w:rPr>
            <w:t>[17]</w:t>
          </w:r>
          <w:r w:rsidR="006C427B">
            <w:rPr>
              <w:lang w:val="en-US"/>
            </w:rPr>
            <w:fldChar w:fldCharType="end"/>
          </w:r>
        </w:sdtContent>
      </w:sdt>
      <w:r w:rsidRPr="00EA6A48">
        <w:t xml:space="preserve">. However, there is yet to be an established acceptable amount of missing data as there are different assumptions to what can make data statistically biased. For this study, the researcher will maintain that only datasets whose missingness are 25% and below will be used which comes down to </w:t>
      </w:r>
      <w:proofErr w:type="spellStart"/>
      <w:r w:rsidRPr="00EA6A48">
        <w:t>Bangus</w:t>
      </w:r>
      <w:proofErr w:type="spellEnd"/>
      <w:r w:rsidRPr="00EA6A48">
        <w:t xml:space="preserve">, Tilapia, and Local Round </w:t>
      </w:r>
      <w:proofErr w:type="spellStart"/>
      <w:r w:rsidRPr="00EA6A48">
        <w:t>Scad</w:t>
      </w:r>
      <w:proofErr w:type="spellEnd"/>
      <w:r w:rsidRPr="00EA6A48">
        <w:t>.</w:t>
      </w:r>
    </w:p>
    <w:p w14:paraId="3F43AFAD" w14:textId="67886CD1" w:rsidR="0041014B" w:rsidRPr="005B520E" w:rsidRDefault="0041014B" w:rsidP="0041014B">
      <w:pPr>
        <w:pStyle w:val="tablehead"/>
      </w:pPr>
      <w:r>
        <w:t>Missingness of data from october 1, 2019 to august 31, 2021</w:t>
      </w:r>
    </w:p>
    <w:tbl>
      <w:tblPr>
        <w:tblW w:w="45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27"/>
        <w:gridCol w:w="900"/>
        <w:gridCol w:w="900"/>
        <w:gridCol w:w="1260"/>
      </w:tblGrid>
      <w:tr w:rsidR="006D07FD" w14:paraId="280FF3B7" w14:textId="09910105" w:rsidTr="006D07FD">
        <w:trPr>
          <w:cantSplit/>
          <w:trHeight w:val="229"/>
          <w:tblHeader/>
          <w:jc w:val="center"/>
        </w:trPr>
        <w:tc>
          <w:tcPr>
            <w:tcW w:w="1527" w:type="dxa"/>
            <w:vAlign w:val="center"/>
          </w:tcPr>
          <w:p w14:paraId="22B75472" w14:textId="79FEEC73" w:rsidR="006D07FD" w:rsidRDefault="006D07FD" w:rsidP="00202B59">
            <w:pPr>
              <w:pStyle w:val="tablecolsubhead"/>
            </w:pPr>
            <w:r>
              <w:t>Commodity</w:t>
            </w:r>
          </w:p>
        </w:tc>
        <w:tc>
          <w:tcPr>
            <w:tcW w:w="900" w:type="dxa"/>
            <w:vAlign w:val="center"/>
          </w:tcPr>
          <w:p w14:paraId="6E2F4FA9" w14:textId="3F4F1F3E" w:rsidR="006D07FD" w:rsidRDefault="006D07FD" w:rsidP="00202B59">
            <w:pPr>
              <w:pStyle w:val="tablecolsubhead"/>
            </w:pPr>
            <w:r>
              <w:t>Frequency</w:t>
            </w:r>
          </w:p>
        </w:tc>
        <w:tc>
          <w:tcPr>
            <w:tcW w:w="900" w:type="dxa"/>
          </w:tcPr>
          <w:p w14:paraId="72B45886" w14:textId="5FE64F50" w:rsidR="006D07FD" w:rsidRDefault="006D07FD" w:rsidP="00202B59">
            <w:pPr>
              <w:pStyle w:val="tablecolsubhead"/>
            </w:pPr>
            <w:r>
              <w:t>Missing</w:t>
            </w:r>
          </w:p>
        </w:tc>
        <w:tc>
          <w:tcPr>
            <w:tcW w:w="1260" w:type="dxa"/>
          </w:tcPr>
          <w:p w14:paraId="1AE0D0F8" w14:textId="07589A85" w:rsidR="006D07FD" w:rsidRDefault="006D07FD" w:rsidP="00202B59">
            <w:pPr>
              <w:pStyle w:val="tablecolsubhead"/>
            </w:pPr>
            <w:r>
              <w:t>Percent Missing</w:t>
            </w:r>
          </w:p>
        </w:tc>
      </w:tr>
      <w:tr w:rsidR="006D07FD" w14:paraId="6EE75B61" w14:textId="3DBD7DC1" w:rsidTr="006D07FD">
        <w:trPr>
          <w:trHeight w:val="306"/>
          <w:jc w:val="center"/>
        </w:trPr>
        <w:tc>
          <w:tcPr>
            <w:tcW w:w="1527" w:type="dxa"/>
          </w:tcPr>
          <w:p w14:paraId="07058DEC" w14:textId="0E6A1284" w:rsidR="006D07FD" w:rsidRDefault="006D07FD" w:rsidP="00202B59">
            <w:pPr>
              <w:pStyle w:val="tablecopy"/>
            </w:pPr>
            <w:r>
              <w:t>Bangus</w:t>
            </w:r>
          </w:p>
        </w:tc>
        <w:tc>
          <w:tcPr>
            <w:tcW w:w="900" w:type="dxa"/>
            <w:vAlign w:val="center"/>
          </w:tcPr>
          <w:p w14:paraId="7B22536C" w14:textId="1BA63CFE" w:rsidR="006D07FD" w:rsidRDefault="006D07FD" w:rsidP="00202B59">
            <w:pPr>
              <w:rPr>
                <w:sz w:val="16"/>
                <w:szCs w:val="16"/>
              </w:rPr>
            </w:pPr>
            <w:r>
              <w:rPr>
                <w:sz w:val="16"/>
                <w:szCs w:val="16"/>
              </w:rPr>
              <w:t>457</w:t>
            </w:r>
          </w:p>
        </w:tc>
        <w:tc>
          <w:tcPr>
            <w:tcW w:w="900" w:type="dxa"/>
          </w:tcPr>
          <w:p w14:paraId="3A37FD3C" w14:textId="527DC08D" w:rsidR="006D07FD" w:rsidRPr="0006784C" w:rsidRDefault="006D07FD" w:rsidP="00202B59">
            <w:pPr>
              <w:rPr>
                <w:sz w:val="16"/>
                <w:szCs w:val="16"/>
              </w:rPr>
            </w:pPr>
            <w:r>
              <w:rPr>
                <w:sz w:val="16"/>
                <w:szCs w:val="16"/>
              </w:rPr>
              <w:t>144</w:t>
            </w:r>
          </w:p>
        </w:tc>
        <w:tc>
          <w:tcPr>
            <w:tcW w:w="1260" w:type="dxa"/>
          </w:tcPr>
          <w:p w14:paraId="298E2FC7" w14:textId="7175903E" w:rsidR="006D07FD" w:rsidRPr="0006784C" w:rsidRDefault="006D07FD" w:rsidP="00202B59">
            <w:pPr>
              <w:rPr>
                <w:sz w:val="16"/>
                <w:szCs w:val="16"/>
              </w:rPr>
            </w:pPr>
            <w:r>
              <w:rPr>
                <w:sz w:val="16"/>
                <w:szCs w:val="16"/>
              </w:rPr>
              <w:t>23.96%</w:t>
            </w:r>
          </w:p>
        </w:tc>
      </w:tr>
      <w:tr w:rsidR="006D07FD" w14:paraId="027F62F0" w14:textId="4ECBB6E4" w:rsidTr="006D07FD">
        <w:trPr>
          <w:trHeight w:val="306"/>
          <w:jc w:val="center"/>
        </w:trPr>
        <w:tc>
          <w:tcPr>
            <w:tcW w:w="1527" w:type="dxa"/>
          </w:tcPr>
          <w:p w14:paraId="3CA98FE6" w14:textId="311B6A24" w:rsidR="006D07FD" w:rsidRDefault="006D07FD" w:rsidP="00202B59">
            <w:pPr>
              <w:pStyle w:val="tablecopy"/>
            </w:pPr>
            <w:r>
              <w:t>Tilapia</w:t>
            </w:r>
          </w:p>
        </w:tc>
        <w:tc>
          <w:tcPr>
            <w:tcW w:w="900" w:type="dxa"/>
            <w:vAlign w:val="center"/>
          </w:tcPr>
          <w:p w14:paraId="5002478A" w14:textId="6DE950FC" w:rsidR="006D07FD" w:rsidRDefault="006D07FD" w:rsidP="00202B59">
            <w:pPr>
              <w:rPr>
                <w:sz w:val="16"/>
                <w:szCs w:val="16"/>
              </w:rPr>
            </w:pPr>
            <w:r>
              <w:rPr>
                <w:sz w:val="16"/>
                <w:szCs w:val="16"/>
              </w:rPr>
              <w:t>457</w:t>
            </w:r>
          </w:p>
        </w:tc>
        <w:tc>
          <w:tcPr>
            <w:tcW w:w="900" w:type="dxa"/>
          </w:tcPr>
          <w:p w14:paraId="7BCEC0A3" w14:textId="53589CF6" w:rsidR="006D07FD" w:rsidRDefault="006D07FD" w:rsidP="00202B59">
            <w:pPr>
              <w:rPr>
                <w:sz w:val="16"/>
                <w:szCs w:val="16"/>
              </w:rPr>
            </w:pPr>
            <w:r>
              <w:rPr>
                <w:sz w:val="16"/>
                <w:szCs w:val="16"/>
              </w:rPr>
              <w:t>144</w:t>
            </w:r>
          </w:p>
        </w:tc>
        <w:tc>
          <w:tcPr>
            <w:tcW w:w="1260" w:type="dxa"/>
          </w:tcPr>
          <w:p w14:paraId="78341B3F" w14:textId="12853BC4" w:rsidR="006D07FD" w:rsidRDefault="006D07FD" w:rsidP="00202B59">
            <w:pPr>
              <w:rPr>
                <w:sz w:val="16"/>
                <w:szCs w:val="16"/>
              </w:rPr>
            </w:pPr>
            <w:r>
              <w:rPr>
                <w:sz w:val="16"/>
                <w:szCs w:val="16"/>
              </w:rPr>
              <w:t>23.96%</w:t>
            </w:r>
          </w:p>
        </w:tc>
      </w:tr>
      <w:tr w:rsidR="006D07FD" w14:paraId="40653A42" w14:textId="77777777" w:rsidTr="006D07FD">
        <w:trPr>
          <w:trHeight w:val="306"/>
          <w:jc w:val="center"/>
        </w:trPr>
        <w:tc>
          <w:tcPr>
            <w:tcW w:w="1527" w:type="dxa"/>
          </w:tcPr>
          <w:p w14:paraId="66288080" w14:textId="687340CD" w:rsidR="006D07FD" w:rsidRDefault="006D07FD" w:rsidP="00202B59">
            <w:pPr>
              <w:pStyle w:val="tablecopy"/>
            </w:pPr>
            <w:r>
              <w:t>Alumahan</w:t>
            </w:r>
          </w:p>
        </w:tc>
        <w:tc>
          <w:tcPr>
            <w:tcW w:w="900" w:type="dxa"/>
            <w:vAlign w:val="center"/>
          </w:tcPr>
          <w:p w14:paraId="3AD69DC5" w14:textId="1F4C0699" w:rsidR="006D07FD" w:rsidRDefault="006D07FD" w:rsidP="00202B59">
            <w:pPr>
              <w:rPr>
                <w:sz w:val="16"/>
                <w:szCs w:val="16"/>
              </w:rPr>
            </w:pPr>
            <w:r>
              <w:rPr>
                <w:sz w:val="16"/>
                <w:szCs w:val="16"/>
              </w:rPr>
              <w:t>378</w:t>
            </w:r>
          </w:p>
        </w:tc>
        <w:tc>
          <w:tcPr>
            <w:tcW w:w="900" w:type="dxa"/>
          </w:tcPr>
          <w:p w14:paraId="566F5E4A" w14:textId="40C31062" w:rsidR="006D07FD" w:rsidRDefault="006D07FD" w:rsidP="00202B59">
            <w:pPr>
              <w:rPr>
                <w:sz w:val="16"/>
                <w:szCs w:val="16"/>
              </w:rPr>
            </w:pPr>
            <w:r>
              <w:rPr>
                <w:sz w:val="16"/>
                <w:szCs w:val="16"/>
              </w:rPr>
              <w:t>223</w:t>
            </w:r>
          </w:p>
        </w:tc>
        <w:tc>
          <w:tcPr>
            <w:tcW w:w="1260" w:type="dxa"/>
          </w:tcPr>
          <w:p w14:paraId="39D8774B" w14:textId="4045C0E0" w:rsidR="006D07FD" w:rsidRDefault="006D07FD" w:rsidP="00202B59">
            <w:pPr>
              <w:rPr>
                <w:sz w:val="16"/>
                <w:szCs w:val="16"/>
              </w:rPr>
            </w:pPr>
            <w:r>
              <w:rPr>
                <w:sz w:val="16"/>
                <w:szCs w:val="16"/>
              </w:rPr>
              <w:t>37.10%</w:t>
            </w:r>
          </w:p>
        </w:tc>
      </w:tr>
      <w:tr w:rsidR="006D07FD" w14:paraId="7A276FA3" w14:textId="77777777" w:rsidTr="006D07FD">
        <w:trPr>
          <w:trHeight w:val="306"/>
          <w:jc w:val="center"/>
        </w:trPr>
        <w:tc>
          <w:tcPr>
            <w:tcW w:w="1527" w:type="dxa"/>
          </w:tcPr>
          <w:p w14:paraId="12113B48" w14:textId="11AFCEE2" w:rsidR="006D07FD" w:rsidRDefault="006D07FD" w:rsidP="00202B59">
            <w:pPr>
              <w:pStyle w:val="tablecopy"/>
            </w:pPr>
            <w:r>
              <w:t>Local Round Scad</w:t>
            </w:r>
          </w:p>
        </w:tc>
        <w:tc>
          <w:tcPr>
            <w:tcW w:w="900" w:type="dxa"/>
            <w:vAlign w:val="center"/>
          </w:tcPr>
          <w:p w14:paraId="3A1BE5AA" w14:textId="00BA4940" w:rsidR="006D07FD" w:rsidRDefault="006D07FD" w:rsidP="00202B59">
            <w:pPr>
              <w:rPr>
                <w:sz w:val="16"/>
                <w:szCs w:val="16"/>
              </w:rPr>
            </w:pPr>
            <w:r>
              <w:rPr>
                <w:sz w:val="16"/>
                <w:szCs w:val="16"/>
              </w:rPr>
              <w:t>457</w:t>
            </w:r>
          </w:p>
        </w:tc>
        <w:tc>
          <w:tcPr>
            <w:tcW w:w="900" w:type="dxa"/>
          </w:tcPr>
          <w:p w14:paraId="5B46808D" w14:textId="046BC806" w:rsidR="006D07FD" w:rsidRDefault="006D07FD" w:rsidP="00202B59">
            <w:pPr>
              <w:rPr>
                <w:sz w:val="16"/>
                <w:szCs w:val="16"/>
              </w:rPr>
            </w:pPr>
            <w:r>
              <w:rPr>
                <w:sz w:val="16"/>
                <w:szCs w:val="16"/>
              </w:rPr>
              <w:t>144</w:t>
            </w:r>
          </w:p>
        </w:tc>
        <w:tc>
          <w:tcPr>
            <w:tcW w:w="1260" w:type="dxa"/>
          </w:tcPr>
          <w:p w14:paraId="386447E8" w14:textId="2718B9BA" w:rsidR="006D07FD" w:rsidRDefault="006D07FD" w:rsidP="00202B59">
            <w:pPr>
              <w:rPr>
                <w:sz w:val="16"/>
                <w:szCs w:val="16"/>
              </w:rPr>
            </w:pPr>
            <w:r>
              <w:rPr>
                <w:sz w:val="16"/>
                <w:szCs w:val="16"/>
              </w:rPr>
              <w:t>23.96%</w:t>
            </w:r>
          </w:p>
        </w:tc>
      </w:tr>
      <w:tr w:rsidR="006D07FD" w14:paraId="3AC017C2" w14:textId="77777777" w:rsidTr="006D07FD">
        <w:trPr>
          <w:trHeight w:val="306"/>
          <w:jc w:val="center"/>
        </w:trPr>
        <w:tc>
          <w:tcPr>
            <w:tcW w:w="1527" w:type="dxa"/>
          </w:tcPr>
          <w:p w14:paraId="4ADEA115" w14:textId="35B6C694" w:rsidR="006D07FD" w:rsidRDefault="006D07FD" w:rsidP="00202B59">
            <w:pPr>
              <w:pStyle w:val="tablecopy"/>
            </w:pPr>
            <w:r>
              <w:t>Import Round Scad</w:t>
            </w:r>
          </w:p>
        </w:tc>
        <w:tc>
          <w:tcPr>
            <w:tcW w:w="900" w:type="dxa"/>
            <w:vAlign w:val="center"/>
          </w:tcPr>
          <w:p w14:paraId="59D6738D" w14:textId="16326C22" w:rsidR="006D07FD" w:rsidRDefault="006D07FD" w:rsidP="00202B59">
            <w:pPr>
              <w:rPr>
                <w:sz w:val="16"/>
                <w:szCs w:val="16"/>
              </w:rPr>
            </w:pPr>
            <w:r>
              <w:rPr>
                <w:sz w:val="16"/>
                <w:szCs w:val="16"/>
              </w:rPr>
              <w:t>172</w:t>
            </w:r>
          </w:p>
        </w:tc>
        <w:tc>
          <w:tcPr>
            <w:tcW w:w="900" w:type="dxa"/>
          </w:tcPr>
          <w:p w14:paraId="131BC8A9" w14:textId="45204F96" w:rsidR="006D07FD" w:rsidRDefault="006D07FD" w:rsidP="00202B59">
            <w:pPr>
              <w:rPr>
                <w:sz w:val="16"/>
                <w:szCs w:val="16"/>
              </w:rPr>
            </w:pPr>
            <w:r>
              <w:rPr>
                <w:sz w:val="16"/>
                <w:szCs w:val="16"/>
              </w:rPr>
              <w:t>429</w:t>
            </w:r>
          </w:p>
        </w:tc>
        <w:tc>
          <w:tcPr>
            <w:tcW w:w="1260" w:type="dxa"/>
          </w:tcPr>
          <w:p w14:paraId="570A21D0" w14:textId="2C7A6673" w:rsidR="006D07FD" w:rsidRDefault="006D07FD" w:rsidP="00202B59">
            <w:pPr>
              <w:rPr>
                <w:sz w:val="16"/>
                <w:szCs w:val="16"/>
              </w:rPr>
            </w:pPr>
            <w:r>
              <w:rPr>
                <w:sz w:val="16"/>
                <w:szCs w:val="16"/>
              </w:rPr>
              <w:t>71.38%</w:t>
            </w:r>
          </w:p>
        </w:tc>
      </w:tr>
    </w:tbl>
    <w:p w14:paraId="2915B657" w14:textId="37F0FFFD" w:rsidR="00501580" w:rsidRDefault="00501580" w:rsidP="002665FE">
      <w:pPr>
        <w:pStyle w:val="BodyText"/>
      </w:pPr>
    </w:p>
    <w:p w14:paraId="549DB719" w14:textId="7E9BF3A1" w:rsidR="00F020F4" w:rsidRPr="00E423BC" w:rsidRDefault="00E423BC" w:rsidP="002665FE">
      <w:pPr>
        <w:pStyle w:val="BodyText"/>
        <w:rPr>
          <w:lang w:val="en-US"/>
        </w:rPr>
      </w:pPr>
      <w:r w:rsidRPr="00E423BC">
        <w:t xml:space="preserve">According to </w:t>
      </w:r>
      <w:r>
        <w:rPr>
          <w:lang w:val="en-US"/>
        </w:rPr>
        <w:t>the Labor Force Statistics (2001)</w:t>
      </w:r>
      <w:r w:rsidRPr="00E423BC">
        <w:t>, imputation is the substitution of missing values</w:t>
      </w:r>
      <w:r>
        <w:rPr>
          <w:lang w:val="en-US"/>
        </w:rPr>
        <w:t xml:space="preserve"> </w:t>
      </w:r>
      <w:sdt>
        <w:sdtPr>
          <w:rPr>
            <w:lang w:val="en-US"/>
          </w:rPr>
          <w:id w:val="2041620627"/>
          <w:citation/>
        </w:sdtPr>
        <w:sdtEndPr/>
        <w:sdtContent>
          <w:r>
            <w:rPr>
              <w:lang w:val="en-US"/>
            </w:rPr>
            <w:fldChar w:fldCharType="begin"/>
          </w:r>
          <w:r>
            <w:rPr>
              <w:lang w:val="en-US"/>
            </w:rPr>
            <w:instrText xml:space="preserve"> CITATION Lab01 \l 1033 </w:instrText>
          </w:r>
          <w:r>
            <w:rPr>
              <w:lang w:val="en-US"/>
            </w:rPr>
            <w:fldChar w:fldCharType="separate"/>
          </w:r>
          <w:r w:rsidRPr="00E423BC">
            <w:rPr>
              <w:noProof/>
              <w:lang w:val="en-US"/>
            </w:rPr>
            <w:t>[18]</w:t>
          </w:r>
          <w:r>
            <w:rPr>
              <w:lang w:val="en-US"/>
            </w:rPr>
            <w:fldChar w:fldCharType="end"/>
          </w:r>
        </w:sdtContent>
      </w:sdt>
      <w:r w:rsidRPr="00E423BC">
        <w:t xml:space="preserve">. Statistical approaches are already being used to handle imputation of missing data </w:t>
      </w:r>
      <w:sdt>
        <w:sdtPr>
          <w:id w:val="-145354918"/>
          <w:citation/>
        </w:sdtPr>
        <w:sdtEndPr/>
        <w:sdtContent>
          <w:r>
            <w:fldChar w:fldCharType="begin"/>
          </w:r>
          <w:r>
            <w:rPr>
              <w:lang w:val="en-US"/>
            </w:rPr>
            <w:instrText xml:space="preserve"> CITATION Sch02 \l 1033 </w:instrText>
          </w:r>
          <w:r>
            <w:fldChar w:fldCharType="separate"/>
          </w:r>
          <w:r w:rsidRPr="00E423BC">
            <w:rPr>
              <w:noProof/>
              <w:lang w:val="en-US"/>
            </w:rPr>
            <w:t>[19]</w:t>
          </w:r>
          <w:r>
            <w:fldChar w:fldCharType="end"/>
          </w:r>
        </w:sdtContent>
      </w:sdt>
      <w:r>
        <w:rPr>
          <w:lang w:val="en-US"/>
        </w:rPr>
        <w:t xml:space="preserve">. </w:t>
      </w:r>
      <w:r w:rsidRPr="00E423BC">
        <w:t xml:space="preserve">Interpolation is one of the methods for imputing data that assumes a relationship between missing  and non-missing values. To keep a consistent frequency, the data was imputed using PANDAS time based interpolation </w:t>
      </w:r>
      <w:r w:rsidRPr="00E423BC">
        <w:lastRenderedPageBreak/>
        <w:t xml:space="preserve">which is supposed to work on daily and higher resolution data </w:t>
      </w:r>
      <w:sdt>
        <w:sdtPr>
          <w:id w:val="449981530"/>
          <w:citation/>
        </w:sdtPr>
        <w:sdtEndPr/>
        <w:sdtContent>
          <w:r>
            <w:fldChar w:fldCharType="begin"/>
          </w:r>
          <w:r>
            <w:rPr>
              <w:lang w:val="en-US"/>
            </w:rPr>
            <w:instrText xml:space="preserve"> CITATION the22 \l 1033 </w:instrText>
          </w:r>
          <w:r>
            <w:fldChar w:fldCharType="separate"/>
          </w:r>
          <w:r w:rsidRPr="00E423BC">
            <w:rPr>
              <w:noProof/>
              <w:lang w:val="en-US"/>
            </w:rPr>
            <w:t>[20]</w:t>
          </w:r>
          <w:r>
            <w:fldChar w:fldCharType="end"/>
          </w:r>
        </w:sdtContent>
      </w:sdt>
      <w:r>
        <w:rPr>
          <w:lang w:val="en-US"/>
        </w:rPr>
        <w:t>.</w:t>
      </w:r>
    </w:p>
    <w:p w14:paraId="77081FB0" w14:textId="7FD4A1A2" w:rsidR="002665FE" w:rsidRDefault="00D7659E" w:rsidP="00D7659E">
      <w:pPr>
        <w:pStyle w:val="Heading2"/>
        <w:numPr>
          <w:ilvl w:val="0"/>
          <w:numId w:val="0"/>
        </w:numPr>
      </w:pPr>
      <w:r>
        <w:t>Forecasting Methodlogy</w:t>
      </w:r>
    </w:p>
    <w:p w14:paraId="31DE480D" w14:textId="649DEDE1" w:rsidR="001B3A4C" w:rsidRDefault="009159B2" w:rsidP="002665FE">
      <w:pPr>
        <w:pStyle w:val="BodyText"/>
      </w:pPr>
      <w:r>
        <w:t xml:space="preserve">The commodity prices are gathered as time series data. The study uses the Box-Jenkins model that is a systematic method of using integrated autoregressive and moving average terms to </w:t>
      </w:r>
      <w:r w:rsidR="005752F5">
        <w:rPr>
          <w:lang w:val="en-US"/>
        </w:rPr>
        <w:t>identify</w:t>
      </w:r>
      <w:r>
        <w:t xml:space="preserve">, fit, and forecast time series data </w:t>
      </w:r>
      <w:sdt>
        <w:sdtPr>
          <w:id w:val="354080694"/>
          <w:citation/>
        </w:sdtPr>
        <w:sdtEndPr/>
        <w:sdtContent>
          <w:r>
            <w:fldChar w:fldCharType="begin"/>
          </w:r>
          <w:r>
            <w:rPr>
              <w:lang w:val="en-US"/>
            </w:rPr>
            <w:instrText xml:space="preserve"> CITATION Box15 \l 1033 </w:instrText>
          </w:r>
          <w:r>
            <w:fldChar w:fldCharType="separate"/>
          </w:r>
          <w:r w:rsidRPr="009159B2">
            <w:rPr>
              <w:noProof/>
              <w:lang w:val="en-US"/>
            </w:rPr>
            <w:t>[21]</w:t>
          </w:r>
          <w:r>
            <w:fldChar w:fldCharType="end"/>
          </w:r>
        </w:sdtContent>
      </w:sdt>
      <w:r>
        <w:rPr>
          <w:lang w:val="en-US"/>
        </w:rPr>
        <w:t xml:space="preserve">. </w:t>
      </w:r>
      <w:r>
        <w:t xml:space="preserve">The model is a combination of three process namely an autoregressive order of </w:t>
      </w:r>
      <w:r w:rsidRPr="00571828">
        <w:rPr>
          <w:b/>
          <w:bCs/>
        </w:rPr>
        <w:t>p</w:t>
      </w:r>
      <w:r>
        <w:t xml:space="preserve"> (AR), an order of differencing </w:t>
      </w:r>
      <w:r w:rsidRPr="00571828">
        <w:rPr>
          <w:b/>
          <w:bCs/>
        </w:rPr>
        <w:t>d</w:t>
      </w:r>
      <w:r>
        <w:t xml:space="preserve"> (I) to make the time series stationary, and an order of moving average terms </w:t>
      </w:r>
      <w:r w:rsidRPr="00571828">
        <w:rPr>
          <w:b/>
          <w:bCs/>
        </w:rPr>
        <w:t>q</w:t>
      </w:r>
      <w:r>
        <w:t xml:space="preserve"> (MA)--identifying as ARIMA(</w:t>
      </w:r>
      <w:proofErr w:type="spellStart"/>
      <w:r w:rsidRPr="00571828">
        <w:rPr>
          <w:b/>
          <w:bCs/>
        </w:rPr>
        <w:t>p,d,q</w:t>
      </w:r>
      <w:proofErr w:type="spellEnd"/>
      <w:r>
        <w:t>). The model is defined as</w:t>
      </w:r>
    </w:p>
    <w:p w14:paraId="1BCC9878" w14:textId="7F0EEF7B" w:rsidR="0090609E" w:rsidRPr="00B41E00" w:rsidRDefault="008A04C7" w:rsidP="00D45928">
      <w:pPr>
        <w:pStyle w:val="BodyText"/>
        <w:tabs>
          <w:tab w:val="right" w:pos="2880"/>
        </w:tabs>
        <w:jc w:val="cente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-q</m:t>
          </m:r>
        </m:oMath>
      </m:oMathPara>
    </w:p>
    <w:p w14:paraId="6F64290C" w14:textId="3BD8A386" w:rsidR="001B3A4C" w:rsidRDefault="009900B3" w:rsidP="001B3A4C">
      <w:pPr>
        <w:jc w:val="both"/>
      </w:pPr>
      <w:r>
        <w:t>w</w:t>
      </w:r>
      <w:r w:rsidR="001B3A4C">
        <w:t xml:space="preserve">here </w:t>
      </w:r>
      <m:oMath>
        <m:r>
          <w:rPr>
            <w:rFonts w:ascii="Cambria Math" w:hAnsi="Cambria Math"/>
          </w:rPr>
          <m:t>ϕ</m:t>
        </m:r>
      </m:oMath>
      <w:r w:rsidR="00C803ED">
        <w:t xml:space="preserve"> </w:t>
      </w:r>
      <w:r w:rsidR="001B3A4C">
        <w:t xml:space="preserve">is the autoregressive parameters estimated, </w:t>
      </w:r>
      <m:oMath>
        <m:r>
          <w:rPr>
            <w:rFonts w:ascii="Cambria Math" w:hAnsi="Cambria Math"/>
          </w:rPr>
          <m:t>θ</m:t>
        </m:r>
      </m:oMath>
      <w:r w:rsidR="00F80018">
        <w:t xml:space="preserve"> </w:t>
      </w:r>
      <w:r w:rsidR="001B3A4C">
        <w:t xml:space="preserve">are the moving average parameters, </w:t>
      </w:r>
      <m:oMath>
        <m:r>
          <w:rPr>
            <w:rFonts w:ascii="Cambria Math" w:hAnsi="Cambria Math"/>
          </w:rPr>
          <m:t>α's</m:t>
        </m:r>
      </m:oMath>
      <w:r w:rsidR="001B3A4C">
        <w:t xml:space="preserve"> are the random errors or residuals in the </w:t>
      </w:r>
      <m:oMath>
        <m:r>
          <w:rPr>
            <w:rFonts w:ascii="Cambria Math" w:hAnsi="Cambria Math"/>
          </w:rPr>
          <m:t>X's</m:t>
        </m:r>
      </m:oMath>
      <w:r w:rsidR="001B3A4C">
        <w:t xml:space="preserve"> as the original series. The constant terms are omitted depending on the developed model and the errors are generally assumed as following a normal distribution. The choice of determining the appropriate </w:t>
      </w:r>
      <w:r w:rsidR="001B3A4C" w:rsidRPr="00AB4AF1">
        <w:rPr>
          <w:b/>
          <w:bCs/>
        </w:rPr>
        <w:t xml:space="preserve">p, d, q </w:t>
      </w:r>
      <w:r w:rsidR="001B3A4C">
        <w:t>and terms are the major challenges of using this model but it can be resolved by performing a series of steps that follows the Box-Jenkins methodology.</w:t>
      </w:r>
    </w:p>
    <w:p w14:paraId="3ADC6E70" w14:textId="44C99826" w:rsidR="004244FD" w:rsidRPr="005B520E" w:rsidRDefault="004244FD" w:rsidP="001B3A4C">
      <w:pPr>
        <w:jc w:val="both"/>
      </w:pPr>
    </w:p>
    <w:p w14:paraId="61FB1AD4" w14:textId="372F4B01" w:rsidR="002665FE" w:rsidRDefault="004244FD" w:rsidP="004244FD">
      <w:pPr>
        <w:pStyle w:val="Heading2"/>
        <w:numPr>
          <w:ilvl w:val="0"/>
          <w:numId w:val="0"/>
        </w:numPr>
      </w:pPr>
      <w:r>
        <w:t>Identifying the model</w:t>
      </w:r>
    </w:p>
    <w:p w14:paraId="6F16A2F4" w14:textId="5BA8A552" w:rsidR="000C5A64" w:rsidRPr="000962FA" w:rsidRDefault="000962FA" w:rsidP="00DE697A">
      <w:pPr>
        <w:pStyle w:val="BodyText"/>
        <w:rPr>
          <w:lang w:val="en-US"/>
        </w:rPr>
      </w:pPr>
      <w:r w:rsidRPr="000962FA">
        <w:t xml:space="preserve">The Box-Jenkins </w:t>
      </w:r>
      <w:r w:rsidR="00E76C99">
        <w:rPr>
          <w:lang w:val="en-US"/>
        </w:rPr>
        <w:t>methodology</w:t>
      </w:r>
      <w:r w:rsidRPr="000962FA">
        <w:t xml:space="preserve"> dictate that in developing an ARIMA model, the time series must be </w:t>
      </w:r>
      <w:r w:rsidR="00D93953">
        <w:rPr>
          <w:lang w:val="en-US"/>
        </w:rPr>
        <w:t>stationary</w:t>
      </w:r>
      <w:r w:rsidRPr="000962FA">
        <w:t xml:space="preserve">, have the autocorrelation and partial autocorrelation analyzed for AR and MA estimation, fitted and checked for residual diagnostics, and further evaluated for additional AR and MA terms before reconstructing the model </w:t>
      </w:r>
      <w:sdt>
        <w:sdtPr>
          <w:id w:val="-847097431"/>
          <w:citation/>
        </w:sdtPr>
        <w:sdtEndPr/>
        <w:sdtContent>
          <w:r>
            <w:fldChar w:fldCharType="begin"/>
          </w:r>
          <w:r>
            <w:rPr>
              <w:lang w:val="en-US"/>
            </w:rPr>
            <w:instrText xml:space="preserve"> CITATION Nau20 \l 1033 </w:instrText>
          </w:r>
          <w:r>
            <w:fldChar w:fldCharType="separate"/>
          </w:r>
          <w:r w:rsidRPr="000962FA">
            <w:rPr>
              <w:noProof/>
              <w:lang w:val="en-US"/>
            </w:rPr>
            <w:t>[22]</w:t>
          </w:r>
          <w:r>
            <w:fldChar w:fldCharType="end"/>
          </w:r>
        </w:sdtContent>
      </w:sdt>
      <w:r>
        <w:rPr>
          <w:lang w:val="en-US"/>
        </w:rPr>
        <w:t>.</w:t>
      </w:r>
    </w:p>
    <w:p w14:paraId="032BAA7B" w14:textId="36958CAD" w:rsidR="002665FE" w:rsidRPr="005B520E" w:rsidRDefault="00E6428D" w:rsidP="002665FE">
      <w:pPr>
        <w:pStyle w:val="Heading2"/>
      </w:pPr>
      <w:r>
        <w:drawing>
          <wp:anchor distT="0" distB="0" distL="114300" distR="114300" simplePos="0" relativeHeight="251660288" behindDoc="0" locked="0" layoutInCell="1" allowOverlap="1" wp14:anchorId="6F6439C0" wp14:editId="0CEFFE75">
            <wp:simplePos x="0" y="0"/>
            <wp:positionH relativeFrom="column">
              <wp:posOffset>4074795</wp:posOffset>
            </wp:positionH>
            <wp:positionV relativeFrom="paragraph">
              <wp:posOffset>163830</wp:posOffset>
            </wp:positionV>
            <wp:extent cx="1565275" cy="46609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65275" cy="466090"/>
                    </a:xfrm>
                    <a:prstGeom prst="rect">
                      <a:avLst/>
                    </a:prstGeom>
                  </pic:spPr>
                </pic:pic>
              </a:graphicData>
            </a:graphic>
            <wp14:sizeRelH relativeFrom="margin">
              <wp14:pctWidth>0</wp14:pctWidth>
            </wp14:sizeRelH>
            <wp14:sizeRelV relativeFrom="margin">
              <wp14:pctHeight>0</wp14:pctHeight>
            </wp14:sizeRelV>
          </wp:anchor>
        </w:drawing>
      </w:r>
      <w:r w:rsidR="00F12A5D">
        <w:t>Stationarity and Differencing</w:t>
      </w:r>
    </w:p>
    <w:p w14:paraId="17E3D687" w14:textId="207E7049" w:rsidR="00FD58CA" w:rsidRDefault="00FD58CA" w:rsidP="002665FE">
      <w:pPr>
        <w:pStyle w:val="BodyText"/>
      </w:pPr>
      <w:r w:rsidRPr="00FD58CA">
        <w:t xml:space="preserve">For an ARIMA model, the input time series needs to be stationary. A stationary time series is defined as having constant mean, variance, and autocorrelation over time. In other words, the properties of the time series should not depend on time </w:t>
      </w:r>
      <w:sdt>
        <w:sdtPr>
          <w:id w:val="-1811079156"/>
          <w:citation/>
        </w:sdtPr>
        <w:sdtEndPr/>
        <w:sdtContent>
          <w:r>
            <w:fldChar w:fldCharType="begin"/>
          </w:r>
          <w:r>
            <w:rPr>
              <w:lang w:val="en-US"/>
            </w:rPr>
            <w:instrText xml:space="preserve"> CITATION Hyn21 \l 1033 </w:instrText>
          </w:r>
          <w:r>
            <w:fldChar w:fldCharType="separate"/>
          </w:r>
          <w:r w:rsidRPr="00FD58CA">
            <w:rPr>
              <w:noProof/>
              <w:lang w:val="en-US"/>
            </w:rPr>
            <w:t>[23]</w:t>
          </w:r>
          <w:r>
            <w:fldChar w:fldCharType="end"/>
          </w:r>
        </w:sdtContent>
      </w:sdt>
      <w:r>
        <w:rPr>
          <w:lang w:val="en-US"/>
        </w:rPr>
        <w:t xml:space="preserve">. </w:t>
      </w:r>
      <w:r w:rsidRPr="00FD58CA">
        <w:t xml:space="preserve">There are a number of ways to determine if a series is stationary. A non-stationary time series would have trends, seasonality, and predictable patterns. There are also unit root tests that can determine if a time series is stationary regardless of presence of trends. For this study, the researcher will utilize the Augmented Dicky-Fuller (ADF) test which is used for testing stationarity and serial autocorrelation. The null hypothesis for this test assumes that a time series has a unit root. The ADF test is similar to the Dicky-Fuller test but adds lagged differences to the models. It is defined as </w:t>
      </w:r>
    </w:p>
    <w:p w14:paraId="527E9B62" w14:textId="77777777" w:rsidR="009900B3" w:rsidRDefault="007D4A97" w:rsidP="007D4A97">
      <w:pPr>
        <w:pStyle w:val="BodyText"/>
      </w:pPr>
      <m:oMathPara>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α+ βt + γ</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-1 + </m:t>
          </m:r>
          <m:sSub>
            <m:sSubPr>
              <m:ctrlPr>
                <w:rPr>
                  <w:rFonts w:ascii="Cambria Math" w:hAnsi="Cambria Math"/>
                  <w:i/>
                </w:rPr>
              </m:ctrlPr>
            </m:sSubPr>
            <m:e>
              <m:r>
                <w:rPr>
                  <w:rFonts w:ascii="Cambria Math" w:hAnsi="Cambria Math"/>
                </w:rPr>
                <m:t>δ</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-1 + ⋯+ </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 xml:space="preserve">-1 </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-p+1 +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m:oMathPara>
    </w:p>
    <w:p w14:paraId="3BDC33B6" w14:textId="5A828B64" w:rsidR="007D4A97" w:rsidRPr="009900B3" w:rsidRDefault="007D4A97" w:rsidP="009900B3">
      <w:pPr>
        <w:jc w:val="both"/>
      </w:pPr>
      <w:r w:rsidRPr="009900B3">
        <w:t xml:space="preserve">where </w:t>
      </w:r>
      <m:oMath>
        <m:r>
          <m:rPr>
            <m:sty m:val="p"/>
          </m:rPr>
          <w:rPr>
            <w:rFonts w:ascii="Cambria Math" w:hAnsi="Cambria Math"/>
          </w:rPr>
          <m:t xml:space="preserve">α </m:t>
        </m:r>
      </m:oMath>
      <w:r w:rsidRPr="009900B3">
        <w:t xml:space="preserve">is a constant, </w:t>
      </w:r>
      <m:oMath>
        <m:r>
          <w:rPr>
            <w:rFonts w:ascii="Cambria Math" w:hAnsi="Cambria Math"/>
          </w:rPr>
          <m:t>β</m:t>
        </m:r>
      </m:oMath>
      <w:r w:rsidRPr="009900B3">
        <w:t xml:space="preserve"> the coefficient on a time trend and p is the lag order of the autoregressive process. After determining if the time series is stationary or not, the order of differencing d is the number of times it is needed to be differenced until it is stationary. The necessary level of differencing is also determined by looking at the autocorrelation plots. If the series has a high number of lags that are positively correlated, the series would need a higher order of differencing. If the lag-1 autocorrelation of the time </w:t>
      </w:r>
      <w:r w:rsidRPr="009900B3">
        <w:t xml:space="preserve">series is zero or negative or that the autocorrelations are small and </w:t>
      </w:r>
      <w:proofErr w:type="spellStart"/>
      <w:r w:rsidRPr="009900B3">
        <w:t>patternless</w:t>
      </w:r>
      <w:proofErr w:type="spellEnd"/>
      <w:r w:rsidRPr="009900B3">
        <w:t>, then it doesn’t need a higher order of differencing. For this study, it is necessary to examine the</w:t>
      </w:r>
      <w:r w:rsidRPr="007D4A97">
        <w:t xml:space="preserve"> autocorrelation plots of the original and differenced series and conduct ADF in analyzing stationarity to determine the order of differencing </w:t>
      </w:r>
      <w:r w:rsidRPr="00210343">
        <w:rPr>
          <w:b/>
          <w:bCs/>
        </w:rPr>
        <w:t>d</w:t>
      </w:r>
      <w:r>
        <w:t>.</w:t>
      </w:r>
    </w:p>
    <w:p w14:paraId="56659162" w14:textId="4275F857" w:rsidR="00276877" w:rsidRDefault="00276877" w:rsidP="00276877">
      <w:pPr>
        <w:pStyle w:val="Heading2"/>
        <w:numPr>
          <w:ilvl w:val="0"/>
          <w:numId w:val="0"/>
        </w:numPr>
      </w:pPr>
      <w:r>
        <w:t>Identifying AR and MA terms</w:t>
      </w:r>
    </w:p>
    <w:p w14:paraId="42C4EA23" w14:textId="5B24C897" w:rsidR="00276877" w:rsidRDefault="00276877" w:rsidP="00276877">
      <w:pPr>
        <w:pStyle w:val="BodyText"/>
      </w:pPr>
      <w:r w:rsidRPr="00276877">
        <w:t xml:space="preserve">After differencing the time series, the next step is determining the </w:t>
      </w:r>
      <w:proofErr w:type="spellStart"/>
      <w:r w:rsidRPr="00276877">
        <w:t>the</w:t>
      </w:r>
      <w:proofErr w:type="spellEnd"/>
      <w:r w:rsidRPr="00276877">
        <w:t xml:space="preserve"> order of (AR) terms </w:t>
      </w:r>
      <w:r w:rsidRPr="00276877">
        <w:rPr>
          <w:b/>
          <w:bCs/>
        </w:rPr>
        <w:t>p</w:t>
      </w:r>
      <w:r w:rsidRPr="00276877">
        <w:t xml:space="preserve"> and the order of MA terms </w:t>
      </w:r>
      <w:r w:rsidRPr="00276877">
        <w:rPr>
          <w:b/>
          <w:bCs/>
        </w:rPr>
        <w:t>q</w:t>
      </w:r>
      <w:r w:rsidRPr="00276877">
        <w:t xml:space="preserve"> that are needed to correct any autocorrelation that remains. By looking at the autocorrelation function (ACF) and partial autocorrelation function (PACF) plots for the differenced series, the possible ARIMA model can be found </w:t>
      </w:r>
      <w:sdt>
        <w:sdtPr>
          <w:id w:val="37951386"/>
          <w:citation/>
        </w:sdtPr>
        <w:sdtEndPr/>
        <w:sdtContent>
          <w:r>
            <w:fldChar w:fldCharType="begin"/>
          </w:r>
          <w:r>
            <w:rPr>
              <w:lang w:val="en-US"/>
            </w:rPr>
            <w:instrText xml:space="preserve"> CITATION End14 \l 1033 </w:instrText>
          </w:r>
          <w:r>
            <w:fldChar w:fldCharType="separate"/>
          </w:r>
          <w:r w:rsidRPr="00276877">
            <w:rPr>
              <w:noProof/>
              <w:lang w:val="en-US"/>
            </w:rPr>
            <w:t>[24]</w:t>
          </w:r>
          <w:r>
            <w:fldChar w:fldCharType="end"/>
          </w:r>
        </w:sdtContent>
      </w:sdt>
      <w:r>
        <w:rPr>
          <w:lang w:val="en-US"/>
        </w:rPr>
        <w:t xml:space="preserve">. </w:t>
      </w:r>
      <w:r w:rsidRPr="00276877">
        <w:t>If the PACF displays a sharp cutoff and/or the lag-1 autocorrelation is positive, it needs one or more AR terms which is indicated in the lag beyond where it cuts off. If the ACF displays a sharp cutoff and/or the lag-1 autocorrelation is negative, it needs one or more MA terms which is indicated in the lag beyond where it cuts off.</w:t>
      </w:r>
    </w:p>
    <w:p w14:paraId="08037C38" w14:textId="53D862E6" w:rsidR="00091B30" w:rsidRDefault="009900B3" w:rsidP="00091B30">
      <w:pPr>
        <w:pStyle w:val="Heading2"/>
        <w:numPr>
          <w:ilvl w:val="0"/>
          <w:numId w:val="0"/>
        </w:numPr>
      </w:pPr>
      <w:r>
        <w:t>Diagnosing residuals</w:t>
      </w:r>
    </w:p>
    <w:p w14:paraId="2D302C49" w14:textId="7AF5B93A" w:rsidR="009B2497" w:rsidRDefault="00214681" w:rsidP="00276877">
      <w:pPr>
        <w:pStyle w:val="BodyText"/>
      </w:pPr>
      <w:bookmarkStart w:id="2" w:name="_Hlk95173636"/>
      <w:r>
        <w:t xml:space="preserve">After fitting the model, examining the residuals for goodness of fit is one of the ways to tell if an ARIMA model is appropriate. The residuals in a time series model are what is left after fitting an ARIMA model. If there are correlations between residuals, then there </w:t>
      </w:r>
      <w:bookmarkEnd w:id="2"/>
      <w:r>
        <w:t xml:space="preserve">is information that can be used for computing forecasts. If the residuals have a mean other than zero, then there is a possibility that the forecasts are biased. The residuals can also be analyzed using their histograms. Residuals with constant variance and normal distribution can make calculation of predictions easier. </w:t>
      </w:r>
      <w:sdt>
        <w:sdtPr>
          <w:id w:val="-47383943"/>
          <w:citation/>
        </w:sdtPr>
        <w:sdtEndPr/>
        <w:sdtContent>
          <w:r>
            <w:fldChar w:fldCharType="begin"/>
          </w:r>
          <w:r>
            <w:rPr>
              <w:lang w:val="en-US"/>
            </w:rPr>
            <w:instrText xml:space="preserve"> CITATION Hyn21 \l 1033 </w:instrText>
          </w:r>
          <w:r>
            <w:fldChar w:fldCharType="separate"/>
          </w:r>
          <w:r w:rsidRPr="00214681">
            <w:rPr>
              <w:noProof/>
              <w:lang w:val="en-US"/>
            </w:rPr>
            <w:t>[23]</w:t>
          </w:r>
          <w:r>
            <w:fldChar w:fldCharType="end"/>
          </w:r>
        </w:sdtContent>
      </w:sdt>
      <w:r>
        <w:rPr>
          <w:lang w:val="en-US"/>
        </w:rPr>
        <w:t xml:space="preserve">. </w:t>
      </w:r>
      <w:r>
        <w:t xml:space="preserve">This study will also utilize </w:t>
      </w:r>
      <w:proofErr w:type="spellStart"/>
      <w:r>
        <w:t>Ljung</w:t>
      </w:r>
      <w:proofErr w:type="spellEnd"/>
      <w:r>
        <w:t xml:space="preserve">-Box test which is a test for a lack of fit. The null hypothesis of the </w:t>
      </w:r>
      <w:proofErr w:type="spellStart"/>
      <w:r>
        <w:t>Ljung</w:t>
      </w:r>
      <w:proofErr w:type="spellEnd"/>
      <w:r>
        <w:t>-Box test indicates that model does not show a lack of fit. It is defined as</w:t>
      </w:r>
    </w:p>
    <w:p w14:paraId="49A2AC33" w14:textId="2242937B" w:rsidR="004866F4" w:rsidRDefault="004866F4" w:rsidP="00276877">
      <w:pPr>
        <w:pStyle w:val="BodyText"/>
      </w:pPr>
    </w:p>
    <w:p w14:paraId="08914C63" w14:textId="77777777" w:rsidR="00E6428D" w:rsidRDefault="00E6428D" w:rsidP="004866F4">
      <w:pPr>
        <w:jc w:val="both"/>
      </w:pPr>
    </w:p>
    <w:p w14:paraId="4037741B" w14:textId="77777777" w:rsidR="00E6428D" w:rsidRDefault="00E6428D" w:rsidP="004866F4">
      <w:pPr>
        <w:jc w:val="both"/>
      </w:pPr>
    </w:p>
    <w:p w14:paraId="3A01394E" w14:textId="492C3699" w:rsidR="004866F4" w:rsidRDefault="004866F4" w:rsidP="004866F4">
      <w:pPr>
        <w:jc w:val="both"/>
      </w:pPr>
      <w:r w:rsidRPr="004866F4">
        <w:t xml:space="preserve">where n is the sample size, </w:t>
      </w:r>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k</m:t>
            </m:r>
          </m:sub>
        </m:sSub>
        <m:r>
          <w:rPr>
            <w:rFonts w:ascii="Cambria Math" w:hAnsi="Cambria Math"/>
          </w:rPr>
          <m:t xml:space="preserve"> </m:t>
        </m:r>
      </m:oMath>
      <w:r w:rsidRPr="004866F4">
        <w:t>is the sample autocorrelation at lag k, and h is the number of lags being tested. These are all tests and indicators that can be used to further determine if the model should be reconstructed.</w:t>
      </w:r>
    </w:p>
    <w:p w14:paraId="666CFE61" w14:textId="7E67B344" w:rsidR="001A46C1" w:rsidRDefault="001A46C1" w:rsidP="004866F4">
      <w:pPr>
        <w:jc w:val="both"/>
      </w:pPr>
    </w:p>
    <w:p w14:paraId="56578462" w14:textId="2FF34E8E" w:rsidR="001A46C1" w:rsidRDefault="001A46C1" w:rsidP="001A46C1">
      <w:pPr>
        <w:pStyle w:val="Heading2"/>
        <w:numPr>
          <w:ilvl w:val="0"/>
          <w:numId w:val="0"/>
        </w:numPr>
      </w:pPr>
      <w:r>
        <w:t>Evaluating the model</w:t>
      </w:r>
    </w:p>
    <w:p w14:paraId="6B552459" w14:textId="0A894F45" w:rsidR="001A46C1" w:rsidRDefault="006C20CE" w:rsidP="002E1620">
      <w:pPr>
        <w:pStyle w:val="BodyText"/>
      </w:pPr>
      <w:r>
        <w:rPr>
          <w:noProof/>
        </w:rPr>
        <w:drawing>
          <wp:anchor distT="0" distB="0" distL="114300" distR="114300" simplePos="0" relativeHeight="251661312" behindDoc="1" locked="0" layoutInCell="1" allowOverlap="1" wp14:anchorId="1C9096B0" wp14:editId="7A4343E4">
            <wp:simplePos x="0" y="0"/>
            <wp:positionH relativeFrom="column">
              <wp:posOffset>873125</wp:posOffset>
            </wp:positionH>
            <wp:positionV relativeFrom="paragraph">
              <wp:posOffset>603892</wp:posOffset>
            </wp:positionV>
            <wp:extent cx="1534795" cy="530860"/>
            <wp:effectExtent l="0" t="0" r="825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4795" cy="530860"/>
                    </a:xfrm>
                    <a:prstGeom prst="rect">
                      <a:avLst/>
                    </a:prstGeom>
                    <a:noFill/>
                    <a:ln>
                      <a:noFill/>
                    </a:ln>
                  </pic:spPr>
                </pic:pic>
              </a:graphicData>
            </a:graphic>
          </wp:anchor>
        </w:drawing>
      </w:r>
      <w:r w:rsidR="001A46C1" w:rsidRPr="001A46C1">
        <w:t xml:space="preserve">After deciding best model chosen for each time series, this study will use root mean square errors (RMSE) to evaluate the accuracy of the model. The RMSE is a frequently used model for measuring the values predicted by a model and the values observed </w:t>
      </w:r>
      <w:sdt>
        <w:sdtPr>
          <w:id w:val="1913572501"/>
          <w:citation/>
        </w:sdtPr>
        <w:sdtEndPr/>
        <w:sdtContent>
          <w:r w:rsidR="001A46C1">
            <w:fldChar w:fldCharType="begin"/>
          </w:r>
          <w:r w:rsidR="001A46C1">
            <w:instrText xml:space="preserve"> CITATION Hyn21 \l 1033 </w:instrText>
          </w:r>
          <w:r w:rsidR="001A46C1">
            <w:fldChar w:fldCharType="separate"/>
          </w:r>
          <w:r w:rsidR="001A46C1" w:rsidRPr="001A46C1">
            <w:rPr>
              <w:noProof/>
            </w:rPr>
            <w:t>[23]</w:t>
          </w:r>
          <w:r w:rsidR="001A46C1">
            <w:fldChar w:fldCharType="end"/>
          </w:r>
        </w:sdtContent>
      </w:sdt>
      <w:r w:rsidR="001A46C1" w:rsidRPr="001A46C1">
        <w:t>. It is defined as</w:t>
      </w:r>
    </w:p>
    <w:p w14:paraId="64252F12" w14:textId="4C91A58F" w:rsidR="001A46C1" w:rsidRDefault="001A46C1" w:rsidP="004866F4">
      <w:pPr>
        <w:jc w:val="both"/>
      </w:pPr>
    </w:p>
    <w:p w14:paraId="63E20D0B" w14:textId="10A01E23" w:rsidR="002E1620" w:rsidRDefault="002E1620" w:rsidP="004866F4">
      <w:pPr>
        <w:jc w:val="both"/>
      </w:pPr>
    </w:p>
    <w:p w14:paraId="719B93FF" w14:textId="73358D04" w:rsidR="004866F4" w:rsidRDefault="004866F4" w:rsidP="004866F4">
      <w:pPr>
        <w:jc w:val="both"/>
      </w:pPr>
    </w:p>
    <w:p w14:paraId="686FC94A" w14:textId="55854D8B" w:rsidR="002E1620" w:rsidRDefault="00A97332" w:rsidP="004866F4">
      <w:pPr>
        <w:jc w:val="both"/>
      </w:pPr>
      <w:r>
        <w:t>w</w:t>
      </w:r>
      <w:r w:rsidRPr="00A97332">
        <w:t>here f is defined as the model predicted values and o is defined as the observed values.</w:t>
      </w:r>
    </w:p>
    <w:p w14:paraId="75FCAE00" w14:textId="5E633DBD" w:rsidR="006930CD" w:rsidRDefault="006930CD" w:rsidP="004866F4">
      <w:pPr>
        <w:jc w:val="both"/>
      </w:pPr>
    </w:p>
    <w:p w14:paraId="7CE0AF82" w14:textId="451C0602" w:rsidR="006930CD" w:rsidRDefault="00336810" w:rsidP="006930CD">
      <w:pPr>
        <w:pStyle w:val="Heading2"/>
        <w:numPr>
          <w:ilvl w:val="0"/>
          <w:numId w:val="0"/>
        </w:numPr>
      </w:pPr>
      <w:r>
        <w:t>Analysing the intervention</w:t>
      </w:r>
    </w:p>
    <w:p w14:paraId="6B4513AE" w14:textId="466CA59F" w:rsidR="000E4F37" w:rsidRDefault="006930CD" w:rsidP="006930CD">
      <w:pPr>
        <w:pStyle w:val="BodyText"/>
      </w:pPr>
      <w:r w:rsidRPr="006930CD">
        <w:t xml:space="preserve">An interrupted time series analysis (ITS) is a quasi-experimental statistical analysis that analyses a period of before and after a point of intervention to assess the effects of </w:t>
      </w:r>
      <w:r w:rsidRPr="006930CD">
        <w:lastRenderedPageBreak/>
        <w:t>the intervention</w:t>
      </w:r>
      <w:r>
        <w:rPr>
          <w:lang w:val="en-US"/>
        </w:rPr>
        <w:t xml:space="preserve">. </w:t>
      </w:r>
      <w:r w:rsidR="00E278D4">
        <w:rPr>
          <w:lang w:val="en-US"/>
        </w:rPr>
        <w:t>The counterfactual in an ITS analysis is the hypothetical scenario that reveals what the time series would look like without the intervention</w:t>
      </w:r>
      <w:r w:rsidR="002F4FE1">
        <w:rPr>
          <w:lang w:val="en-US"/>
        </w:rPr>
        <w:t xml:space="preserve"> </w:t>
      </w:r>
      <w:sdt>
        <w:sdtPr>
          <w:rPr>
            <w:lang w:val="en-US"/>
          </w:rPr>
          <w:id w:val="1462228609"/>
          <w:citation/>
        </w:sdtPr>
        <w:sdtEndPr/>
        <w:sdtContent>
          <w:r w:rsidR="002F4FE1">
            <w:rPr>
              <w:lang w:val="en-US"/>
            </w:rPr>
            <w:fldChar w:fldCharType="begin"/>
          </w:r>
          <w:r w:rsidR="002F4FE1">
            <w:rPr>
              <w:lang w:val="en-US"/>
            </w:rPr>
            <w:instrText xml:space="preserve"> CITATION Ame22 \l 1033 </w:instrText>
          </w:r>
          <w:r w:rsidR="002F4FE1">
            <w:rPr>
              <w:lang w:val="en-US"/>
            </w:rPr>
            <w:fldChar w:fldCharType="separate"/>
          </w:r>
          <w:r w:rsidR="002F4FE1" w:rsidRPr="002F4FE1">
            <w:rPr>
              <w:noProof/>
              <w:lang w:val="en-US"/>
            </w:rPr>
            <w:t>[25]</w:t>
          </w:r>
          <w:r w:rsidR="002F4FE1">
            <w:rPr>
              <w:lang w:val="en-US"/>
            </w:rPr>
            <w:fldChar w:fldCharType="end"/>
          </w:r>
        </w:sdtContent>
      </w:sdt>
      <w:r w:rsidR="00E278D4">
        <w:rPr>
          <w:lang w:val="en-US"/>
        </w:rPr>
        <w:t xml:space="preserve">. </w:t>
      </w:r>
      <w:r w:rsidRPr="006930CD">
        <w:t xml:space="preserve">In this study, the </w:t>
      </w:r>
      <w:r w:rsidR="0004707E">
        <w:rPr>
          <w:lang w:val="en-US"/>
        </w:rPr>
        <w:t>intervention</w:t>
      </w:r>
      <w:r w:rsidRPr="006930CD">
        <w:t xml:space="preserve"> point will be the first date (March 15, 2020) of the lockdowns in Metro Manila. To analyze the impact of the pandemic, the level and scope of the changes in the </w:t>
      </w:r>
      <w:r w:rsidR="00E278D4">
        <w:rPr>
          <w:lang w:val="en-US"/>
        </w:rPr>
        <w:t xml:space="preserve">counterfactual </w:t>
      </w:r>
      <w:r w:rsidRPr="006930CD">
        <w:t xml:space="preserve">is evaluated. </w:t>
      </w:r>
      <w:r w:rsidR="00E7147A">
        <w:rPr>
          <w:lang w:val="en-US"/>
        </w:rPr>
        <w:t>For</w:t>
      </w:r>
      <w:r w:rsidRPr="006930CD">
        <w:t xml:space="preserve"> this study, the interrupted time series analysis is applied using ARIMA models as well and to compensate for the proper number of data observations before and after the intervention, the time series was truncated until August 29, 2020. </w:t>
      </w:r>
    </w:p>
    <w:p w14:paraId="26CEA8BF" w14:textId="6B1ACCC0" w:rsidR="00E7147A" w:rsidRDefault="00E7147A" w:rsidP="00E7147A">
      <w:pPr>
        <w:pStyle w:val="Heading1"/>
      </w:pPr>
      <w:r>
        <w:t>Results and Discussion</w:t>
      </w:r>
    </w:p>
    <w:p w14:paraId="13689C7B" w14:textId="61290865" w:rsidR="00C458FF" w:rsidRPr="00C458FF" w:rsidRDefault="00C458FF" w:rsidP="00C458FF">
      <w:pPr>
        <w:pStyle w:val="Heading2"/>
        <w:numPr>
          <w:ilvl w:val="0"/>
          <w:numId w:val="0"/>
        </w:numPr>
      </w:pPr>
      <w:r>
        <w:t>Bangus ITS Analysis</w:t>
      </w:r>
    </w:p>
    <w:p w14:paraId="3EE3F97B" w14:textId="2629FCC0" w:rsidR="00C637E9" w:rsidRDefault="00C637E9" w:rsidP="006930CD">
      <w:pPr>
        <w:pStyle w:val="BodyText"/>
      </w:pPr>
      <w:r>
        <w:rPr>
          <w:noProof/>
        </w:rPr>
        <mc:AlternateContent>
          <mc:Choice Requires="wps">
            <w:drawing>
              <wp:anchor distT="0" distB="0" distL="114300" distR="114300" simplePos="0" relativeHeight="251664384" behindDoc="0" locked="0" layoutInCell="1" allowOverlap="1" wp14:anchorId="7436C132" wp14:editId="1FF07C43">
                <wp:simplePos x="0" y="0"/>
                <wp:positionH relativeFrom="column">
                  <wp:posOffset>1905</wp:posOffset>
                </wp:positionH>
                <wp:positionV relativeFrom="paragraph">
                  <wp:posOffset>2302147</wp:posOffset>
                </wp:positionV>
                <wp:extent cx="30899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9DB458B" w14:textId="6C319914" w:rsidR="00634EC1" w:rsidRPr="00634EC1" w:rsidRDefault="00634EC1" w:rsidP="00273CA9">
                            <w:pPr>
                              <w:pStyle w:val="Caption"/>
                              <w:jc w:val="left"/>
                              <w:rPr>
                                <w:i w:val="0"/>
                                <w:iCs w:val="0"/>
                                <w:noProof/>
                                <w:color w:val="auto"/>
                                <w:spacing w:val="-1"/>
                                <w:lang w:val="x-none" w:eastAsia="x-none"/>
                              </w:rPr>
                            </w:pPr>
                            <w:r w:rsidRPr="00634EC1">
                              <w:rPr>
                                <w:i w:val="0"/>
                                <w:iCs w:val="0"/>
                                <w:color w:val="auto"/>
                                <w:sz w:val="16"/>
                                <w:szCs w:val="16"/>
                              </w:rPr>
                              <w:t xml:space="preserve">Fig. </w:t>
                            </w:r>
                            <w:r w:rsidR="001F20F8">
                              <w:rPr>
                                <w:i w:val="0"/>
                                <w:iCs w:val="0"/>
                                <w:color w:val="auto"/>
                                <w:sz w:val="16"/>
                                <w:szCs w:val="16"/>
                              </w:rPr>
                              <w:t>1</w:t>
                            </w:r>
                            <w:r w:rsidR="00736E3D">
                              <w:rPr>
                                <w:i w:val="0"/>
                                <w:iCs w:val="0"/>
                                <w:color w:val="auto"/>
                                <w:sz w:val="16"/>
                                <w:szCs w:val="16"/>
                              </w:rPr>
                              <w:t>.</w:t>
                            </w:r>
                            <w:r w:rsidR="00A00070">
                              <w:rPr>
                                <w:i w:val="0"/>
                                <w:iCs w:val="0"/>
                                <w:color w:val="auto"/>
                                <w:sz w:val="16"/>
                                <w:szCs w:val="16"/>
                              </w:rPr>
                              <w:t xml:space="preserve">  </w:t>
                            </w:r>
                            <w:proofErr w:type="spellStart"/>
                            <w:r w:rsidRPr="00634EC1">
                              <w:rPr>
                                <w:i w:val="0"/>
                                <w:iCs w:val="0"/>
                                <w:color w:val="auto"/>
                                <w:sz w:val="16"/>
                                <w:szCs w:val="16"/>
                              </w:rPr>
                              <w:t>Bangus</w:t>
                            </w:r>
                            <w:proofErr w:type="spellEnd"/>
                            <w:r w:rsidRPr="00634EC1">
                              <w:rPr>
                                <w:i w:val="0"/>
                                <w:iCs w:val="0"/>
                                <w:color w:val="auto"/>
                                <w:sz w:val="16"/>
                                <w:szCs w:val="16"/>
                              </w:rPr>
                              <w:t xml:space="preserve"> Prevailing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36C132" id="_x0000_t202" coordsize="21600,21600" o:spt="202" path="m,l,21600r21600,l21600,xe">
                <v:stroke joinstyle="miter"/>
                <v:path gradientshapeok="t" o:connecttype="rect"/>
              </v:shapetype>
              <v:shape id="Text Box 2" o:spid="_x0000_s1026" type="#_x0000_t202" style="position:absolute;left:0;text-align:left;margin-left:.15pt;margin-top:181.25pt;width:24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" stroked="f">
                <v:textbox style="mso-fit-shape-to-text:t" inset="0,0,0,0">
                  <w:txbxContent>
                    <w:p w14:paraId="79DB458B" w14:textId="6C319914" w:rsidR="00634EC1" w:rsidRPr="00634EC1" w:rsidRDefault="00634EC1" w:rsidP="00273CA9">
                      <w:pPr>
                        <w:pStyle w:val="Caption"/>
                        <w:jc w:val="left"/>
                        <w:rPr>
                          <w:i w:val="0"/>
                          <w:iCs w:val="0"/>
                          <w:noProof/>
                          <w:color w:val="auto"/>
                          <w:spacing w:val="-1"/>
                          <w:lang w:val="x-none" w:eastAsia="x-none"/>
                        </w:rPr>
                      </w:pPr>
                      <w:r w:rsidRPr="00634EC1">
                        <w:rPr>
                          <w:i w:val="0"/>
                          <w:iCs w:val="0"/>
                          <w:color w:val="auto"/>
                          <w:sz w:val="16"/>
                          <w:szCs w:val="16"/>
                        </w:rPr>
                        <w:t xml:space="preserve">Fig. </w:t>
                      </w:r>
                      <w:r w:rsidR="001F20F8">
                        <w:rPr>
                          <w:i w:val="0"/>
                          <w:iCs w:val="0"/>
                          <w:color w:val="auto"/>
                          <w:sz w:val="16"/>
                          <w:szCs w:val="16"/>
                        </w:rPr>
                        <w:t>1</w:t>
                      </w:r>
                      <w:r w:rsidR="00736E3D">
                        <w:rPr>
                          <w:i w:val="0"/>
                          <w:iCs w:val="0"/>
                          <w:color w:val="auto"/>
                          <w:sz w:val="16"/>
                          <w:szCs w:val="16"/>
                        </w:rPr>
                        <w:t>.</w:t>
                      </w:r>
                      <w:r w:rsidR="00A00070">
                        <w:rPr>
                          <w:i w:val="0"/>
                          <w:iCs w:val="0"/>
                          <w:color w:val="auto"/>
                          <w:sz w:val="16"/>
                          <w:szCs w:val="16"/>
                        </w:rPr>
                        <w:t xml:space="preserve">  </w:t>
                      </w:r>
                      <w:proofErr w:type="spellStart"/>
                      <w:r w:rsidRPr="00634EC1">
                        <w:rPr>
                          <w:i w:val="0"/>
                          <w:iCs w:val="0"/>
                          <w:color w:val="auto"/>
                          <w:sz w:val="16"/>
                          <w:szCs w:val="16"/>
                        </w:rPr>
                        <w:t>Bangus</w:t>
                      </w:r>
                      <w:proofErr w:type="spellEnd"/>
                      <w:r w:rsidRPr="00634EC1">
                        <w:rPr>
                          <w:i w:val="0"/>
                          <w:iCs w:val="0"/>
                          <w:color w:val="auto"/>
                          <w:sz w:val="16"/>
                          <w:szCs w:val="16"/>
                        </w:rPr>
                        <w:t xml:space="preserve"> Prevailing Prices</w:t>
                      </w:r>
                    </w:p>
                  </w:txbxContent>
                </v:textbox>
                <w10:wrap type="square"/>
              </v:shape>
            </w:pict>
          </mc:Fallback>
        </mc:AlternateContent>
      </w:r>
      <w:r w:rsidR="000459C2">
        <w:rPr>
          <w:noProof/>
        </w:rPr>
        <w:drawing>
          <wp:anchor distT="0" distB="0" distL="114300" distR="114300" simplePos="0" relativeHeight="251662336" behindDoc="0" locked="0" layoutInCell="1" allowOverlap="1" wp14:anchorId="3A305B86" wp14:editId="54C76928">
            <wp:simplePos x="0" y="0"/>
            <wp:positionH relativeFrom="margin">
              <wp:posOffset>1905</wp:posOffset>
            </wp:positionH>
            <wp:positionV relativeFrom="margin">
              <wp:posOffset>2713808</wp:posOffset>
            </wp:positionV>
            <wp:extent cx="3089910" cy="17189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C458FF">
        <w:t xml:space="preserve">Figure 1 reveals a time series visualization of the </w:t>
      </w:r>
      <w:proofErr w:type="spellStart"/>
      <w:r w:rsidR="00C458FF">
        <w:t>Bangus</w:t>
      </w:r>
      <w:proofErr w:type="spellEnd"/>
      <w:r w:rsidR="00C458FF">
        <w:t xml:space="preserve"> prices per kilogram from October 1, 2019 to August 31, 2020. Table </w:t>
      </w:r>
      <w:r w:rsidR="0080170B">
        <w:rPr>
          <w:lang w:val="en-US"/>
        </w:rPr>
        <w:t>3</w:t>
      </w:r>
      <w:r w:rsidR="00C458FF">
        <w:t xml:space="preserve"> reveals the descriptive statistic and ADF test values. </w:t>
      </w:r>
    </w:p>
    <w:p w14:paraId="36872422" w14:textId="352394A0" w:rsidR="00996561" w:rsidRDefault="008B25BF" w:rsidP="006930CD">
      <w:pPr>
        <w:pStyle w:val="BodyText"/>
        <w:rPr>
          <w:lang w:val="en-US"/>
        </w:rPr>
      </w:pPr>
      <w:r>
        <w:rPr>
          <w:noProof/>
        </w:rPr>
        <mc:AlternateContent>
          <mc:Choice Requires="wps">
            <w:drawing>
              <wp:anchor distT="0" distB="0" distL="114300" distR="114300" simplePos="0" relativeHeight="251676672" behindDoc="0" locked="0" layoutInCell="1" allowOverlap="1" wp14:anchorId="303E6377" wp14:editId="154015FC">
                <wp:simplePos x="0" y="0"/>
                <wp:positionH relativeFrom="column">
                  <wp:posOffset>3314790</wp:posOffset>
                </wp:positionH>
                <wp:positionV relativeFrom="paragraph">
                  <wp:posOffset>2193562</wp:posOffset>
                </wp:positionV>
                <wp:extent cx="30899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7CB8B0C" w14:textId="2BA3217A" w:rsidR="00605A9D" w:rsidRPr="00605A9D" w:rsidRDefault="00605A9D" w:rsidP="00605A9D">
                            <w:pPr>
                              <w:pStyle w:val="Caption"/>
                              <w:jc w:val="left"/>
                              <w:rPr>
                                <w:i w:val="0"/>
                                <w:iCs w:val="0"/>
                                <w:noProof/>
                                <w:color w:val="auto"/>
                                <w:spacing w:val="-1"/>
                                <w:lang w:val="x-none" w:eastAsia="x-none"/>
                              </w:rPr>
                            </w:pPr>
                            <w:r w:rsidRPr="00605A9D">
                              <w:rPr>
                                <w:i w:val="0"/>
                                <w:iCs w:val="0"/>
                                <w:color w:val="auto"/>
                                <w:sz w:val="16"/>
                                <w:szCs w:val="16"/>
                              </w:rPr>
                              <w:t xml:space="preserve">Fig. </w:t>
                            </w:r>
                            <w:r w:rsidR="000459C2">
                              <w:rPr>
                                <w:i w:val="0"/>
                                <w:iCs w:val="0"/>
                                <w:color w:val="auto"/>
                                <w:sz w:val="16"/>
                                <w:szCs w:val="16"/>
                              </w:rPr>
                              <w:t>2</w:t>
                            </w:r>
                            <w:r w:rsidRPr="00605A9D">
                              <w:rPr>
                                <w:i w:val="0"/>
                                <w:iCs w:val="0"/>
                                <w:color w:val="auto"/>
                                <w:sz w:val="16"/>
                                <w:szCs w:val="16"/>
                              </w:rPr>
                              <w:t xml:space="preserve">.  </w:t>
                            </w:r>
                            <w:proofErr w:type="spellStart"/>
                            <w:r w:rsidRPr="00605A9D">
                              <w:rPr>
                                <w:i w:val="0"/>
                                <w:iCs w:val="0"/>
                                <w:color w:val="auto"/>
                                <w:sz w:val="16"/>
                                <w:szCs w:val="16"/>
                              </w:rPr>
                              <w:t>Bangus</w:t>
                            </w:r>
                            <w:proofErr w:type="spellEnd"/>
                            <w:r w:rsidRPr="00605A9D">
                              <w:rPr>
                                <w:i w:val="0"/>
                                <w:iCs w:val="0"/>
                                <w:color w:val="auto"/>
                                <w:sz w:val="16"/>
                                <w:szCs w:val="16"/>
                              </w:rPr>
                              <w:t xml:space="preserve"> ITS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E6377" id="Text Box 15" o:spid="_x0000_s1027" type="#_x0000_t202" style="position:absolute;left:0;text-align:left;margin-left:261pt;margin-top:172.7pt;width:24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" stroked="f">
                <v:textbox style="mso-fit-shape-to-text:t" inset="0,0,0,0">
                  <w:txbxContent>
                    <w:p w14:paraId="07CB8B0C" w14:textId="2BA3217A" w:rsidR="00605A9D" w:rsidRPr="00605A9D" w:rsidRDefault="00605A9D" w:rsidP="00605A9D">
                      <w:pPr>
                        <w:pStyle w:val="Caption"/>
                        <w:jc w:val="left"/>
                        <w:rPr>
                          <w:i w:val="0"/>
                          <w:iCs w:val="0"/>
                          <w:noProof/>
                          <w:color w:val="auto"/>
                          <w:spacing w:val="-1"/>
                          <w:lang w:val="x-none" w:eastAsia="x-none"/>
                        </w:rPr>
                      </w:pPr>
                      <w:r w:rsidRPr="00605A9D">
                        <w:rPr>
                          <w:i w:val="0"/>
                          <w:iCs w:val="0"/>
                          <w:color w:val="auto"/>
                          <w:sz w:val="16"/>
                          <w:szCs w:val="16"/>
                        </w:rPr>
                        <w:t xml:space="preserve">Fig. </w:t>
                      </w:r>
                      <w:r w:rsidR="000459C2">
                        <w:rPr>
                          <w:i w:val="0"/>
                          <w:iCs w:val="0"/>
                          <w:color w:val="auto"/>
                          <w:sz w:val="16"/>
                          <w:szCs w:val="16"/>
                        </w:rPr>
                        <w:t>2</w:t>
                      </w:r>
                      <w:r w:rsidRPr="00605A9D">
                        <w:rPr>
                          <w:i w:val="0"/>
                          <w:iCs w:val="0"/>
                          <w:color w:val="auto"/>
                          <w:sz w:val="16"/>
                          <w:szCs w:val="16"/>
                        </w:rPr>
                        <w:t xml:space="preserve">.  </w:t>
                      </w:r>
                      <w:proofErr w:type="spellStart"/>
                      <w:r w:rsidRPr="00605A9D">
                        <w:rPr>
                          <w:i w:val="0"/>
                          <w:iCs w:val="0"/>
                          <w:color w:val="auto"/>
                          <w:sz w:val="16"/>
                          <w:szCs w:val="16"/>
                        </w:rPr>
                        <w:t>Bangus</w:t>
                      </w:r>
                      <w:proofErr w:type="spellEnd"/>
                      <w:r w:rsidRPr="00605A9D">
                        <w:rPr>
                          <w:i w:val="0"/>
                          <w:iCs w:val="0"/>
                          <w:color w:val="auto"/>
                          <w:sz w:val="16"/>
                          <w:szCs w:val="16"/>
                        </w:rPr>
                        <w:t xml:space="preserve"> ITS Visualization</w:t>
                      </w:r>
                    </w:p>
                  </w:txbxContent>
                </v:textbox>
                <w10:wrap type="square"/>
              </v:shape>
            </w:pict>
          </mc:Fallback>
        </mc:AlternateContent>
      </w:r>
      <w:r w:rsidR="00C458FF">
        <w:t xml:space="preserve">After imputing the missing data, the </w:t>
      </w:r>
      <w:proofErr w:type="spellStart"/>
      <w:r w:rsidR="00C458FF">
        <w:t>Bangus</w:t>
      </w:r>
      <w:proofErr w:type="spellEnd"/>
      <w:r w:rsidR="00C458FF">
        <w:t xml:space="preserve"> prices had a maximum of </w:t>
      </w:r>
      <w:r w:rsidR="00A5330D">
        <w:rPr>
          <w:lang w:val="en-US"/>
        </w:rPr>
        <w:t xml:space="preserve">200 </w:t>
      </w:r>
      <w:proofErr w:type="spellStart"/>
      <w:r w:rsidR="00A5330D">
        <w:rPr>
          <w:lang w:val="en-US"/>
        </w:rPr>
        <w:t>PhP</w:t>
      </w:r>
      <w:proofErr w:type="spellEnd"/>
      <w:r w:rsidR="00C458FF">
        <w:t xml:space="preserve"> and a minimum of </w:t>
      </w:r>
      <w:r w:rsidR="00A5330D">
        <w:rPr>
          <w:lang w:val="en-US"/>
        </w:rPr>
        <w:t xml:space="preserve">38 </w:t>
      </w:r>
      <w:proofErr w:type="spellStart"/>
      <w:r w:rsidR="00A5330D">
        <w:rPr>
          <w:lang w:val="en-US"/>
        </w:rPr>
        <w:t>PhP</w:t>
      </w:r>
      <w:proofErr w:type="spellEnd"/>
      <w:r w:rsidR="00C458FF">
        <w:t xml:space="preserve">. The mean price is determined to be </w:t>
      </w:r>
      <w:r w:rsidR="00A5330D">
        <w:rPr>
          <w:lang w:val="en-US"/>
        </w:rPr>
        <w:t xml:space="preserve">164.52 </w:t>
      </w:r>
      <w:proofErr w:type="spellStart"/>
      <w:r w:rsidR="00A5330D">
        <w:rPr>
          <w:lang w:val="en-US"/>
        </w:rPr>
        <w:t>PhP</w:t>
      </w:r>
      <w:proofErr w:type="spellEnd"/>
      <w:r w:rsidR="00996561">
        <w:rPr>
          <w:lang w:val="en-US"/>
        </w:rPr>
        <w:t>.</w:t>
      </w:r>
    </w:p>
    <w:p w14:paraId="7C878EAD" w14:textId="647797D2" w:rsidR="00C756E9" w:rsidRPr="005B520E" w:rsidRDefault="00C756E9" w:rsidP="00C756E9">
      <w:pPr>
        <w:pStyle w:val="tablehead"/>
      </w:pPr>
      <w:r>
        <w:t>bangus prices Descriptive statistic and adf test value</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0"/>
        <w:gridCol w:w="720"/>
        <w:gridCol w:w="990"/>
        <w:gridCol w:w="996"/>
      </w:tblGrid>
      <w:tr w:rsidR="002D7A3B" w14:paraId="297C26B1" w14:textId="7B7539BB" w:rsidTr="00C04A0A">
        <w:trPr>
          <w:cantSplit/>
          <w:trHeight w:val="229"/>
          <w:tblHeader/>
          <w:jc w:val="center"/>
        </w:trPr>
        <w:tc>
          <w:tcPr>
            <w:tcW w:w="717" w:type="dxa"/>
            <w:vAlign w:val="center"/>
          </w:tcPr>
          <w:p w14:paraId="6B6A487C" w14:textId="77777777" w:rsidR="00B332C4" w:rsidRDefault="00B332C4" w:rsidP="007D1348">
            <w:pPr>
              <w:pStyle w:val="tablecolsubhead"/>
            </w:pPr>
            <w:r>
              <w:t>Statistic</w:t>
            </w:r>
          </w:p>
        </w:tc>
        <w:tc>
          <w:tcPr>
            <w:tcW w:w="720" w:type="dxa"/>
            <w:vAlign w:val="center"/>
          </w:tcPr>
          <w:p w14:paraId="676BB142" w14:textId="0CCF7579" w:rsidR="00B332C4" w:rsidRDefault="00B332C4" w:rsidP="007D1348">
            <w:pPr>
              <w:pStyle w:val="tablecolsubhead"/>
            </w:pPr>
            <w:r>
              <w:t>Mean</w:t>
            </w:r>
          </w:p>
        </w:tc>
        <w:tc>
          <w:tcPr>
            <w:tcW w:w="630" w:type="dxa"/>
          </w:tcPr>
          <w:p w14:paraId="1D5879E3" w14:textId="1EEAE6E2" w:rsidR="00B332C4" w:rsidRDefault="002D7A3B" w:rsidP="007D1348">
            <w:pPr>
              <w:pStyle w:val="tablecolsubhead"/>
            </w:pPr>
            <w:r>
              <w:t>Max</w:t>
            </w:r>
          </w:p>
        </w:tc>
        <w:tc>
          <w:tcPr>
            <w:tcW w:w="720" w:type="dxa"/>
          </w:tcPr>
          <w:p w14:paraId="185C7EA5" w14:textId="0421CB6B" w:rsidR="00B332C4" w:rsidRDefault="002D7A3B" w:rsidP="007D1348">
            <w:pPr>
              <w:pStyle w:val="tablecolsubhead"/>
            </w:pPr>
            <w:r>
              <w:t>Min</w:t>
            </w:r>
          </w:p>
        </w:tc>
        <w:tc>
          <w:tcPr>
            <w:tcW w:w="990" w:type="dxa"/>
          </w:tcPr>
          <w:p w14:paraId="12B5BA52" w14:textId="3D3F64F1" w:rsidR="00B332C4" w:rsidRDefault="002D7A3B" w:rsidP="007D1348">
            <w:pPr>
              <w:pStyle w:val="tablecolsubhead"/>
            </w:pPr>
            <w:r>
              <w:t>ADF t-value</w:t>
            </w:r>
          </w:p>
        </w:tc>
        <w:tc>
          <w:tcPr>
            <w:tcW w:w="996" w:type="dxa"/>
          </w:tcPr>
          <w:p w14:paraId="5B34BAAF" w14:textId="4E6CEE55" w:rsidR="00B332C4" w:rsidRDefault="002D7A3B" w:rsidP="007D1348">
            <w:pPr>
              <w:pStyle w:val="tablecolsubhead"/>
            </w:pPr>
            <w:r>
              <w:t>p-value</w:t>
            </w:r>
          </w:p>
        </w:tc>
      </w:tr>
      <w:tr w:rsidR="002D7A3B" w14:paraId="0F34451D" w14:textId="10EAC03E" w:rsidTr="00C04A0A">
        <w:trPr>
          <w:trHeight w:val="306"/>
          <w:jc w:val="center"/>
        </w:trPr>
        <w:tc>
          <w:tcPr>
            <w:tcW w:w="717" w:type="dxa"/>
          </w:tcPr>
          <w:p w14:paraId="1AE5157E" w14:textId="29EB94D7" w:rsidR="00B332C4" w:rsidRDefault="000E0BB8" w:rsidP="007D1348">
            <w:pPr>
              <w:pStyle w:val="tablecopy"/>
            </w:pPr>
            <w:r>
              <w:t>Value</w:t>
            </w:r>
          </w:p>
        </w:tc>
        <w:tc>
          <w:tcPr>
            <w:tcW w:w="720" w:type="dxa"/>
            <w:vAlign w:val="center"/>
          </w:tcPr>
          <w:p w14:paraId="6176374C" w14:textId="10B2E7B3" w:rsidR="00B332C4" w:rsidRDefault="00C04A0A" w:rsidP="007D1348">
            <w:pPr>
              <w:rPr>
                <w:sz w:val="16"/>
                <w:szCs w:val="16"/>
              </w:rPr>
            </w:pPr>
            <w:r w:rsidRPr="00C04A0A">
              <w:rPr>
                <w:sz w:val="16"/>
                <w:szCs w:val="16"/>
              </w:rPr>
              <w:t>164.52</w:t>
            </w:r>
            <w:r>
              <w:rPr>
                <w:sz w:val="16"/>
                <w:szCs w:val="16"/>
              </w:rPr>
              <w:t xml:space="preserve"> </w:t>
            </w:r>
            <w:proofErr w:type="spellStart"/>
            <w:r>
              <w:rPr>
                <w:sz w:val="16"/>
                <w:szCs w:val="16"/>
              </w:rPr>
              <w:t>PhP</w:t>
            </w:r>
            <w:proofErr w:type="spellEnd"/>
          </w:p>
        </w:tc>
        <w:tc>
          <w:tcPr>
            <w:tcW w:w="630" w:type="dxa"/>
          </w:tcPr>
          <w:p w14:paraId="0E83DB31" w14:textId="42C66B94" w:rsidR="00B332C4" w:rsidRDefault="000E0BB8" w:rsidP="007D1348">
            <w:pPr>
              <w:rPr>
                <w:sz w:val="16"/>
                <w:szCs w:val="16"/>
              </w:rPr>
            </w:pPr>
            <w:r>
              <w:rPr>
                <w:sz w:val="16"/>
                <w:szCs w:val="16"/>
              </w:rPr>
              <w:t xml:space="preserve">200 </w:t>
            </w:r>
            <w:proofErr w:type="spellStart"/>
            <w:r>
              <w:rPr>
                <w:sz w:val="16"/>
                <w:szCs w:val="16"/>
              </w:rPr>
              <w:t>PhP</w:t>
            </w:r>
            <w:proofErr w:type="spellEnd"/>
          </w:p>
        </w:tc>
        <w:tc>
          <w:tcPr>
            <w:tcW w:w="720" w:type="dxa"/>
          </w:tcPr>
          <w:p w14:paraId="70DBE94D" w14:textId="2C2950C5" w:rsidR="00B332C4" w:rsidRDefault="000E0BB8" w:rsidP="007D1348">
            <w:pPr>
              <w:rPr>
                <w:sz w:val="16"/>
                <w:szCs w:val="16"/>
              </w:rPr>
            </w:pPr>
            <w:r>
              <w:rPr>
                <w:sz w:val="16"/>
                <w:szCs w:val="16"/>
              </w:rPr>
              <w:t xml:space="preserve">38 </w:t>
            </w:r>
            <w:proofErr w:type="spellStart"/>
            <w:r>
              <w:rPr>
                <w:sz w:val="16"/>
                <w:szCs w:val="16"/>
              </w:rPr>
              <w:t>PhP</w:t>
            </w:r>
            <w:proofErr w:type="spellEnd"/>
          </w:p>
        </w:tc>
        <w:tc>
          <w:tcPr>
            <w:tcW w:w="990" w:type="dxa"/>
          </w:tcPr>
          <w:p w14:paraId="48DC9F55" w14:textId="1F36969A" w:rsidR="00B332C4" w:rsidRDefault="000E0BB8" w:rsidP="007D1348">
            <w:pPr>
              <w:rPr>
                <w:sz w:val="16"/>
                <w:szCs w:val="16"/>
              </w:rPr>
            </w:pPr>
            <w:r>
              <w:rPr>
                <w:sz w:val="16"/>
                <w:szCs w:val="16"/>
              </w:rPr>
              <w:t>-5.98</w:t>
            </w:r>
          </w:p>
        </w:tc>
        <w:tc>
          <w:tcPr>
            <w:tcW w:w="996" w:type="dxa"/>
          </w:tcPr>
          <w:p w14:paraId="18DDB6E2" w14:textId="317FC4EE" w:rsidR="00B332C4" w:rsidRDefault="000E0BB8" w:rsidP="007D1348">
            <w:pPr>
              <w:rPr>
                <w:sz w:val="16"/>
                <w:szCs w:val="16"/>
              </w:rPr>
            </w:pPr>
            <w:r w:rsidRPr="000E0BB8">
              <w:rPr>
                <w:sz w:val="16"/>
                <w:szCs w:val="16"/>
              </w:rPr>
              <w:t>0.0000001</w:t>
            </w:r>
          </w:p>
        </w:tc>
      </w:tr>
    </w:tbl>
    <w:p w14:paraId="7E6897D0" w14:textId="31A88801" w:rsidR="00886FA0" w:rsidRDefault="00886FA0" w:rsidP="006930CD">
      <w:pPr>
        <w:pStyle w:val="BodyText"/>
        <w:rPr>
          <w:lang w:val="en-US"/>
        </w:rPr>
      </w:pPr>
    </w:p>
    <w:p w14:paraId="351B3DEA" w14:textId="073F63F4" w:rsidR="002E1620" w:rsidRDefault="00F5661F" w:rsidP="0098080C">
      <w:pPr>
        <w:pStyle w:val="BodyText"/>
      </w:pPr>
      <w:r>
        <w:rPr>
          <w:lang w:val="en-US"/>
        </w:rPr>
        <w:t xml:space="preserve"> </w:t>
      </w:r>
      <w:r w:rsidR="003E49C6">
        <w:t xml:space="preserve">The first step in the Box-Jenkins methodology which is testing for stationarity reveals the ADF to be less than 0.05 rejecting the null hypothesis. This means that the </w:t>
      </w:r>
      <w:proofErr w:type="spellStart"/>
      <w:r w:rsidR="003E49C6">
        <w:t>Bangus</w:t>
      </w:r>
      <w:proofErr w:type="spellEnd"/>
      <w:r w:rsidR="003E49C6">
        <w:t xml:space="preserve"> time series has no unit root and is stationary therefore the order of differencing </w:t>
      </w:r>
      <w:r w:rsidR="003E49C6" w:rsidRPr="00CC7D4F">
        <w:rPr>
          <w:b/>
          <w:bCs/>
        </w:rPr>
        <w:t>d</w:t>
      </w:r>
      <w:r w:rsidR="003E49C6">
        <w:t xml:space="preserve"> is 0. After determining the order of differencing, the next step is determining the </w:t>
      </w:r>
      <w:r w:rsidR="005B1AA4">
        <w:rPr>
          <w:lang w:val="en-US"/>
        </w:rPr>
        <w:t xml:space="preserve">order of </w:t>
      </w:r>
      <w:r w:rsidR="005B1AA4" w:rsidRPr="005B1AA4">
        <w:rPr>
          <w:b/>
          <w:bCs/>
          <w:lang w:val="en-US"/>
        </w:rPr>
        <w:t>p</w:t>
      </w:r>
      <w:r w:rsidR="005B1AA4">
        <w:rPr>
          <w:lang w:val="en-US"/>
        </w:rPr>
        <w:t xml:space="preserve"> </w:t>
      </w:r>
      <w:r w:rsidR="00AC761E">
        <w:rPr>
          <w:lang w:val="en-US"/>
        </w:rPr>
        <w:t>(</w:t>
      </w:r>
      <w:r w:rsidR="003E49C6">
        <w:t>AR</w:t>
      </w:r>
      <w:r w:rsidR="00AC761E">
        <w:rPr>
          <w:lang w:val="en-US"/>
        </w:rPr>
        <w:t>)</w:t>
      </w:r>
      <w:r w:rsidR="003E49C6">
        <w:t xml:space="preserve"> and </w:t>
      </w:r>
      <w:r w:rsidR="005B1AA4">
        <w:rPr>
          <w:lang w:val="en-US"/>
        </w:rPr>
        <w:t xml:space="preserve">order of </w:t>
      </w:r>
      <w:r w:rsidR="005B1AA4" w:rsidRPr="005B1AA4">
        <w:rPr>
          <w:b/>
          <w:bCs/>
          <w:lang w:val="en-US"/>
        </w:rPr>
        <w:t>q</w:t>
      </w:r>
      <w:r w:rsidR="005B1AA4">
        <w:rPr>
          <w:lang w:val="en-US"/>
        </w:rPr>
        <w:t xml:space="preserve"> </w:t>
      </w:r>
      <w:r w:rsidR="00AC761E">
        <w:rPr>
          <w:lang w:val="en-US"/>
        </w:rPr>
        <w:t>(</w:t>
      </w:r>
      <w:r w:rsidR="003E49C6">
        <w:t>MA</w:t>
      </w:r>
      <w:r w:rsidR="00AC761E">
        <w:rPr>
          <w:lang w:val="en-US"/>
        </w:rPr>
        <w:t>)</w:t>
      </w:r>
      <w:r w:rsidR="003E49C6">
        <w:t xml:space="preserve"> terms.</w:t>
      </w:r>
      <w:r w:rsidR="005D1034">
        <w:rPr>
          <w:lang w:val="en-US"/>
        </w:rPr>
        <w:t xml:space="preserve"> </w:t>
      </w:r>
      <w:r w:rsidR="0098080C" w:rsidRPr="0098080C">
        <w:t xml:space="preserve">The ACF plots reveals statistically significant lags while PACF displays a sharp cutoff at lag-2. After determining this, it is concluded that the ARIMA model would need 2 AR terms. After fitting the ARIMA model with the time series, each AR term is </w:t>
      </w:r>
      <w:r w:rsidR="00B46020" w:rsidRPr="0098080C">
        <w:t>revealed</w:t>
      </w:r>
      <w:r w:rsidR="0098080C" w:rsidRPr="0098080C">
        <w:t xml:space="preserve"> to be statistically significant. </w:t>
      </w:r>
      <w:r w:rsidR="00D501BF">
        <w:rPr>
          <w:lang w:val="en-US"/>
        </w:rPr>
        <w:t>Table</w:t>
      </w:r>
      <w:r w:rsidR="0098080C" w:rsidRPr="0098080C">
        <w:t xml:space="preserve"> 4 shows the summary of the ARIMA fitting.</w:t>
      </w:r>
    </w:p>
    <w:p w14:paraId="14156BA9" w14:textId="1B4EB287" w:rsidR="00CE5F1F" w:rsidRDefault="0078757A" w:rsidP="0098080C">
      <w:pPr>
        <w:pStyle w:val="tablehead"/>
      </w:pPr>
      <w:r>
        <w:t>ARIMA Fitting summary of bangus ITS</w:t>
      </w:r>
    </w:p>
    <w:tbl>
      <w:tblPr>
        <w:tblStyle w:val="TableGrid"/>
        <w:tblW w:w="4945" w:type="dxa"/>
        <w:tblLayout w:type="fixed"/>
        <w:tblLook w:val="04A0" w:firstRow="1" w:lastRow="0" w:firstColumn="1" w:lastColumn="0" w:noHBand="0" w:noVBand="1"/>
      </w:tblPr>
      <w:tblGrid>
        <w:gridCol w:w="1705"/>
        <w:gridCol w:w="990"/>
        <w:gridCol w:w="900"/>
        <w:gridCol w:w="720"/>
        <w:gridCol w:w="630"/>
      </w:tblGrid>
      <w:tr w:rsidR="00816CC7" w:rsidRPr="00816CC7" w14:paraId="1859A139" w14:textId="77777777" w:rsidTr="00B94170">
        <w:trPr>
          <w:trHeight w:val="300"/>
        </w:trPr>
        <w:tc>
          <w:tcPr>
            <w:tcW w:w="1705" w:type="dxa"/>
            <w:noWrap/>
            <w:hideMark/>
          </w:tcPr>
          <w:p w14:paraId="63D8BE32" w14:textId="77777777" w:rsidR="00816CC7" w:rsidRPr="00816CC7" w:rsidRDefault="00816CC7" w:rsidP="00816CC7">
            <w:pPr>
              <w:jc w:val="both"/>
              <w:rPr>
                <w:sz w:val="16"/>
                <w:szCs w:val="16"/>
              </w:rPr>
            </w:pPr>
          </w:p>
        </w:tc>
        <w:tc>
          <w:tcPr>
            <w:tcW w:w="990" w:type="dxa"/>
            <w:hideMark/>
          </w:tcPr>
          <w:p w14:paraId="0D056B0B" w14:textId="758C2DE9" w:rsidR="00816CC7" w:rsidRPr="00816CC7" w:rsidRDefault="00E87876" w:rsidP="00816CC7">
            <w:pPr>
              <w:jc w:val="both"/>
              <w:rPr>
                <w:b/>
                <w:bCs/>
                <w:sz w:val="16"/>
                <w:szCs w:val="16"/>
              </w:rPr>
            </w:pPr>
            <w:r w:rsidRPr="00816CC7">
              <w:rPr>
                <w:b/>
                <w:bCs/>
                <w:sz w:val="16"/>
                <w:szCs w:val="16"/>
              </w:rPr>
              <w:t>coef</w:t>
            </w:r>
            <w:r>
              <w:rPr>
                <w:b/>
                <w:bCs/>
                <w:sz w:val="16"/>
                <w:szCs w:val="16"/>
              </w:rPr>
              <w:t>ficient</w:t>
            </w:r>
          </w:p>
        </w:tc>
        <w:tc>
          <w:tcPr>
            <w:tcW w:w="900" w:type="dxa"/>
            <w:hideMark/>
          </w:tcPr>
          <w:p w14:paraId="23E84789" w14:textId="371FF28D" w:rsidR="00816CC7" w:rsidRPr="00816CC7" w:rsidRDefault="00816CC7" w:rsidP="00816CC7">
            <w:pPr>
              <w:jc w:val="both"/>
              <w:rPr>
                <w:b/>
                <w:bCs/>
                <w:sz w:val="16"/>
                <w:szCs w:val="16"/>
              </w:rPr>
            </w:pPr>
            <w:r w:rsidRPr="00816CC7">
              <w:rPr>
                <w:b/>
                <w:bCs/>
                <w:sz w:val="16"/>
                <w:szCs w:val="16"/>
              </w:rPr>
              <w:t>st</w:t>
            </w:r>
            <w:r w:rsidR="00E87876">
              <w:rPr>
                <w:b/>
                <w:bCs/>
                <w:sz w:val="16"/>
                <w:szCs w:val="16"/>
              </w:rPr>
              <w:t>d. error</w:t>
            </w:r>
          </w:p>
        </w:tc>
        <w:tc>
          <w:tcPr>
            <w:tcW w:w="720" w:type="dxa"/>
            <w:hideMark/>
          </w:tcPr>
          <w:p w14:paraId="210D11A3" w14:textId="29161464" w:rsidR="00816CC7" w:rsidRPr="00816CC7" w:rsidRDefault="00816CC7" w:rsidP="00816CC7">
            <w:pPr>
              <w:jc w:val="both"/>
              <w:rPr>
                <w:b/>
                <w:bCs/>
                <w:sz w:val="16"/>
                <w:szCs w:val="16"/>
              </w:rPr>
            </w:pPr>
            <w:r w:rsidRPr="00816CC7">
              <w:rPr>
                <w:b/>
                <w:bCs/>
                <w:sz w:val="16"/>
                <w:szCs w:val="16"/>
              </w:rPr>
              <w:t>z</w:t>
            </w:r>
            <w:r w:rsidR="00E87876">
              <w:rPr>
                <w:b/>
                <w:bCs/>
                <w:sz w:val="16"/>
                <w:szCs w:val="16"/>
              </w:rPr>
              <w:t>-value</w:t>
            </w:r>
          </w:p>
        </w:tc>
        <w:tc>
          <w:tcPr>
            <w:tcW w:w="630" w:type="dxa"/>
            <w:hideMark/>
          </w:tcPr>
          <w:p w14:paraId="0D6A5CE8" w14:textId="77777777" w:rsidR="00816CC7" w:rsidRPr="00816CC7" w:rsidRDefault="00816CC7" w:rsidP="00816CC7">
            <w:pPr>
              <w:jc w:val="both"/>
              <w:rPr>
                <w:b/>
                <w:bCs/>
                <w:sz w:val="16"/>
                <w:szCs w:val="16"/>
              </w:rPr>
            </w:pPr>
            <w:r w:rsidRPr="00816CC7">
              <w:rPr>
                <w:b/>
                <w:bCs/>
                <w:sz w:val="16"/>
                <w:szCs w:val="16"/>
              </w:rPr>
              <w:t>P&gt;|z|</w:t>
            </w:r>
          </w:p>
        </w:tc>
      </w:tr>
      <w:tr w:rsidR="00816CC7" w:rsidRPr="00816CC7" w14:paraId="404FF47A" w14:textId="77777777" w:rsidTr="00B94170">
        <w:trPr>
          <w:trHeight w:val="300"/>
        </w:trPr>
        <w:tc>
          <w:tcPr>
            <w:tcW w:w="1705" w:type="dxa"/>
            <w:hideMark/>
          </w:tcPr>
          <w:p w14:paraId="418ABB1C" w14:textId="2C527976" w:rsidR="00816CC7" w:rsidRPr="00816CC7" w:rsidRDefault="00816CC7" w:rsidP="00816CC7">
            <w:pPr>
              <w:jc w:val="both"/>
              <w:rPr>
                <w:b/>
                <w:bCs/>
                <w:sz w:val="16"/>
                <w:szCs w:val="16"/>
              </w:rPr>
            </w:pPr>
            <w:r w:rsidRPr="00816CC7">
              <w:rPr>
                <w:b/>
                <w:bCs/>
                <w:sz w:val="16"/>
                <w:szCs w:val="16"/>
              </w:rPr>
              <w:t>const</w:t>
            </w:r>
            <w:r w:rsidR="00E87876">
              <w:rPr>
                <w:b/>
                <w:bCs/>
                <w:sz w:val="16"/>
                <w:szCs w:val="16"/>
              </w:rPr>
              <w:t>ant</w:t>
            </w:r>
          </w:p>
        </w:tc>
        <w:tc>
          <w:tcPr>
            <w:tcW w:w="990" w:type="dxa"/>
            <w:hideMark/>
          </w:tcPr>
          <w:p w14:paraId="0238EBE1" w14:textId="77777777" w:rsidR="00816CC7" w:rsidRPr="00816CC7" w:rsidRDefault="00816CC7" w:rsidP="00816CC7">
            <w:pPr>
              <w:jc w:val="both"/>
              <w:rPr>
                <w:sz w:val="16"/>
                <w:szCs w:val="16"/>
              </w:rPr>
            </w:pPr>
            <w:r w:rsidRPr="00816CC7">
              <w:rPr>
                <w:sz w:val="16"/>
                <w:szCs w:val="16"/>
              </w:rPr>
              <w:t>169.0358</w:t>
            </w:r>
          </w:p>
        </w:tc>
        <w:tc>
          <w:tcPr>
            <w:tcW w:w="900" w:type="dxa"/>
            <w:hideMark/>
          </w:tcPr>
          <w:p w14:paraId="5CBDCDE2" w14:textId="77777777" w:rsidR="00816CC7" w:rsidRPr="00816CC7" w:rsidRDefault="00816CC7" w:rsidP="00816CC7">
            <w:pPr>
              <w:jc w:val="both"/>
              <w:rPr>
                <w:sz w:val="16"/>
                <w:szCs w:val="16"/>
              </w:rPr>
            </w:pPr>
            <w:r w:rsidRPr="00816CC7">
              <w:rPr>
                <w:sz w:val="16"/>
                <w:szCs w:val="16"/>
              </w:rPr>
              <w:t>5.39</w:t>
            </w:r>
          </w:p>
        </w:tc>
        <w:tc>
          <w:tcPr>
            <w:tcW w:w="720" w:type="dxa"/>
            <w:hideMark/>
          </w:tcPr>
          <w:p w14:paraId="78904B51" w14:textId="77777777" w:rsidR="00816CC7" w:rsidRPr="00816CC7" w:rsidRDefault="00816CC7" w:rsidP="00816CC7">
            <w:pPr>
              <w:jc w:val="both"/>
              <w:rPr>
                <w:sz w:val="16"/>
                <w:szCs w:val="16"/>
              </w:rPr>
            </w:pPr>
            <w:r w:rsidRPr="00816CC7">
              <w:rPr>
                <w:sz w:val="16"/>
                <w:szCs w:val="16"/>
              </w:rPr>
              <w:t>31.36</w:t>
            </w:r>
          </w:p>
        </w:tc>
        <w:tc>
          <w:tcPr>
            <w:tcW w:w="630" w:type="dxa"/>
            <w:hideMark/>
          </w:tcPr>
          <w:p w14:paraId="52A648B4" w14:textId="77777777" w:rsidR="00816CC7" w:rsidRPr="00816CC7" w:rsidRDefault="00816CC7" w:rsidP="00816CC7">
            <w:pPr>
              <w:jc w:val="both"/>
              <w:rPr>
                <w:sz w:val="16"/>
                <w:szCs w:val="16"/>
              </w:rPr>
            </w:pPr>
            <w:r w:rsidRPr="00816CC7">
              <w:rPr>
                <w:sz w:val="16"/>
                <w:szCs w:val="16"/>
              </w:rPr>
              <w:t>0</w:t>
            </w:r>
          </w:p>
        </w:tc>
      </w:tr>
      <w:tr w:rsidR="00816CC7" w:rsidRPr="00816CC7" w14:paraId="4260C8B9" w14:textId="77777777" w:rsidTr="00B94170">
        <w:trPr>
          <w:trHeight w:val="300"/>
        </w:trPr>
        <w:tc>
          <w:tcPr>
            <w:tcW w:w="1705" w:type="dxa"/>
            <w:hideMark/>
          </w:tcPr>
          <w:p w14:paraId="5662D5AB" w14:textId="77777777" w:rsidR="00816CC7" w:rsidRPr="00816CC7" w:rsidRDefault="00816CC7" w:rsidP="00816CC7">
            <w:pPr>
              <w:jc w:val="both"/>
              <w:rPr>
                <w:b/>
                <w:bCs/>
                <w:sz w:val="16"/>
                <w:szCs w:val="16"/>
              </w:rPr>
            </w:pPr>
            <w:proofErr w:type="gramStart"/>
            <w:r w:rsidRPr="00816CC7">
              <w:rPr>
                <w:b/>
                <w:bCs/>
                <w:sz w:val="16"/>
                <w:szCs w:val="16"/>
              </w:rPr>
              <w:t>ar.L</w:t>
            </w:r>
            <w:proofErr w:type="gramEnd"/>
            <w:r w:rsidRPr="00816CC7">
              <w:rPr>
                <w:b/>
                <w:bCs/>
                <w:sz w:val="16"/>
                <w:szCs w:val="16"/>
              </w:rPr>
              <w:t>1</w:t>
            </w:r>
          </w:p>
        </w:tc>
        <w:tc>
          <w:tcPr>
            <w:tcW w:w="990" w:type="dxa"/>
            <w:hideMark/>
          </w:tcPr>
          <w:p w14:paraId="28ABE9CC" w14:textId="77777777" w:rsidR="00816CC7" w:rsidRPr="00816CC7" w:rsidRDefault="00816CC7" w:rsidP="00816CC7">
            <w:pPr>
              <w:jc w:val="both"/>
              <w:rPr>
                <w:sz w:val="16"/>
                <w:szCs w:val="16"/>
              </w:rPr>
            </w:pPr>
            <w:r w:rsidRPr="00816CC7">
              <w:rPr>
                <w:sz w:val="16"/>
                <w:szCs w:val="16"/>
              </w:rPr>
              <w:t>0.5859</w:t>
            </w:r>
          </w:p>
        </w:tc>
        <w:tc>
          <w:tcPr>
            <w:tcW w:w="900" w:type="dxa"/>
            <w:hideMark/>
          </w:tcPr>
          <w:p w14:paraId="6635076E" w14:textId="77777777" w:rsidR="00816CC7" w:rsidRPr="00816CC7" w:rsidRDefault="00816CC7" w:rsidP="00816CC7">
            <w:pPr>
              <w:jc w:val="both"/>
              <w:rPr>
                <w:sz w:val="16"/>
                <w:szCs w:val="16"/>
              </w:rPr>
            </w:pPr>
            <w:r w:rsidRPr="00816CC7">
              <w:rPr>
                <w:sz w:val="16"/>
                <w:szCs w:val="16"/>
              </w:rPr>
              <w:t>0.087</w:t>
            </w:r>
          </w:p>
        </w:tc>
        <w:tc>
          <w:tcPr>
            <w:tcW w:w="720" w:type="dxa"/>
            <w:hideMark/>
          </w:tcPr>
          <w:p w14:paraId="1B6AFC60" w14:textId="77777777" w:rsidR="00816CC7" w:rsidRPr="00816CC7" w:rsidRDefault="00816CC7" w:rsidP="00816CC7">
            <w:pPr>
              <w:jc w:val="both"/>
              <w:rPr>
                <w:sz w:val="16"/>
                <w:szCs w:val="16"/>
              </w:rPr>
            </w:pPr>
            <w:r w:rsidRPr="00816CC7">
              <w:rPr>
                <w:sz w:val="16"/>
                <w:szCs w:val="16"/>
              </w:rPr>
              <w:t>6.764</w:t>
            </w:r>
          </w:p>
        </w:tc>
        <w:tc>
          <w:tcPr>
            <w:tcW w:w="630" w:type="dxa"/>
            <w:hideMark/>
          </w:tcPr>
          <w:p w14:paraId="7260BA8D" w14:textId="77777777" w:rsidR="00816CC7" w:rsidRPr="00816CC7" w:rsidRDefault="00816CC7" w:rsidP="00816CC7">
            <w:pPr>
              <w:jc w:val="both"/>
              <w:rPr>
                <w:sz w:val="16"/>
                <w:szCs w:val="16"/>
              </w:rPr>
            </w:pPr>
            <w:r w:rsidRPr="00816CC7">
              <w:rPr>
                <w:sz w:val="16"/>
                <w:szCs w:val="16"/>
              </w:rPr>
              <w:t>0</w:t>
            </w:r>
          </w:p>
        </w:tc>
      </w:tr>
      <w:tr w:rsidR="00816CC7" w:rsidRPr="00816CC7" w14:paraId="46C135D0" w14:textId="77777777" w:rsidTr="00B94170">
        <w:trPr>
          <w:trHeight w:val="300"/>
        </w:trPr>
        <w:tc>
          <w:tcPr>
            <w:tcW w:w="1705" w:type="dxa"/>
            <w:hideMark/>
          </w:tcPr>
          <w:p w14:paraId="16013641" w14:textId="77777777" w:rsidR="00816CC7" w:rsidRPr="00816CC7" w:rsidRDefault="00816CC7" w:rsidP="00816CC7">
            <w:pPr>
              <w:jc w:val="both"/>
              <w:rPr>
                <w:b/>
                <w:bCs/>
                <w:sz w:val="16"/>
                <w:szCs w:val="16"/>
              </w:rPr>
            </w:pPr>
            <w:proofErr w:type="gramStart"/>
            <w:r w:rsidRPr="00816CC7">
              <w:rPr>
                <w:b/>
                <w:bCs/>
                <w:sz w:val="16"/>
                <w:szCs w:val="16"/>
              </w:rPr>
              <w:t>ar.L</w:t>
            </w:r>
            <w:proofErr w:type="gramEnd"/>
            <w:r w:rsidRPr="00816CC7">
              <w:rPr>
                <w:b/>
                <w:bCs/>
                <w:sz w:val="16"/>
                <w:szCs w:val="16"/>
              </w:rPr>
              <w:t>2</w:t>
            </w:r>
          </w:p>
        </w:tc>
        <w:tc>
          <w:tcPr>
            <w:tcW w:w="990" w:type="dxa"/>
            <w:hideMark/>
          </w:tcPr>
          <w:p w14:paraId="478B20C6" w14:textId="77777777" w:rsidR="00816CC7" w:rsidRPr="00816CC7" w:rsidRDefault="00816CC7" w:rsidP="00816CC7">
            <w:pPr>
              <w:jc w:val="both"/>
              <w:rPr>
                <w:sz w:val="16"/>
                <w:szCs w:val="16"/>
              </w:rPr>
            </w:pPr>
            <w:r w:rsidRPr="00816CC7">
              <w:rPr>
                <w:sz w:val="16"/>
                <w:szCs w:val="16"/>
              </w:rPr>
              <w:t>0.2673</w:t>
            </w:r>
          </w:p>
        </w:tc>
        <w:tc>
          <w:tcPr>
            <w:tcW w:w="900" w:type="dxa"/>
            <w:hideMark/>
          </w:tcPr>
          <w:p w14:paraId="3F751882" w14:textId="77777777" w:rsidR="00816CC7" w:rsidRPr="00816CC7" w:rsidRDefault="00816CC7" w:rsidP="00816CC7">
            <w:pPr>
              <w:jc w:val="both"/>
              <w:rPr>
                <w:sz w:val="16"/>
                <w:szCs w:val="16"/>
              </w:rPr>
            </w:pPr>
            <w:r w:rsidRPr="00816CC7">
              <w:rPr>
                <w:sz w:val="16"/>
                <w:szCs w:val="16"/>
              </w:rPr>
              <w:t>0.073</w:t>
            </w:r>
          </w:p>
        </w:tc>
        <w:tc>
          <w:tcPr>
            <w:tcW w:w="720" w:type="dxa"/>
            <w:hideMark/>
          </w:tcPr>
          <w:p w14:paraId="0A39FF22" w14:textId="77777777" w:rsidR="00816CC7" w:rsidRPr="00816CC7" w:rsidRDefault="00816CC7" w:rsidP="00816CC7">
            <w:pPr>
              <w:jc w:val="both"/>
              <w:rPr>
                <w:sz w:val="16"/>
                <w:szCs w:val="16"/>
              </w:rPr>
            </w:pPr>
            <w:r w:rsidRPr="00816CC7">
              <w:rPr>
                <w:sz w:val="16"/>
                <w:szCs w:val="16"/>
              </w:rPr>
              <w:t>3.637</w:t>
            </w:r>
          </w:p>
        </w:tc>
        <w:tc>
          <w:tcPr>
            <w:tcW w:w="630" w:type="dxa"/>
            <w:hideMark/>
          </w:tcPr>
          <w:p w14:paraId="6DFD6EE6" w14:textId="77777777" w:rsidR="00816CC7" w:rsidRPr="00816CC7" w:rsidRDefault="00816CC7" w:rsidP="00816CC7">
            <w:pPr>
              <w:jc w:val="both"/>
              <w:rPr>
                <w:sz w:val="16"/>
                <w:szCs w:val="16"/>
              </w:rPr>
            </w:pPr>
            <w:r w:rsidRPr="00816CC7">
              <w:rPr>
                <w:sz w:val="16"/>
                <w:szCs w:val="16"/>
              </w:rPr>
              <w:t>0</w:t>
            </w:r>
          </w:p>
        </w:tc>
      </w:tr>
      <w:tr w:rsidR="00816CC7" w:rsidRPr="00816CC7" w14:paraId="6589B1C8" w14:textId="77777777" w:rsidTr="00B94170">
        <w:trPr>
          <w:trHeight w:val="300"/>
        </w:trPr>
        <w:tc>
          <w:tcPr>
            <w:tcW w:w="1705" w:type="dxa"/>
            <w:hideMark/>
          </w:tcPr>
          <w:p w14:paraId="7D3A5708" w14:textId="77777777" w:rsidR="00816CC7" w:rsidRPr="00816CC7" w:rsidRDefault="00816CC7" w:rsidP="00816CC7">
            <w:pPr>
              <w:jc w:val="both"/>
              <w:rPr>
                <w:b/>
                <w:bCs/>
                <w:sz w:val="16"/>
                <w:szCs w:val="16"/>
              </w:rPr>
            </w:pPr>
            <w:r w:rsidRPr="00816CC7">
              <w:rPr>
                <w:b/>
                <w:bCs/>
                <w:sz w:val="16"/>
                <w:szCs w:val="16"/>
              </w:rPr>
              <w:t>sigma2</w:t>
            </w:r>
          </w:p>
        </w:tc>
        <w:tc>
          <w:tcPr>
            <w:tcW w:w="990" w:type="dxa"/>
            <w:hideMark/>
          </w:tcPr>
          <w:p w14:paraId="4229D261" w14:textId="77777777" w:rsidR="00816CC7" w:rsidRPr="00816CC7" w:rsidRDefault="00816CC7" w:rsidP="00816CC7">
            <w:pPr>
              <w:jc w:val="both"/>
              <w:rPr>
                <w:sz w:val="16"/>
                <w:szCs w:val="16"/>
              </w:rPr>
            </w:pPr>
            <w:r w:rsidRPr="00816CC7">
              <w:rPr>
                <w:sz w:val="16"/>
                <w:szCs w:val="16"/>
              </w:rPr>
              <w:t>44.6098</w:t>
            </w:r>
          </w:p>
        </w:tc>
        <w:tc>
          <w:tcPr>
            <w:tcW w:w="900" w:type="dxa"/>
            <w:hideMark/>
          </w:tcPr>
          <w:p w14:paraId="5978B279" w14:textId="77777777" w:rsidR="00816CC7" w:rsidRPr="00816CC7" w:rsidRDefault="00816CC7" w:rsidP="00816CC7">
            <w:pPr>
              <w:jc w:val="both"/>
              <w:rPr>
                <w:sz w:val="16"/>
                <w:szCs w:val="16"/>
              </w:rPr>
            </w:pPr>
            <w:r w:rsidRPr="00816CC7">
              <w:rPr>
                <w:sz w:val="16"/>
                <w:szCs w:val="16"/>
              </w:rPr>
              <w:t>3.749</w:t>
            </w:r>
          </w:p>
        </w:tc>
        <w:tc>
          <w:tcPr>
            <w:tcW w:w="720" w:type="dxa"/>
            <w:hideMark/>
          </w:tcPr>
          <w:p w14:paraId="0663A0A1" w14:textId="77777777" w:rsidR="00816CC7" w:rsidRPr="00816CC7" w:rsidRDefault="00816CC7" w:rsidP="00816CC7">
            <w:pPr>
              <w:jc w:val="both"/>
              <w:rPr>
                <w:sz w:val="16"/>
                <w:szCs w:val="16"/>
              </w:rPr>
            </w:pPr>
            <w:r w:rsidRPr="00816CC7">
              <w:rPr>
                <w:sz w:val="16"/>
                <w:szCs w:val="16"/>
              </w:rPr>
              <w:t>11.9</w:t>
            </w:r>
          </w:p>
        </w:tc>
        <w:tc>
          <w:tcPr>
            <w:tcW w:w="630" w:type="dxa"/>
            <w:hideMark/>
          </w:tcPr>
          <w:p w14:paraId="3715FDB5" w14:textId="77777777" w:rsidR="00816CC7" w:rsidRPr="00816CC7" w:rsidRDefault="00816CC7" w:rsidP="00816CC7">
            <w:pPr>
              <w:jc w:val="both"/>
              <w:rPr>
                <w:sz w:val="16"/>
                <w:szCs w:val="16"/>
              </w:rPr>
            </w:pPr>
            <w:r w:rsidRPr="00816CC7">
              <w:rPr>
                <w:sz w:val="16"/>
                <w:szCs w:val="16"/>
              </w:rPr>
              <w:t>0</w:t>
            </w:r>
          </w:p>
        </w:tc>
      </w:tr>
      <w:tr w:rsidR="00B94170" w:rsidRPr="00816CC7" w14:paraId="725D66B3" w14:textId="77777777" w:rsidTr="0061057B">
        <w:trPr>
          <w:trHeight w:val="300"/>
        </w:trPr>
        <w:tc>
          <w:tcPr>
            <w:tcW w:w="4945" w:type="dxa"/>
            <w:gridSpan w:val="5"/>
            <w:noWrap/>
            <w:hideMark/>
          </w:tcPr>
          <w:p w14:paraId="31BD4CA2" w14:textId="5DC73D95" w:rsidR="00B94170" w:rsidRPr="00816CC7" w:rsidRDefault="00B94170" w:rsidP="00816CC7">
            <w:pPr>
              <w:jc w:val="both"/>
              <w:rPr>
                <w:sz w:val="16"/>
                <w:szCs w:val="16"/>
              </w:rPr>
            </w:pPr>
          </w:p>
        </w:tc>
      </w:tr>
      <w:tr w:rsidR="00B94170" w:rsidRPr="00816CC7" w14:paraId="343D08B3" w14:textId="77777777" w:rsidTr="001D13BD">
        <w:trPr>
          <w:trHeight w:val="480"/>
        </w:trPr>
        <w:tc>
          <w:tcPr>
            <w:tcW w:w="1705" w:type="dxa"/>
            <w:hideMark/>
          </w:tcPr>
          <w:p w14:paraId="0439C5A9" w14:textId="5B0FFFB4" w:rsidR="00B94170" w:rsidRPr="00816CC7" w:rsidRDefault="00B94170" w:rsidP="00816CC7">
            <w:pPr>
              <w:jc w:val="both"/>
              <w:rPr>
                <w:b/>
                <w:bCs/>
                <w:sz w:val="16"/>
                <w:szCs w:val="16"/>
              </w:rPr>
            </w:pPr>
            <w:proofErr w:type="spellStart"/>
            <w:r w:rsidRPr="00816CC7">
              <w:rPr>
                <w:b/>
                <w:bCs/>
                <w:sz w:val="16"/>
                <w:szCs w:val="16"/>
              </w:rPr>
              <w:t>Ljung</w:t>
            </w:r>
            <w:proofErr w:type="spellEnd"/>
            <w:r w:rsidRPr="00816CC7">
              <w:rPr>
                <w:b/>
                <w:bCs/>
                <w:sz w:val="16"/>
                <w:szCs w:val="16"/>
              </w:rPr>
              <w:t>-Box (L1) (Q):</w:t>
            </w:r>
          </w:p>
        </w:tc>
        <w:tc>
          <w:tcPr>
            <w:tcW w:w="3240" w:type="dxa"/>
            <w:gridSpan w:val="4"/>
            <w:hideMark/>
          </w:tcPr>
          <w:p w14:paraId="262AA548" w14:textId="5CEB222F" w:rsidR="00B94170" w:rsidRPr="00816CC7" w:rsidRDefault="00B94170" w:rsidP="00816CC7">
            <w:pPr>
              <w:jc w:val="both"/>
              <w:rPr>
                <w:sz w:val="16"/>
                <w:szCs w:val="16"/>
              </w:rPr>
            </w:pPr>
            <w:r w:rsidRPr="00816CC7">
              <w:rPr>
                <w:sz w:val="16"/>
                <w:szCs w:val="16"/>
              </w:rPr>
              <w:t>0.01</w:t>
            </w:r>
          </w:p>
        </w:tc>
      </w:tr>
      <w:tr w:rsidR="00B94170" w:rsidRPr="00816CC7" w14:paraId="21BB46D9" w14:textId="77777777" w:rsidTr="00315140">
        <w:trPr>
          <w:trHeight w:val="300"/>
        </w:trPr>
        <w:tc>
          <w:tcPr>
            <w:tcW w:w="1705" w:type="dxa"/>
            <w:hideMark/>
          </w:tcPr>
          <w:p w14:paraId="248389EE" w14:textId="77777777" w:rsidR="00B94170" w:rsidRPr="00816CC7" w:rsidRDefault="00B94170" w:rsidP="00816CC7">
            <w:pPr>
              <w:jc w:val="both"/>
              <w:rPr>
                <w:b/>
                <w:bCs/>
                <w:sz w:val="16"/>
                <w:szCs w:val="16"/>
              </w:rPr>
            </w:pPr>
            <w:r w:rsidRPr="00816CC7">
              <w:rPr>
                <w:b/>
                <w:bCs/>
                <w:sz w:val="16"/>
                <w:szCs w:val="16"/>
              </w:rPr>
              <w:t>Prob(Q):</w:t>
            </w:r>
          </w:p>
        </w:tc>
        <w:tc>
          <w:tcPr>
            <w:tcW w:w="3240" w:type="dxa"/>
            <w:gridSpan w:val="4"/>
            <w:hideMark/>
          </w:tcPr>
          <w:p w14:paraId="73AB5610" w14:textId="2FCB5960" w:rsidR="00B94170" w:rsidRPr="00816CC7" w:rsidRDefault="00B94170" w:rsidP="00816CC7">
            <w:pPr>
              <w:jc w:val="both"/>
              <w:rPr>
                <w:sz w:val="16"/>
                <w:szCs w:val="16"/>
              </w:rPr>
            </w:pPr>
            <w:r w:rsidRPr="00816CC7">
              <w:rPr>
                <w:sz w:val="16"/>
                <w:szCs w:val="16"/>
              </w:rPr>
              <w:t>0.92</w:t>
            </w:r>
          </w:p>
        </w:tc>
      </w:tr>
    </w:tbl>
    <w:p w14:paraId="7923BA79" w14:textId="68A868CC" w:rsidR="002E1620" w:rsidRDefault="002E1620" w:rsidP="004866F4">
      <w:pPr>
        <w:jc w:val="both"/>
      </w:pPr>
    </w:p>
    <w:p w14:paraId="57325D31" w14:textId="70F6F16A" w:rsidR="00197D39" w:rsidRDefault="009E1A7D" w:rsidP="009E1A7D">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sidR="00447833">
        <w:rPr>
          <w:lang w:val="en-US"/>
        </w:rPr>
        <w:t xml:space="preserve">Each AR terms in the model is statistically significant. </w:t>
      </w:r>
      <w:r w:rsidR="00A24463" w:rsidRPr="00A24463">
        <w:t>The residual diagnostics reveals a mean nearing zero, a normal distribution, and non</w:t>
      </w:r>
      <w:r w:rsidR="00CC0648">
        <w:rPr>
          <w:lang w:val="en-US"/>
        </w:rPr>
        <w:t>-</w:t>
      </w:r>
      <w:r w:rsidR="00A24463" w:rsidRPr="00A24463">
        <w:t>significant autocorrelations. By all indications in the study, ARIMA(2,0,0) is a good fit for the time series.</w:t>
      </w:r>
    </w:p>
    <w:p w14:paraId="7BA569AA" w14:textId="1E65637B" w:rsidR="00B925E0" w:rsidRDefault="00B925E0" w:rsidP="00B925E0">
      <w:pPr>
        <w:pStyle w:val="Heading2"/>
        <w:numPr>
          <w:ilvl w:val="0"/>
          <w:numId w:val="0"/>
        </w:numPr>
      </w:pPr>
      <w:r>
        <w:t>Bangus ITS Fitting and Evaluation</w:t>
      </w:r>
    </w:p>
    <w:p w14:paraId="4903A6E7" w14:textId="32A63928" w:rsidR="00B925E0" w:rsidRDefault="008B25BF" w:rsidP="00E87E96">
      <w:pPr>
        <w:pStyle w:val="BodyText"/>
      </w:pPr>
      <w:r>
        <w:rPr>
          <w:noProof/>
        </w:rPr>
        <w:drawing>
          <wp:anchor distT="0" distB="0" distL="114300" distR="114300" simplePos="0" relativeHeight="251674624" behindDoc="0" locked="0" layoutInCell="1" allowOverlap="1" wp14:anchorId="3A2AA4DE" wp14:editId="7B889FFD">
            <wp:simplePos x="0" y="0"/>
            <wp:positionH relativeFrom="margin">
              <wp:posOffset>3321413</wp:posOffset>
            </wp:positionH>
            <wp:positionV relativeFrom="margin">
              <wp:posOffset>3127103</wp:posOffset>
            </wp:positionV>
            <wp:extent cx="3089910" cy="17189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E87E96" w:rsidRPr="00E87E96">
        <w:t xml:space="preserve">After determining that ARIMA(2,0,0) is appropriate, the researcher modeled the counterfactual observation and the intervention point. Figure </w:t>
      </w:r>
      <w:r w:rsidR="00B82759">
        <w:rPr>
          <w:lang w:val="en-US"/>
        </w:rPr>
        <w:t>2</w:t>
      </w:r>
      <w:r w:rsidR="00E87E96" w:rsidRPr="00E87E96">
        <w:t xml:space="preserve"> shows a visualization of the ITS model.</w:t>
      </w:r>
    </w:p>
    <w:p w14:paraId="6A0E80B8" w14:textId="63C96EF8" w:rsidR="00744BB9" w:rsidRPr="00B925E0" w:rsidRDefault="00EC3C2E" w:rsidP="00E87E96">
      <w:pPr>
        <w:pStyle w:val="BodyText"/>
      </w:pPr>
      <w:r w:rsidRPr="00EC3C2E">
        <w:t xml:space="preserve">The difference between the counterfactual and the training data shows a mean of </w:t>
      </w:r>
      <w:r w:rsidR="00651A56">
        <w:rPr>
          <w:lang w:val="en-US"/>
        </w:rPr>
        <w:t>-7.87</w:t>
      </w:r>
      <w:r w:rsidRPr="00EC3C2E">
        <w:t xml:space="preserve">, a max of </w:t>
      </w:r>
      <w:r w:rsidR="00651A56">
        <w:rPr>
          <w:lang w:val="en-US"/>
        </w:rPr>
        <w:t>25.22</w:t>
      </w:r>
      <w:r w:rsidRPr="00EC3C2E">
        <w:t xml:space="preserve"> and a minimum of </w:t>
      </w:r>
      <w:r w:rsidR="00651A56">
        <w:rPr>
          <w:lang w:val="en-US"/>
        </w:rPr>
        <w:t>-80.54</w:t>
      </w:r>
      <w:r w:rsidRPr="00EC3C2E">
        <w:t>. Plotting the difference shows a change in expected prices during the months of March, April, July, and August of 2020 indicating an impact of the intervention during these months.</w:t>
      </w:r>
      <w:r w:rsidR="00027B01" w:rsidRPr="00027B01">
        <w:t xml:space="preserve"> The model itself was evaluated with RMSE showing a value of 10.79 indicating a minimal margin of error.</w:t>
      </w:r>
      <w:r w:rsidR="00027B01" w:rsidRPr="00027B01">
        <w:tab/>
      </w:r>
    </w:p>
    <w:p w14:paraId="1879D678" w14:textId="1464F19F" w:rsidR="00632268" w:rsidRDefault="00632268" w:rsidP="00632268">
      <w:pPr>
        <w:pStyle w:val="Heading2"/>
        <w:numPr>
          <w:ilvl w:val="0"/>
          <w:numId w:val="0"/>
        </w:numPr>
      </w:pPr>
      <w:r>
        <w:t>Bangus Forecasting</w:t>
      </w:r>
    </w:p>
    <w:p w14:paraId="4855D7CC" w14:textId="7F961AAE" w:rsidR="002B7400" w:rsidRDefault="00006C4B" w:rsidP="00B03BAC">
      <w:pPr>
        <w:pStyle w:val="BodyText"/>
        <w:rPr>
          <w:lang w:val="en-US"/>
        </w:rPr>
      </w:pPr>
      <w:r>
        <w:rPr>
          <w:noProof/>
        </w:rPr>
        <w:drawing>
          <wp:anchor distT="0" distB="0" distL="114300" distR="114300" simplePos="0" relativeHeight="251677696" behindDoc="0" locked="0" layoutInCell="1" allowOverlap="1" wp14:anchorId="7B11DBB5" wp14:editId="6EE3A169">
            <wp:simplePos x="0" y="0"/>
            <wp:positionH relativeFrom="margin">
              <wp:posOffset>3317965</wp:posOffset>
            </wp:positionH>
            <wp:positionV relativeFrom="margin">
              <wp:posOffset>6735445</wp:posOffset>
            </wp:positionV>
            <wp:extent cx="3089910" cy="168846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88465"/>
                    </a:xfrm>
                    <a:prstGeom prst="rect">
                      <a:avLst/>
                    </a:prstGeom>
                    <a:noFill/>
                    <a:ln>
                      <a:noFill/>
                    </a:ln>
                  </pic:spPr>
                </pic:pic>
              </a:graphicData>
            </a:graphic>
          </wp:anchor>
        </w:drawing>
      </w:r>
      <w:r w:rsidR="006B1D35">
        <w:rPr>
          <w:noProof/>
        </w:rPr>
        <mc:AlternateContent>
          <mc:Choice Requires="wps">
            <w:drawing>
              <wp:anchor distT="0" distB="0" distL="114300" distR="114300" simplePos="0" relativeHeight="251679744" behindDoc="0" locked="0" layoutInCell="1" allowOverlap="1" wp14:anchorId="0466207E" wp14:editId="28EF8D41">
                <wp:simplePos x="0" y="0"/>
                <wp:positionH relativeFrom="column">
                  <wp:posOffset>0</wp:posOffset>
                </wp:positionH>
                <wp:positionV relativeFrom="paragraph">
                  <wp:posOffset>2136775</wp:posOffset>
                </wp:positionV>
                <wp:extent cx="30899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2A9C717" w14:textId="1CB99E43" w:rsidR="006B1D35" w:rsidRPr="006B1D35" w:rsidRDefault="006B1D35" w:rsidP="006B1D35">
                            <w:pPr>
                              <w:pStyle w:val="Caption"/>
                              <w:jc w:val="left"/>
                              <w:rPr>
                                <w:i w:val="0"/>
                                <w:iCs w:val="0"/>
                                <w:noProof/>
                                <w:color w:val="auto"/>
                                <w:spacing w:val="-1"/>
                                <w:sz w:val="20"/>
                                <w:szCs w:val="20"/>
                                <w:lang w:val="x-none" w:eastAsia="x-none"/>
                              </w:rPr>
                            </w:pPr>
                            <w:r w:rsidRPr="006B1D35">
                              <w:rPr>
                                <w:i w:val="0"/>
                                <w:iCs w:val="0"/>
                                <w:color w:val="auto"/>
                              </w:rPr>
                              <w:t xml:space="preserve">Fig. 3.  </w:t>
                            </w:r>
                            <w:proofErr w:type="spellStart"/>
                            <w:r w:rsidRPr="006B1D35">
                              <w:rPr>
                                <w:i w:val="0"/>
                                <w:iCs w:val="0"/>
                                <w:color w:val="auto"/>
                              </w:rPr>
                              <w:t>Bangus</w:t>
                            </w:r>
                            <w:proofErr w:type="spellEnd"/>
                            <w:r w:rsidRPr="006B1D35">
                              <w:rPr>
                                <w:i w:val="0"/>
                                <w:iCs w:val="0"/>
                                <w:color w:val="auto"/>
                              </w:rPr>
                              <w:t xml:space="preserve"> Prevailing Prices (Forecasting)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6207E" id="Text Box 17" o:spid="_x0000_s1028" type="#_x0000_t202" style="position:absolute;left:0;text-align:left;margin-left:0;margin-top:168.25pt;width:243.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" stroked="f">
                <v:textbox style="mso-fit-shape-to-text:t" inset="0,0,0,0">
                  <w:txbxContent>
                    <w:p w14:paraId="42A9C717" w14:textId="1CB99E43" w:rsidR="006B1D35" w:rsidRPr="006B1D35" w:rsidRDefault="006B1D35" w:rsidP="006B1D35">
                      <w:pPr>
                        <w:pStyle w:val="Caption"/>
                        <w:jc w:val="left"/>
                        <w:rPr>
                          <w:i w:val="0"/>
                          <w:iCs w:val="0"/>
                          <w:noProof/>
                          <w:color w:val="auto"/>
                          <w:spacing w:val="-1"/>
                          <w:sz w:val="20"/>
                          <w:szCs w:val="20"/>
                          <w:lang w:val="x-none" w:eastAsia="x-none"/>
                        </w:rPr>
                      </w:pPr>
                      <w:r w:rsidRPr="006B1D35">
                        <w:rPr>
                          <w:i w:val="0"/>
                          <w:iCs w:val="0"/>
                          <w:color w:val="auto"/>
                        </w:rPr>
                        <w:t xml:space="preserve">Fig. 3.  </w:t>
                      </w:r>
                      <w:proofErr w:type="spellStart"/>
                      <w:r w:rsidRPr="006B1D35">
                        <w:rPr>
                          <w:i w:val="0"/>
                          <w:iCs w:val="0"/>
                          <w:color w:val="auto"/>
                        </w:rPr>
                        <w:t>Bangus</w:t>
                      </w:r>
                      <w:proofErr w:type="spellEnd"/>
                      <w:r w:rsidRPr="006B1D35">
                        <w:rPr>
                          <w:i w:val="0"/>
                          <w:iCs w:val="0"/>
                          <w:color w:val="auto"/>
                        </w:rPr>
                        <w:t xml:space="preserve"> Prevailing Prices (Forecasting)</w:t>
                      </w:r>
                    </w:p>
                  </w:txbxContent>
                </v:textbox>
                <w10:wrap type="square"/>
              </v:shape>
            </w:pict>
          </mc:Fallback>
        </mc:AlternateContent>
      </w:r>
      <w:r w:rsidR="00A5330D">
        <w:rPr>
          <w:lang w:val="en-US"/>
        </w:rPr>
        <w:t xml:space="preserve">Figure 3 displays the </w:t>
      </w:r>
      <w:proofErr w:type="spellStart"/>
      <w:r w:rsidR="00B03BAC">
        <w:rPr>
          <w:lang w:val="en-US"/>
        </w:rPr>
        <w:t>Bangus</w:t>
      </w:r>
      <w:proofErr w:type="spellEnd"/>
      <w:r w:rsidR="00B03BAC">
        <w:rPr>
          <w:lang w:val="en-US"/>
        </w:rPr>
        <w:t xml:space="preserve"> prices per kilogram from October 1, 2019 to </w:t>
      </w:r>
      <w:r w:rsidR="00A5330D">
        <w:rPr>
          <w:lang w:val="en-US"/>
        </w:rPr>
        <w:t xml:space="preserve">August 31, 2021. </w:t>
      </w:r>
    </w:p>
    <w:p w14:paraId="6A331833" w14:textId="2FD7A285" w:rsidR="002E1620" w:rsidRDefault="00A5330D" w:rsidP="00B03BAC">
      <w:pPr>
        <w:pStyle w:val="BodyText"/>
        <w:rPr>
          <w:lang w:val="en-US"/>
        </w:rPr>
      </w:pPr>
      <w:r>
        <w:rPr>
          <w:lang w:val="en-US"/>
        </w:rPr>
        <w:t xml:space="preserve">After doing the same </w:t>
      </w:r>
      <w:proofErr w:type="gramStart"/>
      <w:r>
        <w:rPr>
          <w:lang w:val="en-US"/>
        </w:rPr>
        <w:t>Box</w:t>
      </w:r>
      <w:proofErr w:type="gramEnd"/>
      <w:r>
        <w:rPr>
          <w:lang w:val="en-US"/>
        </w:rPr>
        <w:t>-Jenkins methodology for this time series</w:t>
      </w:r>
      <w:r w:rsidR="00323155">
        <w:rPr>
          <w:lang w:val="en-US"/>
        </w:rPr>
        <w:t>, it was determined that the</w:t>
      </w:r>
      <w:r w:rsidR="00D04F64">
        <w:rPr>
          <w:lang w:val="en-US"/>
        </w:rPr>
        <w:t xml:space="preserve"> ADF</w:t>
      </w:r>
      <w:r>
        <w:rPr>
          <w:lang w:val="en-US"/>
        </w:rPr>
        <w:t xml:space="preserve"> </w:t>
      </w:r>
      <w:r w:rsidR="00323155">
        <w:rPr>
          <w:lang w:val="en-US"/>
        </w:rPr>
        <w:t xml:space="preserve">p-value is more </w:t>
      </w:r>
      <w:r w:rsidR="00323155">
        <w:rPr>
          <w:lang w:val="en-US"/>
        </w:rPr>
        <w:lastRenderedPageBreak/>
        <w:t xml:space="preserve">than </w:t>
      </w:r>
      <w:r w:rsidR="002D1DAD">
        <w:rPr>
          <w:lang w:val="en-US"/>
        </w:rPr>
        <w:t>0.05</w:t>
      </w:r>
      <w:r w:rsidR="00D04F64">
        <w:rPr>
          <w:lang w:val="en-US"/>
        </w:rPr>
        <w:t xml:space="preserve"> revealing that the time series is </w:t>
      </w:r>
      <w:r w:rsidR="00204455">
        <w:rPr>
          <w:lang w:val="en-US"/>
        </w:rPr>
        <w:t>non-</w:t>
      </w:r>
      <w:r w:rsidR="00D04F64">
        <w:rPr>
          <w:lang w:val="en-US"/>
        </w:rPr>
        <w:t xml:space="preserve">stationary. </w:t>
      </w:r>
      <w:r w:rsidR="005B1AA4">
        <w:rPr>
          <w:lang w:val="en-US"/>
        </w:rPr>
        <w:t xml:space="preserve">After differencing by an order of one and conducting another ADF test, the time series was determined to be stationary indicating that the order of differencing </w:t>
      </w:r>
      <w:r w:rsidR="005B1AA4" w:rsidRPr="005B1AA4">
        <w:rPr>
          <w:b/>
          <w:bCs/>
          <w:lang w:val="en-US"/>
        </w:rPr>
        <w:t>d</w:t>
      </w:r>
      <w:r w:rsidR="005B1AA4">
        <w:rPr>
          <w:lang w:val="en-US"/>
        </w:rPr>
        <w:t xml:space="preserve"> for </w:t>
      </w:r>
      <w:r w:rsidR="007108EE">
        <w:rPr>
          <w:lang w:val="en-US"/>
        </w:rPr>
        <w:t>the model was one</w:t>
      </w:r>
      <w:r w:rsidR="008D5493">
        <w:rPr>
          <w:lang w:val="en-US"/>
        </w:rPr>
        <w:t xml:space="preserve">. </w:t>
      </w:r>
      <w:r w:rsidR="00754DB8">
        <w:rPr>
          <w:lang w:val="en-US"/>
        </w:rPr>
        <w:t>After plotting the ACF and the PACF of the differenced time series, it displayed a sharp cut-off on the ACF plot at lag-</w:t>
      </w:r>
      <w:r w:rsidR="00A0646C">
        <w:rPr>
          <w:lang w:val="en-US"/>
        </w:rPr>
        <w:t>1</w:t>
      </w:r>
      <w:r w:rsidR="00754DB8">
        <w:rPr>
          <w:lang w:val="en-US"/>
        </w:rPr>
        <w:t xml:space="preserve"> concluding that the ARIMA model would need </w:t>
      </w:r>
      <w:r w:rsidR="00A0646C">
        <w:rPr>
          <w:lang w:val="en-US"/>
        </w:rPr>
        <w:t>1</w:t>
      </w:r>
      <w:r w:rsidR="00754DB8">
        <w:rPr>
          <w:lang w:val="en-US"/>
        </w:rPr>
        <w:t xml:space="preserve"> MA terms</w:t>
      </w:r>
      <w:r w:rsidR="00635C8B">
        <w:rPr>
          <w:lang w:val="en-US"/>
        </w:rPr>
        <w:t>. Table 5 reveals the summary of the ARIMA after fitting</w:t>
      </w:r>
      <w:r w:rsidR="00453FA8">
        <w:rPr>
          <w:lang w:val="en-US"/>
        </w:rPr>
        <w:t>.</w:t>
      </w:r>
    </w:p>
    <w:p w14:paraId="6E1A9ACC" w14:textId="56A6B4EF" w:rsidR="00CE3185" w:rsidRPr="008F0A6C" w:rsidRDefault="008F0A6C" w:rsidP="00B03BAC">
      <w:pPr>
        <w:pStyle w:val="tablehead"/>
      </w:pPr>
      <w:r>
        <w:t>ARIMA Fitting summary of bangus Forecasting</w:t>
      </w:r>
    </w:p>
    <w:tbl>
      <w:tblPr>
        <w:tblStyle w:val="TableGrid"/>
        <w:tblW w:w="4945" w:type="dxa"/>
        <w:tblLayout w:type="fixed"/>
        <w:tblLook w:val="04A0" w:firstRow="1" w:lastRow="0" w:firstColumn="1" w:lastColumn="0" w:noHBand="0" w:noVBand="1"/>
      </w:tblPr>
      <w:tblGrid>
        <w:gridCol w:w="1615"/>
        <w:gridCol w:w="990"/>
        <w:gridCol w:w="900"/>
        <w:gridCol w:w="810"/>
        <w:gridCol w:w="630"/>
      </w:tblGrid>
      <w:tr w:rsidR="00EF54C2" w:rsidRPr="00816CC7" w14:paraId="3658EE13" w14:textId="77777777" w:rsidTr="00EF54C2">
        <w:trPr>
          <w:trHeight w:val="300"/>
        </w:trPr>
        <w:tc>
          <w:tcPr>
            <w:tcW w:w="1615" w:type="dxa"/>
            <w:noWrap/>
            <w:hideMark/>
          </w:tcPr>
          <w:p w14:paraId="346BFE2E" w14:textId="77777777" w:rsidR="00A467CB" w:rsidRPr="00816CC7" w:rsidRDefault="00A467CB" w:rsidP="007D1348">
            <w:pPr>
              <w:jc w:val="both"/>
              <w:rPr>
                <w:sz w:val="16"/>
                <w:szCs w:val="16"/>
              </w:rPr>
            </w:pPr>
          </w:p>
        </w:tc>
        <w:tc>
          <w:tcPr>
            <w:tcW w:w="990" w:type="dxa"/>
            <w:hideMark/>
          </w:tcPr>
          <w:p w14:paraId="2E030C7E" w14:textId="77777777" w:rsidR="00A467CB" w:rsidRPr="00816CC7" w:rsidRDefault="00A467CB" w:rsidP="007D1348">
            <w:pPr>
              <w:jc w:val="both"/>
              <w:rPr>
                <w:b/>
                <w:bCs/>
                <w:sz w:val="16"/>
                <w:szCs w:val="16"/>
              </w:rPr>
            </w:pPr>
            <w:r w:rsidRPr="00816CC7">
              <w:rPr>
                <w:b/>
                <w:bCs/>
                <w:sz w:val="16"/>
                <w:szCs w:val="16"/>
              </w:rPr>
              <w:t>coef</w:t>
            </w:r>
            <w:r>
              <w:rPr>
                <w:b/>
                <w:bCs/>
                <w:sz w:val="16"/>
                <w:szCs w:val="16"/>
              </w:rPr>
              <w:t>ficient</w:t>
            </w:r>
          </w:p>
        </w:tc>
        <w:tc>
          <w:tcPr>
            <w:tcW w:w="900" w:type="dxa"/>
            <w:hideMark/>
          </w:tcPr>
          <w:p w14:paraId="46031930" w14:textId="77777777" w:rsidR="00A467CB" w:rsidRPr="00816CC7" w:rsidRDefault="00A467CB" w:rsidP="007D1348">
            <w:pPr>
              <w:jc w:val="both"/>
              <w:rPr>
                <w:b/>
                <w:bCs/>
                <w:sz w:val="16"/>
                <w:szCs w:val="16"/>
              </w:rPr>
            </w:pPr>
            <w:r w:rsidRPr="00816CC7">
              <w:rPr>
                <w:b/>
                <w:bCs/>
                <w:sz w:val="16"/>
                <w:szCs w:val="16"/>
              </w:rPr>
              <w:t>st</w:t>
            </w:r>
            <w:r>
              <w:rPr>
                <w:b/>
                <w:bCs/>
                <w:sz w:val="16"/>
                <w:szCs w:val="16"/>
              </w:rPr>
              <w:t>d. error</w:t>
            </w:r>
          </w:p>
        </w:tc>
        <w:tc>
          <w:tcPr>
            <w:tcW w:w="810" w:type="dxa"/>
            <w:hideMark/>
          </w:tcPr>
          <w:p w14:paraId="7FEA10FD" w14:textId="77777777" w:rsidR="00A467CB" w:rsidRPr="00816CC7" w:rsidRDefault="00A467CB" w:rsidP="007D1348">
            <w:pPr>
              <w:jc w:val="both"/>
              <w:rPr>
                <w:b/>
                <w:bCs/>
                <w:sz w:val="16"/>
                <w:szCs w:val="16"/>
              </w:rPr>
            </w:pPr>
            <w:r w:rsidRPr="00816CC7">
              <w:rPr>
                <w:b/>
                <w:bCs/>
                <w:sz w:val="16"/>
                <w:szCs w:val="16"/>
              </w:rPr>
              <w:t>z</w:t>
            </w:r>
            <w:r>
              <w:rPr>
                <w:b/>
                <w:bCs/>
                <w:sz w:val="16"/>
                <w:szCs w:val="16"/>
              </w:rPr>
              <w:t>-value</w:t>
            </w:r>
          </w:p>
        </w:tc>
        <w:tc>
          <w:tcPr>
            <w:tcW w:w="630" w:type="dxa"/>
            <w:hideMark/>
          </w:tcPr>
          <w:p w14:paraId="519AAFD9" w14:textId="77777777" w:rsidR="00A467CB" w:rsidRPr="00816CC7" w:rsidRDefault="00A467CB" w:rsidP="007D1348">
            <w:pPr>
              <w:jc w:val="both"/>
              <w:rPr>
                <w:b/>
                <w:bCs/>
                <w:sz w:val="16"/>
                <w:szCs w:val="16"/>
              </w:rPr>
            </w:pPr>
            <w:r w:rsidRPr="00816CC7">
              <w:rPr>
                <w:b/>
                <w:bCs/>
                <w:sz w:val="16"/>
                <w:szCs w:val="16"/>
              </w:rPr>
              <w:t>P&gt;|z|</w:t>
            </w:r>
          </w:p>
        </w:tc>
      </w:tr>
      <w:tr w:rsidR="00EF54C2" w:rsidRPr="00816CC7" w14:paraId="49565AA1" w14:textId="77777777" w:rsidTr="00EF54C2">
        <w:trPr>
          <w:trHeight w:val="300"/>
        </w:trPr>
        <w:tc>
          <w:tcPr>
            <w:tcW w:w="1615" w:type="dxa"/>
            <w:hideMark/>
          </w:tcPr>
          <w:p w14:paraId="0CB22B5E" w14:textId="24C803CC" w:rsidR="00A467CB" w:rsidRPr="00A467CB" w:rsidRDefault="00A467CB" w:rsidP="00A467CB">
            <w:pPr>
              <w:jc w:val="both"/>
              <w:rPr>
                <w:b/>
                <w:bCs/>
                <w:sz w:val="16"/>
                <w:szCs w:val="16"/>
              </w:rPr>
            </w:pPr>
            <w:proofErr w:type="gramStart"/>
            <w:r w:rsidRPr="00A467CB">
              <w:rPr>
                <w:b/>
                <w:bCs/>
                <w:sz w:val="16"/>
                <w:szCs w:val="16"/>
              </w:rPr>
              <w:t>ma.L</w:t>
            </w:r>
            <w:proofErr w:type="gramEnd"/>
            <w:r w:rsidRPr="00A467CB">
              <w:rPr>
                <w:b/>
                <w:bCs/>
                <w:sz w:val="16"/>
                <w:szCs w:val="16"/>
              </w:rPr>
              <w:t>1</w:t>
            </w:r>
          </w:p>
        </w:tc>
        <w:tc>
          <w:tcPr>
            <w:tcW w:w="990" w:type="dxa"/>
            <w:hideMark/>
          </w:tcPr>
          <w:p w14:paraId="2A366E2C" w14:textId="306BA05F" w:rsidR="00A467CB" w:rsidRPr="00A467CB" w:rsidRDefault="00A467CB" w:rsidP="00A467CB">
            <w:pPr>
              <w:jc w:val="both"/>
              <w:rPr>
                <w:sz w:val="16"/>
                <w:szCs w:val="16"/>
              </w:rPr>
            </w:pPr>
            <w:r w:rsidRPr="00A467CB">
              <w:rPr>
                <w:sz w:val="16"/>
                <w:szCs w:val="16"/>
              </w:rPr>
              <w:t>-0.4841</w:t>
            </w:r>
          </w:p>
        </w:tc>
        <w:tc>
          <w:tcPr>
            <w:tcW w:w="900" w:type="dxa"/>
            <w:hideMark/>
          </w:tcPr>
          <w:p w14:paraId="052D4A3B" w14:textId="4E5DDFD7" w:rsidR="00A467CB" w:rsidRPr="00A467CB" w:rsidRDefault="00A467CB" w:rsidP="00A467CB">
            <w:pPr>
              <w:jc w:val="both"/>
              <w:rPr>
                <w:sz w:val="16"/>
                <w:szCs w:val="16"/>
              </w:rPr>
            </w:pPr>
            <w:r w:rsidRPr="00A467CB">
              <w:rPr>
                <w:sz w:val="16"/>
                <w:szCs w:val="16"/>
              </w:rPr>
              <w:t>0.009</w:t>
            </w:r>
          </w:p>
        </w:tc>
        <w:tc>
          <w:tcPr>
            <w:tcW w:w="810" w:type="dxa"/>
            <w:hideMark/>
          </w:tcPr>
          <w:p w14:paraId="35856E69" w14:textId="5FF1EAA8" w:rsidR="00A467CB" w:rsidRPr="00A467CB" w:rsidRDefault="00A467CB" w:rsidP="00A467CB">
            <w:pPr>
              <w:jc w:val="both"/>
              <w:rPr>
                <w:sz w:val="16"/>
                <w:szCs w:val="16"/>
              </w:rPr>
            </w:pPr>
            <w:r w:rsidRPr="00A467CB">
              <w:rPr>
                <w:sz w:val="16"/>
                <w:szCs w:val="16"/>
              </w:rPr>
              <w:t>-51.018</w:t>
            </w:r>
          </w:p>
        </w:tc>
        <w:tc>
          <w:tcPr>
            <w:tcW w:w="630" w:type="dxa"/>
            <w:hideMark/>
          </w:tcPr>
          <w:p w14:paraId="5AE975BB" w14:textId="228C7091" w:rsidR="00A467CB" w:rsidRPr="00A467CB" w:rsidRDefault="00A467CB" w:rsidP="00A467CB">
            <w:pPr>
              <w:jc w:val="both"/>
              <w:rPr>
                <w:sz w:val="16"/>
                <w:szCs w:val="16"/>
              </w:rPr>
            </w:pPr>
            <w:r w:rsidRPr="00A467CB">
              <w:rPr>
                <w:sz w:val="16"/>
                <w:szCs w:val="16"/>
              </w:rPr>
              <w:t>0</w:t>
            </w:r>
          </w:p>
        </w:tc>
      </w:tr>
      <w:tr w:rsidR="00EF54C2" w:rsidRPr="00816CC7" w14:paraId="02A8A2B4" w14:textId="77777777" w:rsidTr="00EF54C2">
        <w:trPr>
          <w:trHeight w:val="300"/>
        </w:trPr>
        <w:tc>
          <w:tcPr>
            <w:tcW w:w="1615" w:type="dxa"/>
            <w:hideMark/>
          </w:tcPr>
          <w:p w14:paraId="10DFA836" w14:textId="74D08DD3" w:rsidR="00A467CB" w:rsidRPr="00A467CB" w:rsidRDefault="00A467CB" w:rsidP="00A467CB">
            <w:pPr>
              <w:jc w:val="both"/>
              <w:rPr>
                <w:b/>
                <w:bCs/>
                <w:sz w:val="16"/>
                <w:szCs w:val="16"/>
              </w:rPr>
            </w:pPr>
            <w:r w:rsidRPr="00A467CB">
              <w:rPr>
                <w:b/>
                <w:bCs/>
                <w:sz w:val="16"/>
                <w:szCs w:val="16"/>
              </w:rPr>
              <w:t>sigma2</w:t>
            </w:r>
          </w:p>
        </w:tc>
        <w:tc>
          <w:tcPr>
            <w:tcW w:w="990" w:type="dxa"/>
            <w:hideMark/>
          </w:tcPr>
          <w:p w14:paraId="6F44CB4C" w14:textId="7B2ABB3A" w:rsidR="00A467CB" w:rsidRPr="00A467CB" w:rsidRDefault="00A467CB" w:rsidP="00A467CB">
            <w:pPr>
              <w:jc w:val="both"/>
              <w:rPr>
                <w:sz w:val="16"/>
                <w:szCs w:val="16"/>
              </w:rPr>
            </w:pPr>
            <w:r w:rsidRPr="00A467CB">
              <w:rPr>
                <w:sz w:val="16"/>
                <w:szCs w:val="16"/>
              </w:rPr>
              <w:t>98.1168</w:t>
            </w:r>
          </w:p>
        </w:tc>
        <w:tc>
          <w:tcPr>
            <w:tcW w:w="900" w:type="dxa"/>
            <w:hideMark/>
          </w:tcPr>
          <w:p w14:paraId="3D381ED7" w14:textId="6CC6D29C" w:rsidR="00A467CB" w:rsidRPr="00A467CB" w:rsidRDefault="00A467CB" w:rsidP="00A467CB">
            <w:pPr>
              <w:jc w:val="both"/>
              <w:rPr>
                <w:sz w:val="16"/>
                <w:szCs w:val="16"/>
              </w:rPr>
            </w:pPr>
            <w:r w:rsidRPr="00A467CB">
              <w:rPr>
                <w:sz w:val="16"/>
                <w:szCs w:val="16"/>
              </w:rPr>
              <w:t>1.49</w:t>
            </w:r>
          </w:p>
        </w:tc>
        <w:tc>
          <w:tcPr>
            <w:tcW w:w="810" w:type="dxa"/>
            <w:hideMark/>
          </w:tcPr>
          <w:p w14:paraId="2D03FE3D" w14:textId="3A829F4D" w:rsidR="00A467CB" w:rsidRPr="00A467CB" w:rsidRDefault="00A467CB" w:rsidP="00A467CB">
            <w:pPr>
              <w:jc w:val="both"/>
              <w:rPr>
                <w:sz w:val="16"/>
                <w:szCs w:val="16"/>
              </w:rPr>
            </w:pPr>
            <w:r w:rsidRPr="00A467CB">
              <w:rPr>
                <w:sz w:val="16"/>
                <w:szCs w:val="16"/>
              </w:rPr>
              <w:t>65.833</w:t>
            </w:r>
          </w:p>
        </w:tc>
        <w:tc>
          <w:tcPr>
            <w:tcW w:w="630" w:type="dxa"/>
            <w:hideMark/>
          </w:tcPr>
          <w:p w14:paraId="0D3D45BA" w14:textId="117DF8D1" w:rsidR="00A467CB" w:rsidRPr="00A467CB" w:rsidRDefault="00A467CB" w:rsidP="00A467CB">
            <w:pPr>
              <w:jc w:val="both"/>
              <w:rPr>
                <w:sz w:val="16"/>
                <w:szCs w:val="16"/>
              </w:rPr>
            </w:pPr>
            <w:r w:rsidRPr="00A467CB">
              <w:rPr>
                <w:sz w:val="16"/>
                <w:szCs w:val="16"/>
              </w:rPr>
              <w:t>0</w:t>
            </w:r>
          </w:p>
        </w:tc>
      </w:tr>
      <w:tr w:rsidR="00A467CB" w:rsidRPr="00816CC7" w14:paraId="0ADF78E4" w14:textId="77777777" w:rsidTr="00EF54C2">
        <w:trPr>
          <w:trHeight w:val="300"/>
        </w:trPr>
        <w:tc>
          <w:tcPr>
            <w:tcW w:w="4945" w:type="dxa"/>
            <w:gridSpan w:val="5"/>
          </w:tcPr>
          <w:p w14:paraId="5F5CEC3B" w14:textId="28BF27AB" w:rsidR="00A467CB" w:rsidRPr="00816CC7" w:rsidRDefault="00A467CB" w:rsidP="007D1348">
            <w:pPr>
              <w:jc w:val="both"/>
              <w:rPr>
                <w:sz w:val="16"/>
                <w:szCs w:val="16"/>
              </w:rPr>
            </w:pPr>
          </w:p>
        </w:tc>
      </w:tr>
      <w:tr w:rsidR="00A467CB" w:rsidRPr="00816CC7" w14:paraId="45A535C9" w14:textId="77777777" w:rsidTr="00EF54C2">
        <w:trPr>
          <w:trHeight w:val="300"/>
        </w:trPr>
        <w:tc>
          <w:tcPr>
            <w:tcW w:w="1615" w:type="dxa"/>
          </w:tcPr>
          <w:p w14:paraId="3A2D740F" w14:textId="1D85BDD9" w:rsidR="00A467CB" w:rsidRPr="00A467CB" w:rsidRDefault="00A467CB" w:rsidP="00A467CB">
            <w:pPr>
              <w:jc w:val="both"/>
              <w:rPr>
                <w:b/>
                <w:bCs/>
                <w:sz w:val="16"/>
                <w:szCs w:val="16"/>
              </w:rPr>
            </w:pPr>
            <w:proofErr w:type="spellStart"/>
            <w:r w:rsidRPr="00A467CB">
              <w:rPr>
                <w:b/>
                <w:bCs/>
                <w:sz w:val="16"/>
                <w:szCs w:val="16"/>
              </w:rPr>
              <w:t>Ljung</w:t>
            </w:r>
            <w:proofErr w:type="spellEnd"/>
            <w:r w:rsidRPr="00A467CB">
              <w:rPr>
                <w:b/>
                <w:bCs/>
                <w:sz w:val="16"/>
                <w:szCs w:val="16"/>
              </w:rPr>
              <w:t>-Box (L1) (Q):</w:t>
            </w:r>
          </w:p>
        </w:tc>
        <w:tc>
          <w:tcPr>
            <w:tcW w:w="3330" w:type="dxa"/>
            <w:gridSpan w:val="4"/>
          </w:tcPr>
          <w:p w14:paraId="63F4E940" w14:textId="14D7911F" w:rsidR="00A467CB" w:rsidRPr="00816CC7" w:rsidRDefault="00A467CB" w:rsidP="00A467CB">
            <w:pPr>
              <w:jc w:val="both"/>
              <w:rPr>
                <w:sz w:val="16"/>
                <w:szCs w:val="16"/>
              </w:rPr>
            </w:pPr>
            <w:r w:rsidRPr="00A467CB">
              <w:rPr>
                <w:sz w:val="16"/>
                <w:szCs w:val="16"/>
              </w:rPr>
              <w:t>3.26</w:t>
            </w:r>
          </w:p>
        </w:tc>
      </w:tr>
      <w:tr w:rsidR="00A467CB" w:rsidRPr="00816CC7" w14:paraId="0A43D7B0" w14:textId="4A4597BD" w:rsidTr="00EF54C2">
        <w:trPr>
          <w:trHeight w:val="300"/>
        </w:trPr>
        <w:tc>
          <w:tcPr>
            <w:tcW w:w="1615" w:type="dxa"/>
            <w:noWrap/>
            <w:hideMark/>
          </w:tcPr>
          <w:p w14:paraId="6E0D2B52" w14:textId="214BC3C0" w:rsidR="00A467CB" w:rsidRPr="00A467CB" w:rsidRDefault="00A467CB" w:rsidP="00A467CB">
            <w:pPr>
              <w:jc w:val="both"/>
              <w:rPr>
                <w:b/>
                <w:bCs/>
                <w:sz w:val="16"/>
                <w:szCs w:val="16"/>
              </w:rPr>
            </w:pPr>
            <w:r w:rsidRPr="00A467CB">
              <w:rPr>
                <w:b/>
                <w:bCs/>
                <w:sz w:val="16"/>
                <w:szCs w:val="16"/>
              </w:rPr>
              <w:t>Prob(Q):</w:t>
            </w:r>
          </w:p>
        </w:tc>
        <w:tc>
          <w:tcPr>
            <w:tcW w:w="3330" w:type="dxa"/>
            <w:gridSpan w:val="4"/>
          </w:tcPr>
          <w:p w14:paraId="6ADB1A4E" w14:textId="719ED920" w:rsidR="00A467CB" w:rsidRPr="00816CC7" w:rsidRDefault="00A467CB" w:rsidP="00A467CB">
            <w:pPr>
              <w:jc w:val="both"/>
              <w:rPr>
                <w:sz w:val="16"/>
                <w:szCs w:val="16"/>
              </w:rPr>
            </w:pPr>
            <w:r w:rsidRPr="00A467CB">
              <w:rPr>
                <w:sz w:val="16"/>
                <w:szCs w:val="16"/>
              </w:rPr>
              <w:t>0.07</w:t>
            </w:r>
          </w:p>
        </w:tc>
      </w:tr>
    </w:tbl>
    <w:p w14:paraId="5829C6CF" w14:textId="085C2CD8" w:rsidR="00872B56" w:rsidRDefault="00872B56" w:rsidP="00872B56">
      <w:pPr>
        <w:pStyle w:val="BodyText"/>
      </w:pPr>
    </w:p>
    <w:p w14:paraId="1F673F4A" w14:textId="324E1F00" w:rsidR="00872B56" w:rsidRDefault="00872B56" w:rsidP="00872B56">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sidR="006D6C1B">
        <w:rPr>
          <w:lang w:val="en-US"/>
        </w:rPr>
        <w:t>The MA</w:t>
      </w:r>
      <w:r>
        <w:rPr>
          <w:lang w:val="en-US"/>
        </w:rPr>
        <w:t xml:space="preserve"> term in the model is statistically significant. </w:t>
      </w:r>
      <w:r w:rsidRPr="00A24463">
        <w:t>The residual diagnostics reveals a mean nearing zero, a normal distribution, and non</w:t>
      </w:r>
      <w:r>
        <w:rPr>
          <w:lang w:val="en-US"/>
        </w:rPr>
        <w:t>-</w:t>
      </w:r>
      <w:r w:rsidRPr="00A24463">
        <w:t>significant autocorrelations. By all indications in the study, ARIMA(</w:t>
      </w:r>
      <w:r w:rsidR="00511335">
        <w:rPr>
          <w:lang w:val="en-US"/>
        </w:rPr>
        <w:t>0</w:t>
      </w:r>
      <w:r w:rsidRPr="00A24463">
        <w:t>,</w:t>
      </w:r>
      <w:r w:rsidR="00511335">
        <w:rPr>
          <w:lang w:val="en-US"/>
        </w:rPr>
        <w:t>1</w:t>
      </w:r>
      <w:r w:rsidRPr="00A24463">
        <w:t>,</w:t>
      </w:r>
      <w:r w:rsidR="00511335">
        <w:rPr>
          <w:lang w:val="en-US"/>
        </w:rPr>
        <w:t>1</w:t>
      </w:r>
      <w:r w:rsidRPr="00A24463">
        <w:t>) is a good fit for the time series.</w:t>
      </w:r>
    </w:p>
    <w:p w14:paraId="1E1A101B" w14:textId="24DD8B9C" w:rsidR="00697229" w:rsidRDefault="00697229" w:rsidP="00697229">
      <w:pPr>
        <w:pStyle w:val="Heading2"/>
        <w:numPr>
          <w:ilvl w:val="0"/>
          <w:numId w:val="0"/>
        </w:numPr>
      </w:pPr>
      <w:r>
        <w:t>Bangus Forecast Fitting and Evaluation</w:t>
      </w:r>
    </w:p>
    <w:p w14:paraId="3F1DE3AE" w14:textId="20B24E75" w:rsidR="00D5678B" w:rsidRDefault="005634D1" w:rsidP="00715D9D">
      <w:pPr>
        <w:pStyle w:val="BodyText"/>
        <w:rPr>
          <w:lang w:val="en-US"/>
        </w:rPr>
      </w:pPr>
      <w:r>
        <w:rPr>
          <w:noProof/>
        </w:rPr>
        <w:drawing>
          <wp:anchor distT="0" distB="0" distL="114300" distR="114300" simplePos="0" relativeHeight="251680768" behindDoc="0" locked="0" layoutInCell="1" allowOverlap="1" wp14:anchorId="48A94981" wp14:editId="42282A62">
            <wp:simplePos x="0" y="0"/>
            <wp:positionH relativeFrom="margin">
              <wp:posOffset>0</wp:posOffset>
            </wp:positionH>
            <wp:positionV relativeFrom="margin">
              <wp:posOffset>4697730</wp:posOffset>
            </wp:positionV>
            <wp:extent cx="3089910" cy="16363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636395"/>
                    </a:xfrm>
                    <a:prstGeom prst="rect">
                      <a:avLst/>
                    </a:prstGeom>
                    <a:noFill/>
                    <a:ln>
                      <a:noFill/>
                    </a:ln>
                  </pic:spPr>
                </pic:pic>
              </a:graphicData>
            </a:graphic>
          </wp:anchor>
        </w:drawing>
      </w:r>
      <w:r w:rsidR="00E753D4">
        <w:rPr>
          <w:noProof/>
        </w:rPr>
        <mc:AlternateContent>
          <mc:Choice Requires="wps">
            <w:drawing>
              <wp:anchor distT="0" distB="0" distL="114300" distR="114300" simplePos="0" relativeHeight="251682816" behindDoc="0" locked="0" layoutInCell="1" allowOverlap="1" wp14:anchorId="1AAAE28C" wp14:editId="5A0C2567">
                <wp:simplePos x="0" y="0"/>
                <wp:positionH relativeFrom="column">
                  <wp:posOffset>0</wp:posOffset>
                </wp:positionH>
                <wp:positionV relativeFrom="paragraph">
                  <wp:posOffset>2324735</wp:posOffset>
                </wp:positionV>
                <wp:extent cx="30899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3E83E25" w14:textId="396B127D" w:rsidR="00E753D4" w:rsidRPr="00E753D4" w:rsidRDefault="00E753D4" w:rsidP="00E753D4">
                            <w:pPr>
                              <w:pStyle w:val="Caption"/>
                              <w:jc w:val="left"/>
                              <w:rPr>
                                <w:i w:val="0"/>
                                <w:iCs w:val="0"/>
                                <w:noProof/>
                                <w:color w:val="auto"/>
                                <w:spacing w:val="-1"/>
                                <w:lang w:val="x-none" w:eastAsia="x-none"/>
                              </w:rPr>
                            </w:pPr>
                            <w:r w:rsidRPr="00E753D4">
                              <w:rPr>
                                <w:i w:val="0"/>
                                <w:iCs w:val="0"/>
                                <w:color w:val="auto"/>
                                <w:sz w:val="16"/>
                                <w:szCs w:val="16"/>
                              </w:rPr>
                              <w:t xml:space="preserve">Fig. 4. </w:t>
                            </w:r>
                            <w:proofErr w:type="spellStart"/>
                            <w:r w:rsidRPr="00E753D4">
                              <w:rPr>
                                <w:i w:val="0"/>
                                <w:iCs w:val="0"/>
                                <w:color w:val="auto"/>
                                <w:sz w:val="16"/>
                                <w:szCs w:val="16"/>
                              </w:rPr>
                              <w:t>Bangus</w:t>
                            </w:r>
                            <w:proofErr w:type="spellEnd"/>
                            <w:r w:rsidRPr="00E753D4">
                              <w:rPr>
                                <w:i w:val="0"/>
                                <w:iCs w:val="0"/>
                                <w:color w:val="auto"/>
                                <w:sz w:val="16"/>
                                <w:szCs w:val="16"/>
                              </w:rPr>
                              <w:t xml:space="preserve"> Forecasting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E28C" id="Text Box 4" o:spid="_x0000_s1029" type="#_x0000_t202" style="position:absolute;left:0;text-align:left;margin-left:0;margin-top:183.05pt;width:243.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" stroked="f">
                <v:textbox style="mso-fit-shape-to-text:t" inset="0,0,0,0">
                  <w:txbxContent>
                    <w:p w14:paraId="23E83E25" w14:textId="396B127D" w:rsidR="00E753D4" w:rsidRPr="00E753D4" w:rsidRDefault="00E753D4" w:rsidP="00E753D4">
                      <w:pPr>
                        <w:pStyle w:val="Caption"/>
                        <w:jc w:val="left"/>
                        <w:rPr>
                          <w:i w:val="0"/>
                          <w:iCs w:val="0"/>
                          <w:noProof/>
                          <w:color w:val="auto"/>
                          <w:spacing w:val="-1"/>
                          <w:lang w:val="x-none" w:eastAsia="x-none"/>
                        </w:rPr>
                      </w:pPr>
                      <w:r w:rsidRPr="00E753D4">
                        <w:rPr>
                          <w:i w:val="0"/>
                          <w:iCs w:val="0"/>
                          <w:color w:val="auto"/>
                          <w:sz w:val="16"/>
                          <w:szCs w:val="16"/>
                        </w:rPr>
                        <w:t xml:space="preserve">Fig. 4. </w:t>
                      </w:r>
                      <w:proofErr w:type="spellStart"/>
                      <w:r w:rsidRPr="00E753D4">
                        <w:rPr>
                          <w:i w:val="0"/>
                          <w:iCs w:val="0"/>
                          <w:color w:val="auto"/>
                          <w:sz w:val="16"/>
                          <w:szCs w:val="16"/>
                        </w:rPr>
                        <w:t>Bangus</w:t>
                      </w:r>
                      <w:proofErr w:type="spellEnd"/>
                      <w:r w:rsidRPr="00E753D4">
                        <w:rPr>
                          <w:i w:val="0"/>
                          <w:iCs w:val="0"/>
                          <w:color w:val="auto"/>
                          <w:sz w:val="16"/>
                          <w:szCs w:val="16"/>
                        </w:rPr>
                        <w:t xml:space="preserve"> Forecasting Visualization</w:t>
                      </w:r>
                    </w:p>
                  </w:txbxContent>
                </v:textbox>
                <w10:wrap type="square"/>
              </v:shape>
            </w:pict>
          </mc:Fallback>
        </mc:AlternateContent>
      </w:r>
      <w:r w:rsidR="00571B32">
        <w:rPr>
          <w:lang w:val="en-US"/>
        </w:rPr>
        <w:t xml:space="preserve">After determining that the </w:t>
      </w:r>
      <w:proofErr w:type="gramStart"/>
      <w:r w:rsidR="00571B32">
        <w:rPr>
          <w:lang w:val="en-US"/>
        </w:rPr>
        <w:t>ARIMA(</w:t>
      </w:r>
      <w:proofErr w:type="gramEnd"/>
      <w:r w:rsidR="00571B32">
        <w:rPr>
          <w:lang w:val="en-US"/>
        </w:rPr>
        <w:t>0,1,1) is a goo</w:t>
      </w:r>
      <w:r w:rsidR="00FD6C54">
        <w:rPr>
          <w:lang w:val="en-US"/>
        </w:rPr>
        <w:t>d</w:t>
      </w:r>
      <w:r w:rsidR="00571B32">
        <w:rPr>
          <w:lang w:val="en-US"/>
        </w:rPr>
        <w:t xml:space="preserve"> fit for the time series, the researcher fitted the model and forecasted the prices until January 2</w:t>
      </w:r>
      <w:r w:rsidR="00FD6C54">
        <w:rPr>
          <w:lang w:val="en-US"/>
        </w:rPr>
        <w:t>4</w:t>
      </w:r>
      <w:r w:rsidR="00571B32">
        <w:rPr>
          <w:lang w:val="en-US"/>
        </w:rPr>
        <w:t>, 2022</w:t>
      </w:r>
      <w:r w:rsidR="00FD6C54">
        <w:rPr>
          <w:lang w:val="en-US"/>
        </w:rPr>
        <w:t>.</w:t>
      </w:r>
      <w:r w:rsidR="00715D9D">
        <w:rPr>
          <w:lang w:val="en-US"/>
        </w:rPr>
        <w:t xml:space="preserve"> Figure 4 shows a visualization of the forecasting</w:t>
      </w:r>
      <w:r w:rsidR="000E0EEA">
        <w:rPr>
          <w:lang w:val="en-US"/>
        </w:rPr>
        <w:t>.</w:t>
      </w:r>
    </w:p>
    <w:p w14:paraId="3DD579AF" w14:textId="6E00600F" w:rsidR="002F4BB9" w:rsidRPr="00C458FF" w:rsidRDefault="002F4BB9" w:rsidP="002F4BB9">
      <w:pPr>
        <w:pStyle w:val="Heading2"/>
        <w:numPr>
          <w:ilvl w:val="0"/>
          <w:numId w:val="0"/>
        </w:numPr>
      </w:pPr>
      <w:r>
        <w:t>Tilapia ITS Analysis</w:t>
      </w:r>
    </w:p>
    <w:p w14:paraId="65A646AB" w14:textId="32997A0C" w:rsidR="00DC0C9D" w:rsidRDefault="002B77E0" w:rsidP="00715D9D">
      <w:pPr>
        <w:pStyle w:val="BodyText"/>
        <w:rPr>
          <w:lang w:val="en-US"/>
        </w:rPr>
      </w:pPr>
      <w:r>
        <w:rPr>
          <w:noProof/>
        </w:rPr>
        <mc:AlternateContent>
          <mc:Choice Requires="wps">
            <w:drawing>
              <wp:anchor distT="0" distB="0" distL="114300" distR="114300" simplePos="0" relativeHeight="251685888" behindDoc="0" locked="0" layoutInCell="1" allowOverlap="1" wp14:anchorId="49F6ACBC" wp14:editId="0C406B05">
                <wp:simplePos x="0" y="0"/>
                <wp:positionH relativeFrom="column">
                  <wp:posOffset>5715</wp:posOffset>
                </wp:positionH>
                <wp:positionV relativeFrom="paragraph">
                  <wp:posOffset>2151743</wp:posOffset>
                </wp:positionV>
                <wp:extent cx="3089910" cy="635"/>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F2CA87E" w14:textId="6770568F" w:rsidR="00911D93" w:rsidRPr="00911D93" w:rsidRDefault="00911D93" w:rsidP="00911D93">
                            <w:pPr>
                              <w:pStyle w:val="Caption"/>
                              <w:jc w:val="left"/>
                              <w:rPr>
                                <w:i w:val="0"/>
                                <w:iCs w:val="0"/>
                                <w:noProof/>
                                <w:color w:val="auto"/>
                                <w:spacing w:val="-1"/>
                                <w:lang w:val="x-none" w:eastAsia="x-none"/>
                              </w:rPr>
                            </w:pPr>
                            <w:r w:rsidRPr="00911D93">
                              <w:rPr>
                                <w:i w:val="0"/>
                                <w:iCs w:val="0"/>
                                <w:color w:val="auto"/>
                                <w:sz w:val="16"/>
                                <w:szCs w:val="16"/>
                              </w:rPr>
                              <w:t>Fig</w:t>
                            </w:r>
                            <w:r>
                              <w:rPr>
                                <w:i w:val="0"/>
                                <w:iCs w:val="0"/>
                                <w:color w:val="auto"/>
                                <w:sz w:val="16"/>
                                <w:szCs w:val="16"/>
                              </w:rPr>
                              <w:t>.</w:t>
                            </w:r>
                            <w:r w:rsidRPr="00911D93">
                              <w:rPr>
                                <w:i w:val="0"/>
                                <w:iCs w:val="0"/>
                                <w:color w:val="auto"/>
                                <w:sz w:val="16"/>
                                <w:szCs w:val="16"/>
                              </w:rPr>
                              <w:t xml:space="preserve"> </w:t>
                            </w:r>
                            <w:r>
                              <w:rPr>
                                <w:i w:val="0"/>
                                <w:iCs w:val="0"/>
                                <w:color w:val="auto"/>
                                <w:sz w:val="16"/>
                                <w:szCs w:val="16"/>
                              </w:rPr>
                              <w:t xml:space="preserve">5.  </w:t>
                            </w:r>
                            <w:r w:rsidRPr="00911D93">
                              <w:rPr>
                                <w:i w:val="0"/>
                                <w:iCs w:val="0"/>
                                <w:color w:val="auto"/>
                                <w:sz w:val="16"/>
                                <w:szCs w:val="16"/>
                              </w:rPr>
                              <w:t>Tilapia Prevailing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6ACBC" id="Text Box 7" o:spid="_x0000_s1030" type="#_x0000_t202" style="position:absolute;left:0;text-align:left;margin-left:.45pt;margin-top:169.45pt;width:243.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6IGgIAAD8EAAAOAAAAZHJzL2Uyb0RvYy54bWysU8Fu2zAMvQ/YPwi6L07arWi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" stroked="f">
                <v:textbox style="mso-fit-shape-to-text:t" inset="0,0,0,0">
                  <w:txbxContent>
                    <w:p w14:paraId="2F2CA87E" w14:textId="6770568F" w:rsidR="00911D93" w:rsidRPr="00911D93" w:rsidRDefault="00911D93" w:rsidP="00911D93">
                      <w:pPr>
                        <w:pStyle w:val="Caption"/>
                        <w:jc w:val="left"/>
                        <w:rPr>
                          <w:i w:val="0"/>
                          <w:iCs w:val="0"/>
                          <w:noProof/>
                          <w:color w:val="auto"/>
                          <w:spacing w:val="-1"/>
                          <w:lang w:val="x-none" w:eastAsia="x-none"/>
                        </w:rPr>
                      </w:pPr>
                      <w:r w:rsidRPr="00911D93">
                        <w:rPr>
                          <w:i w:val="0"/>
                          <w:iCs w:val="0"/>
                          <w:color w:val="auto"/>
                          <w:sz w:val="16"/>
                          <w:szCs w:val="16"/>
                        </w:rPr>
                        <w:t>Fig</w:t>
                      </w:r>
                      <w:r>
                        <w:rPr>
                          <w:i w:val="0"/>
                          <w:iCs w:val="0"/>
                          <w:color w:val="auto"/>
                          <w:sz w:val="16"/>
                          <w:szCs w:val="16"/>
                        </w:rPr>
                        <w:t>.</w:t>
                      </w:r>
                      <w:r w:rsidRPr="00911D93">
                        <w:rPr>
                          <w:i w:val="0"/>
                          <w:iCs w:val="0"/>
                          <w:color w:val="auto"/>
                          <w:sz w:val="16"/>
                          <w:szCs w:val="16"/>
                        </w:rPr>
                        <w:t xml:space="preserve"> </w:t>
                      </w:r>
                      <w:r>
                        <w:rPr>
                          <w:i w:val="0"/>
                          <w:iCs w:val="0"/>
                          <w:color w:val="auto"/>
                          <w:sz w:val="16"/>
                          <w:szCs w:val="16"/>
                        </w:rPr>
                        <w:t xml:space="preserve">5.  </w:t>
                      </w:r>
                      <w:r w:rsidRPr="00911D93">
                        <w:rPr>
                          <w:i w:val="0"/>
                          <w:iCs w:val="0"/>
                          <w:color w:val="auto"/>
                          <w:sz w:val="16"/>
                          <w:szCs w:val="16"/>
                        </w:rPr>
                        <w:t>Tilapia Prevailing Prices</w:t>
                      </w:r>
                    </w:p>
                  </w:txbxContent>
                </v:textbox>
              </v:shape>
            </w:pict>
          </mc:Fallback>
        </mc:AlternateContent>
      </w:r>
      <w:r w:rsidR="00DC0C9D">
        <w:rPr>
          <w:noProof/>
        </w:rPr>
        <w:drawing>
          <wp:anchor distT="0" distB="0" distL="114300" distR="114300" simplePos="0" relativeHeight="251683840" behindDoc="0" locked="0" layoutInCell="1" allowOverlap="1" wp14:anchorId="4FDCF471" wp14:editId="16C562EB">
            <wp:simplePos x="0" y="0"/>
            <wp:positionH relativeFrom="margin">
              <wp:posOffset>0</wp:posOffset>
            </wp:positionH>
            <wp:positionV relativeFrom="margin">
              <wp:posOffset>7293791</wp:posOffset>
            </wp:positionV>
            <wp:extent cx="3089910" cy="17189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926877">
        <w:t xml:space="preserve">Figure </w:t>
      </w:r>
      <w:r w:rsidR="001D57C3">
        <w:rPr>
          <w:lang w:val="en-US"/>
        </w:rPr>
        <w:t>5</w:t>
      </w:r>
      <w:r w:rsidR="00926877">
        <w:t xml:space="preserve"> reveals a time series visualization of the </w:t>
      </w:r>
      <w:r w:rsidR="00926877">
        <w:rPr>
          <w:lang w:val="en-US"/>
        </w:rPr>
        <w:t>Tilapia</w:t>
      </w:r>
      <w:r w:rsidR="00926877">
        <w:t xml:space="preserve"> prices per kilogram from October 1, 2019 to August 31, 2020. </w:t>
      </w:r>
      <w:r w:rsidR="00926877">
        <w:t xml:space="preserve">Table </w:t>
      </w:r>
      <w:r w:rsidR="001D57C3">
        <w:rPr>
          <w:lang w:val="en-US"/>
        </w:rPr>
        <w:t>6</w:t>
      </w:r>
      <w:r w:rsidR="00926877">
        <w:t xml:space="preserve"> reveals the descriptive statistic and ADF test values. After imputing the missing data, the </w:t>
      </w:r>
      <w:r w:rsidR="00926877">
        <w:rPr>
          <w:lang w:val="en-US"/>
        </w:rPr>
        <w:t>Tilapia</w:t>
      </w:r>
      <w:r w:rsidR="00926877">
        <w:t xml:space="preserve"> prices had a maximum of </w:t>
      </w:r>
      <w:r w:rsidR="00D17585">
        <w:rPr>
          <w:lang w:val="en-US"/>
        </w:rPr>
        <w:t>140</w:t>
      </w:r>
      <w:r w:rsidR="00926877">
        <w:rPr>
          <w:lang w:val="en-US"/>
        </w:rPr>
        <w:t xml:space="preserve"> </w:t>
      </w:r>
      <w:proofErr w:type="spellStart"/>
      <w:r w:rsidR="00926877">
        <w:rPr>
          <w:lang w:val="en-US"/>
        </w:rPr>
        <w:t>PhP</w:t>
      </w:r>
      <w:proofErr w:type="spellEnd"/>
      <w:r w:rsidR="00926877">
        <w:t xml:space="preserve"> and a minimum of </w:t>
      </w:r>
      <w:r w:rsidR="00D17585">
        <w:rPr>
          <w:lang w:val="en-US"/>
        </w:rPr>
        <w:t>100</w:t>
      </w:r>
      <w:r w:rsidR="00926877">
        <w:rPr>
          <w:lang w:val="en-US"/>
        </w:rPr>
        <w:t xml:space="preserve"> </w:t>
      </w:r>
      <w:proofErr w:type="spellStart"/>
      <w:r w:rsidR="00926877">
        <w:rPr>
          <w:lang w:val="en-US"/>
        </w:rPr>
        <w:t>PhP</w:t>
      </w:r>
      <w:proofErr w:type="spellEnd"/>
      <w:r w:rsidR="00926877">
        <w:t xml:space="preserve">. The mean price is determined to be </w:t>
      </w:r>
      <w:r w:rsidR="00D17585">
        <w:rPr>
          <w:lang w:val="en-US"/>
        </w:rPr>
        <w:t>120.13</w:t>
      </w:r>
      <w:r w:rsidR="00926877">
        <w:rPr>
          <w:lang w:val="en-US"/>
        </w:rPr>
        <w:t xml:space="preserve"> </w:t>
      </w:r>
      <w:proofErr w:type="spellStart"/>
      <w:r w:rsidR="00926877">
        <w:rPr>
          <w:lang w:val="en-US"/>
        </w:rPr>
        <w:t>PhP</w:t>
      </w:r>
      <w:proofErr w:type="spellEnd"/>
      <w:r w:rsidR="00926877">
        <w:rPr>
          <w:lang w:val="en-US"/>
        </w:rPr>
        <w:t>.</w:t>
      </w:r>
    </w:p>
    <w:p w14:paraId="438A5C8F" w14:textId="5C063E97" w:rsidR="00F76443" w:rsidRPr="005B520E" w:rsidRDefault="00F76443" w:rsidP="00F76443">
      <w:pPr>
        <w:pStyle w:val="tablehead"/>
      </w:pPr>
      <w:r>
        <w:t>tilapia prices Descriptive statistic and adf test value</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47"/>
        <w:gridCol w:w="720"/>
        <w:gridCol w:w="720"/>
        <w:gridCol w:w="540"/>
        <w:gridCol w:w="720"/>
        <w:gridCol w:w="726"/>
      </w:tblGrid>
      <w:tr w:rsidR="00043AA2" w14:paraId="1A7A5BBC" w14:textId="77777777" w:rsidTr="00043AA2">
        <w:trPr>
          <w:cantSplit/>
          <w:trHeight w:val="229"/>
          <w:tblHeader/>
          <w:jc w:val="center"/>
        </w:trPr>
        <w:tc>
          <w:tcPr>
            <w:tcW w:w="1347" w:type="dxa"/>
            <w:vAlign w:val="center"/>
          </w:tcPr>
          <w:p w14:paraId="2E0DC59F" w14:textId="77777777" w:rsidR="00F76443" w:rsidRDefault="00F76443" w:rsidP="00A91595">
            <w:pPr>
              <w:pStyle w:val="tablecolsubhead"/>
            </w:pPr>
            <w:r>
              <w:t>Statistic</w:t>
            </w:r>
          </w:p>
        </w:tc>
        <w:tc>
          <w:tcPr>
            <w:tcW w:w="720" w:type="dxa"/>
            <w:vAlign w:val="center"/>
          </w:tcPr>
          <w:p w14:paraId="61633F46" w14:textId="77777777" w:rsidR="00F76443" w:rsidRDefault="00F76443" w:rsidP="00A91595">
            <w:pPr>
              <w:pStyle w:val="tablecolsubhead"/>
            </w:pPr>
            <w:r>
              <w:t>Mean</w:t>
            </w:r>
          </w:p>
        </w:tc>
        <w:tc>
          <w:tcPr>
            <w:tcW w:w="720" w:type="dxa"/>
          </w:tcPr>
          <w:p w14:paraId="377F4A74" w14:textId="77777777" w:rsidR="00F76443" w:rsidRDefault="00F76443" w:rsidP="00A91595">
            <w:pPr>
              <w:pStyle w:val="tablecolsubhead"/>
            </w:pPr>
            <w:r>
              <w:t>Max</w:t>
            </w:r>
          </w:p>
        </w:tc>
        <w:tc>
          <w:tcPr>
            <w:tcW w:w="540" w:type="dxa"/>
          </w:tcPr>
          <w:p w14:paraId="29581ECE" w14:textId="77777777" w:rsidR="00F76443" w:rsidRDefault="00F76443" w:rsidP="00A91595">
            <w:pPr>
              <w:pStyle w:val="tablecolsubhead"/>
            </w:pPr>
            <w:r>
              <w:t>Min</w:t>
            </w:r>
          </w:p>
        </w:tc>
        <w:tc>
          <w:tcPr>
            <w:tcW w:w="720" w:type="dxa"/>
          </w:tcPr>
          <w:p w14:paraId="34A2966F" w14:textId="77777777" w:rsidR="00F76443" w:rsidRDefault="00F76443" w:rsidP="00A91595">
            <w:pPr>
              <w:pStyle w:val="tablecolsubhead"/>
            </w:pPr>
            <w:r>
              <w:t>ADF t-value</w:t>
            </w:r>
          </w:p>
        </w:tc>
        <w:tc>
          <w:tcPr>
            <w:tcW w:w="726" w:type="dxa"/>
          </w:tcPr>
          <w:p w14:paraId="5C71F2BE" w14:textId="77777777" w:rsidR="00F76443" w:rsidRDefault="00F76443" w:rsidP="00A91595">
            <w:pPr>
              <w:pStyle w:val="tablecolsubhead"/>
            </w:pPr>
            <w:r>
              <w:t>p-value</w:t>
            </w:r>
          </w:p>
        </w:tc>
      </w:tr>
      <w:tr w:rsidR="00043AA2" w14:paraId="5F79AADA" w14:textId="77777777" w:rsidTr="00043AA2">
        <w:trPr>
          <w:trHeight w:val="306"/>
          <w:jc w:val="center"/>
        </w:trPr>
        <w:tc>
          <w:tcPr>
            <w:tcW w:w="1347" w:type="dxa"/>
          </w:tcPr>
          <w:p w14:paraId="631E06AC" w14:textId="3BAD3AAC" w:rsidR="00F76443" w:rsidRDefault="00043AA2" w:rsidP="00A91595">
            <w:pPr>
              <w:pStyle w:val="tablecopy"/>
            </w:pPr>
            <w:r>
              <w:t>Observation</w:t>
            </w:r>
          </w:p>
        </w:tc>
        <w:tc>
          <w:tcPr>
            <w:tcW w:w="720" w:type="dxa"/>
            <w:vAlign w:val="center"/>
          </w:tcPr>
          <w:p w14:paraId="11F2EA5A" w14:textId="167820F8" w:rsidR="00F76443" w:rsidRDefault="00F76443" w:rsidP="00A91595">
            <w:pPr>
              <w:rPr>
                <w:sz w:val="16"/>
                <w:szCs w:val="16"/>
              </w:rPr>
            </w:pPr>
            <w:r w:rsidRPr="00C04A0A">
              <w:rPr>
                <w:sz w:val="16"/>
                <w:szCs w:val="16"/>
              </w:rPr>
              <w:t>1</w:t>
            </w:r>
            <w:r w:rsidR="00B60E65">
              <w:rPr>
                <w:sz w:val="16"/>
                <w:szCs w:val="16"/>
              </w:rPr>
              <w:t>20.13</w:t>
            </w:r>
            <w:r>
              <w:rPr>
                <w:sz w:val="16"/>
                <w:szCs w:val="16"/>
              </w:rPr>
              <w:t xml:space="preserve"> </w:t>
            </w:r>
            <w:proofErr w:type="spellStart"/>
            <w:r>
              <w:rPr>
                <w:sz w:val="16"/>
                <w:szCs w:val="16"/>
              </w:rPr>
              <w:t>PhP</w:t>
            </w:r>
            <w:proofErr w:type="spellEnd"/>
          </w:p>
        </w:tc>
        <w:tc>
          <w:tcPr>
            <w:tcW w:w="720" w:type="dxa"/>
          </w:tcPr>
          <w:p w14:paraId="2F152775" w14:textId="5A394771" w:rsidR="00F76443" w:rsidRDefault="00B60E65" w:rsidP="00A91595">
            <w:pPr>
              <w:rPr>
                <w:sz w:val="16"/>
                <w:szCs w:val="16"/>
              </w:rPr>
            </w:pPr>
            <w:r>
              <w:rPr>
                <w:sz w:val="16"/>
                <w:szCs w:val="16"/>
              </w:rPr>
              <w:t>140</w:t>
            </w:r>
            <w:r w:rsidR="00F76443">
              <w:rPr>
                <w:sz w:val="16"/>
                <w:szCs w:val="16"/>
              </w:rPr>
              <w:t xml:space="preserve"> </w:t>
            </w:r>
            <w:proofErr w:type="spellStart"/>
            <w:r w:rsidR="00F76443">
              <w:rPr>
                <w:sz w:val="16"/>
                <w:szCs w:val="16"/>
              </w:rPr>
              <w:t>PhP</w:t>
            </w:r>
            <w:proofErr w:type="spellEnd"/>
          </w:p>
        </w:tc>
        <w:tc>
          <w:tcPr>
            <w:tcW w:w="540" w:type="dxa"/>
          </w:tcPr>
          <w:p w14:paraId="59978626" w14:textId="6EA13035" w:rsidR="00F76443" w:rsidRDefault="00B60E65" w:rsidP="00A91595">
            <w:pPr>
              <w:rPr>
                <w:sz w:val="16"/>
                <w:szCs w:val="16"/>
              </w:rPr>
            </w:pPr>
            <w:r>
              <w:rPr>
                <w:sz w:val="16"/>
                <w:szCs w:val="16"/>
              </w:rPr>
              <w:t>100</w:t>
            </w:r>
            <w:r w:rsidR="00F76443">
              <w:rPr>
                <w:sz w:val="16"/>
                <w:szCs w:val="16"/>
              </w:rPr>
              <w:t xml:space="preserve"> </w:t>
            </w:r>
            <w:proofErr w:type="spellStart"/>
            <w:r w:rsidR="00F76443">
              <w:rPr>
                <w:sz w:val="16"/>
                <w:szCs w:val="16"/>
              </w:rPr>
              <w:t>PhP</w:t>
            </w:r>
            <w:proofErr w:type="spellEnd"/>
          </w:p>
        </w:tc>
        <w:tc>
          <w:tcPr>
            <w:tcW w:w="720" w:type="dxa"/>
          </w:tcPr>
          <w:p w14:paraId="2502470F" w14:textId="5710EFA7" w:rsidR="00F76443" w:rsidRDefault="00F76443" w:rsidP="00A91595">
            <w:pPr>
              <w:rPr>
                <w:sz w:val="16"/>
                <w:szCs w:val="16"/>
              </w:rPr>
            </w:pPr>
            <w:r>
              <w:rPr>
                <w:sz w:val="16"/>
                <w:szCs w:val="16"/>
              </w:rPr>
              <w:t>-1.997</w:t>
            </w:r>
          </w:p>
        </w:tc>
        <w:tc>
          <w:tcPr>
            <w:tcW w:w="726" w:type="dxa"/>
          </w:tcPr>
          <w:p w14:paraId="636CC976" w14:textId="17315D23" w:rsidR="00F76443" w:rsidRDefault="00F76443" w:rsidP="00A91595">
            <w:pPr>
              <w:rPr>
                <w:sz w:val="16"/>
                <w:szCs w:val="16"/>
              </w:rPr>
            </w:pPr>
            <w:r w:rsidRPr="000E0BB8">
              <w:rPr>
                <w:sz w:val="16"/>
                <w:szCs w:val="16"/>
              </w:rPr>
              <w:t>0.</w:t>
            </w:r>
            <w:r>
              <w:rPr>
                <w:sz w:val="16"/>
                <w:szCs w:val="16"/>
              </w:rPr>
              <w:t>2878</w:t>
            </w:r>
          </w:p>
        </w:tc>
      </w:tr>
      <w:tr w:rsidR="0015238A" w14:paraId="7619C9F1" w14:textId="77777777" w:rsidTr="00F672B0">
        <w:trPr>
          <w:trHeight w:val="306"/>
          <w:jc w:val="center"/>
        </w:trPr>
        <w:tc>
          <w:tcPr>
            <w:tcW w:w="3327" w:type="dxa"/>
            <w:gridSpan w:val="4"/>
          </w:tcPr>
          <w:p w14:paraId="59ACA185" w14:textId="0F871BA6" w:rsidR="0015238A" w:rsidRDefault="0015238A" w:rsidP="00A91595">
            <w:pPr>
              <w:rPr>
                <w:sz w:val="16"/>
                <w:szCs w:val="16"/>
              </w:rPr>
            </w:pPr>
            <w:r>
              <w:t>Differenced by one</w:t>
            </w:r>
          </w:p>
        </w:tc>
        <w:tc>
          <w:tcPr>
            <w:tcW w:w="720" w:type="dxa"/>
          </w:tcPr>
          <w:p w14:paraId="4EBD57E3" w14:textId="657A9B6B" w:rsidR="0015238A" w:rsidRDefault="0015238A" w:rsidP="00A91595">
            <w:pPr>
              <w:rPr>
                <w:sz w:val="16"/>
                <w:szCs w:val="16"/>
              </w:rPr>
            </w:pPr>
            <w:r w:rsidRPr="001E1CFE">
              <w:rPr>
                <w:sz w:val="16"/>
                <w:szCs w:val="16"/>
              </w:rPr>
              <w:t>-4.59</w:t>
            </w:r>
          </w:p>
        </w:tc>
        <w:tc>
          <w:tcPr>
            <w:tcW w:w="726" w:type="dxa"/>
          </w:tcPr>
          <w:p w14:paraId="50E180DF" w14:textId="77A0F129" w:rsidR="0015238A" w:rsidRPr="000E0BB8" w:rsidRDefault="0015238A" w:rsidP="00A91595">
            <w:pPr>
              <w:rPr>
                <w:sz w:val="16"/>
                <w:szCs w:val="16"/>
              </w:rPr>
            </w:pPr>
            <w:r w:rsidRPr="001E1CFE">
              <w:rPr>
                <w:sz w:val="16"/>
                <w:szCs w:val="16"/>
              </w:rPr>
              <w:t>0.0001</w:t>
            </w:r>
          </w:p>
        </w:tc>
      </w:tr>
    </w:tbl>
    <w:p w14:paraId="245533BD" w14:textId="198BCEAB" w:rsidR="00B60E65" w:rsidRDefault="00B60E65" w:rsidP="00715D9D">
      <w:pPr>
        <w:pStyle w:val="BodyText"/>
      </w:pPr>
    </w:p>
    <w:p w14:paraId="0E9533DF" w14:textId="33721CF8" w:rsidR="00D17585" w:rsidRPr="00CD4E3F" w:rsidRDefault="00B60E65" w:rsidP="00715D9D">
      <w:pPr>
        <w:pStyle w:val="BodyText"/>
        <w:rPr>
          <w:lang w:val="en-US"/>
        </w:rPr>
      </w:pPr>
      <w:r>
        <w:t xml:space="preserve">The first step in the Box-Jenkins methodology which is testing for stationarity reveals the ADF to be </w:t>
      </w:r>
      <w:r>
        <w:rPr>
          <w:lang w:val="en-US"/>
        </w:rPr>
        <w:t>more</w:t>
      </w:r>
      <w:r>
        <w:t xml:space="preserve"> than 0.05 </w:t>
      </w:r>
      <w:r>
        <w:rPr>
          <w:lang w:val="en-US"/>
        </w:rPr>
        <w:t>accepting</w:t>
      </w:r>
      <w:r>
        <w:t xml:space="preserve"> the null hypothesis.</w:t>
      </w:r>
      <w:r>
        <w:rPr>
          <w:lang w:val="en-US"/>
        </w:rPr>
        <w:t xml:space="preserve"> After differencing by an order of one and conducting another ADF test, the time series was determined to be stationary indicating that the order of differencing </w:t>
      </w:r>
      <w:r w:rsidRPr="005B1AA4">
        <w:rPr>
          <w:b/>
          <w:bCs/>
          <w:lang w:val="en-US"/>
        </w:rPr>
        <w:t>d</w:t>
      </w:r>
      <w:r>
        <w:rPr>
          <w:lang w:val="en-US"/>
        </w:rPr>
        <w:t xml:space="preserve"> for the model was one.</w:t>
      </w:r>
      <w:r>
        <w:t xml:space="preserve"> After determining the order of differencing, the next step is determining the </w:t>
      </w:r>
      <w:r>
        <w:rPr>
          <w:lang w:val="en-US"/>
        </w:rPr>
        <w:t xml:space="preserve">order of </w:t>
      </w:r>
      <w:r w:rsidRPr="005B1AA4">
        <w:rPr>
          <w:b/>
          <w:bCs/>
          <w:lang w:val="en-US"/>
        </w:rPr>
        <w:t>p</w:t>
      </w:r>
      <w:r>
        <w:rPr>
          <w:lang w:val="en-US"/>
        </w:rPr>
        <w:t xml:space="preserve"> (</w:t>
      </w:r>
      <w:r>
        <w:t>AR</w:t>
      </w:r>
      <w:r>
        <w:rPr>
          <w:lang w:val="en-US"/>
        </w:rPr>
        <w:t>)</w:t>
      </w:r>
      <w:r>
        <w:t xml:space="preserve"> and </w:t>
      </w:r>
      <w:r>
        <w:rPr>
          <w:lang w:val="en-US"/>
        </w:rPr>
        <w:t xml:space="preserve">order of </w:t>
      </w:r>
      <w:r w:rsidRPr="005B1AA4">
        <w:rPr>
          <w:b/>
          <w:bCs/>
          <w:lang w:val="en-US"/>
        </w:rPr>
        <w:t>q</w:t>
      </w:r>
      <w:r>
        <w:rPr>
          <w:lang w:val="en-US"/>
        </w:rPr>
        <w:t xml:space="preserve"> (</w:t>
      </w:r>
      <w:r>
        <w:t>MA</w:t>
      </w:r>
      <w:r>
        <w:rPr>
          <w:lang w:val="en-US"/>
        </w:rPr>
        <w:t>)</w:t>
      </w:r>
      <w:r>
        <w:t xml:space="preserve"> terms.</w:t>
      </w:r>
      <w:r>
        <w:rPr>
          <w:lang w:val="en-US"/>
        </w:rPr>
        <w:t xml:space="preserve"> </w:t>
      </w:r>
      <w:r w:rsidR="00DE4EB4">
        <w:rPr>
          <w:lang w:val="en-US"/>
        </w:rPr>
        <w:t>After plotting the ACF and the PACF of the differenced time series, it displayed a sharp cut-off on the ACF plot at lag-2 concluding that the ARIMA model would need 2 MA terms.</w:t>
      </w:r>
      <w:r w:rsidRPr="0098080C">
        <w:t xml:space="preserve"> After fitting the ARIMA model with the time series, each </w:t>
      </w:r>
      <w:r w:rsidR="00F72571">
        <w:rPr>
          <w:lang w:val="en-US"/>
        </w:rPr>
        <w:t>MA</w:t>
      </w:r>
      <w:r w:rsidRPr="0098080C">
        <w:t xml:space="preserve"> term is revealed to be statistically significant. </w:t>
      </w:r>
      <w:r>
        <w:rPr>
          <w:lang w:val="en-US"/>
        </w:rPr>
        <w:t>Table</w:t>
      </w:r>
      <w:r w:rsidRPr="0098080C">
        <w:t xml:space="preserve"> </w:t>
      </w:r>
      <w:r w:rsidR="00192C03">
        <w:rPr>
          <w:lang w:val="en-US"/>
        </w:rPr>
        <w:t>7</w:t>
      </w:r>
      <w:r w:rsidRPr="0098080C">
        <w:t xml:space="preserve"> shows the summary of the ARIMA fitting</w:t>
      </w:r>
      <w:r w:rsidR="00CD4E3F">
        <w:rPr>
          <w:lang w:val="en-US"/>
        </w:rPr>
        <w:t>.</w:t>
      </w:r>
    </w:p>
    <w:p w14:paraId="1F8D66C8" w14:textId="5FD0F02B" w:rsidR="00300E25" w:rsidRPr="008F0A6C" w:rsidRDefault="00300E25" w:rsidP="00300E25">
      <w:pPr>
        <w:pStyle w:val="tablehead"/>
      </w:pPr>
      <w:r>
        <w:t xml:space="preserve">ARIMA Fitting summary of </w:t>
      </w:r>
      <w:r w:rsidR="001B2EF7">
        <w:t>Tilapia</w:t>
      </w:r>
      <w:r>
        <w:t xml:space="preserve"> </w:t>
      </w:r>
      <w:r w:rsidR="001B2EF7">
        <w:t>ITS</w:t>
      </w:r>
    </w:p>
    <w:tbl>
      <w:tblPr>
        <w:tblStyle w:val="TableGrid"/>
        <w:tblW w:w="4945" w:type="dxa"/>
        <w:tblLayout w:type="fixed"/>
        <w:tblLook w:val="04A0" w:firstRow="1" w:lastRow="0" w:firstColumn="1" w:lastColumn="0" w:noHBand="0" w:noVBand="1"/>
      </w:tblPr>
      <w:tblGrid>
        <w:gridCol w:w="1615"/>
        <w:gridCol w:w="990"/>
        <w:gridCol w:w="900"/>
        <w:gridCol w:w="810"/>
        <w:gridCol w:w="630"/>
      </w:tblGrid>
      <w:tr w:rsidR="00300E25" w:rsidRPr="00816CC7" w14:paraId="25D6D59E" w14:textId="77777777" w:rsidTr="00A91595">
        <w:trPr>
          <w:trHeight w:val="300"/>
        </w:trPr>
        <w:tc>
          <w:tcPr>
            <w:tcW w:w="1615" w:type="dxa"/>
            <w:noWrap/>
            <w:hideMark/>
          </w:tcPr>
          <w:p w14:paraId="0EACBE08" w14:textId="77777777" w:rsidR="00300E25" w:rsidRPr="00300E25" w:rsidRDefault="00300E25" w:rsidP="00300E25">
            <w:pPr>
              <w:jc w:val="both"/>
              <w:rPr>
                <w:sz w:val="16"/>
                <w:szCs w:val="16"/>
              </w:rPr>
            </w:pPr>
          </w:p>
        </w:tc>
        <w:tc>
          <w:tcPr>
            <w:tcW w:w="990" w:type="dxa"/>
            <w:hideMark/>
          </w:tcPr>
          <w:p w14:paraId="1402F54D" w14:textId="1C59370A" w:rsidR="00300E25" w:rsidRPr="00300E25" w:rsidRDefault="00300E25" w:rsidP="00300E25">
            <w:pPr>
              <w:jc w:val="both"/>
              <w:rPr>
                <w:b/>
                <w:bCs/>
                <w:sz w:val="16"/>
                <w:szCs w:val="16"/>
              </w:rPr>
            </w:pPr>
            <w:proofErr w:type="spellStart"/>
            <w:r w:rsidRPr="00300E25">
              <w:rPr>
                <w:b/>
                <w:bCs/>
                <w:sz w:val="16"/>
                <w:szCs w:val="16"/>
              </w:rPr>
              <w:t>coef</w:t>
            </w:r>
            <w:proofErr w:type="spellEnd"/>
          </w:p>
        </w:tc>
        <w:tc>
          <w:tcPr>
            <w:tcW w:w="900" w:type="dxa"/>
            <w:hideMark/>
          </w:tcPr>
          <w:p w14:paraId="50894DE2" w14:textId="77777777" w:rsidR="00300E25" w:rsidRPr="00300E25" w:rsidRDefault="00300E25" w:rsidP="00300E25">
            <w:pPr>
              <w:jc w:val="both"/>
              <w:rPr>
                <w:b/>
                <w:bCs/>
                <w:sz w:val="16"/>
                <w:szCs w:val="16"/>
              </w:rPr>
            </w:pPr>
            <w:r w:rsidRPr="00300E25">
              <w:rPr>
                <w:b/>
                <w:bCs/>
                <w:sz w:val="16"/>
                <w:szCs w:val="16"/>
              </w:rPr>
              <w:t>std. error</w:t>
            </w:r>
          </w:p>
        </w:tc>
        <w:tc>
          <w:tcPr>
            <w:tcW w:w="810" w:type="dxa"/>
            <w:hideMark/>
          </w:tcPr>
          <w:p w14:paraId="3E7DB8CF" w14:textId="77777777" w:rsidR="00300E25" w:rsidRPr="00300E25" w:rsidRDefault="00300E25" w:rsidP="00300E25">
            <w:pPr>
              <w:jc w:val="both"/>
              <w:rPr>
                <w:b/>
                <w:bCs/>
                <w:sz w:val="16"/>
                <w:szCs w:val="16"/>
              </w:rPr>
            </w:pPr>
            <w:r w:rsidRPr="00300E25">
              <w:rPr>
                <w:b/>
                <w:bCs/>
                <w:sz w:val="16"/>
                <w:szCs w:val="16"/>
              </w:rPr>
              <w:t>z-value</w:t>
            </w:r>
          </w:p>
        </w:tc>
        <w:tc>
          <w:tcPr>
            <w:tcW w:w="630" w:type="dxa"/>
            <w:hideMark/>
          </w:tcPr>
          <w:p w14:paraId="7827B1A4" w14:textId="77777777" w:rsidR="00300E25" w:rsidRPr="00300E25" w:rsidRDefault="00300E25" w:rsidP="00300E25">
            <w:pPr>
              <w:jc w:val="both"/>
              <w:rPr>
                <w:b/>
                <w:bCs/>
                <w:sz w:val="16"/>
                <w:szCs w:val="16"/>
              </w:rPr>
            </w:pPr>
            <w:r w:rsidRPr="00300E25">
              <w:rPr>
                <w:b/>
                <w:bCs/>
                <w:sz w:val="16"/>
                <w:szCs w:val="16"/>
              </w:rPr>
              <w:t>P&gt;|z|</w:t>
            </w:r>
          </w:p>
        </w:tc>
      </w:tr>
      <w:tr w:rsidR="00300E25" w:rsidRPr="00816CC7" w14:paraId="0A122A94" w14:textId="77777777" w:rsidTr="00A91595">
        <w:trPr>
          <w:trHeight w:val="300"/>
        </w:trPr>
        <w:tc>
          <w:tcPr>
            <w:tcW w:w="1615" w:type="dxa"/>
            <w:hideMark/>
          </w:tcPr>
          <w:p w14:paraId="3DCDDDBF" w14:textId="36301A4A" w:rsidR="00300E25" w:rsidRPr="00300E25" w:rsidRDefault="00300E25" w:rsidP="00300E25">
            <w:pPr>
              <w:jc w:val="both"/>
              <w:rPr>
                <w:b/>
                <w:bCs/>
                <w:sz w:val="16"/>
                <w:szCs w:val="16"/>
              </w:rPr>
            </w:pPr>
            <w:proofErr w:type="gramStart"/>
            <w:r w:rsidRPr="00300E25">
              <w:rPr>
                <w:b/>
                <w:bCs/>
                <w:sz w:val="16"/>
                <w:szCs w:val="16"/>
              </w:rPr>
              <w:t>ma.L</w:t>
            </w:r>
            <w:proofErr w:type="gramEnd"/>
            <w:r w:rsidRPr="00300E25">
              <w:rPr>
                <w:b/>
                <w:bCs/>
                <w:sz w:val="16"/>
                <w:szCs w:val="16"/>
              </w:rPr>
              <w:t>1</w:t>
            </w:r>
          </w:p>
        </w:tc>
        <w:tc>
          <w:tcPr>
            <w:tcW w:w="990" w:type="dxa"/>
            <w:hideMark/>
          </w:tcPr>
          <w:p w14:paraId="1DC0CFF1" w14:textId="7429739F" w:rsidR="00300E25" w:rsidRPr="00300E25" w:rsidRDefault="00300E25" w:rsidP="00300E25">
            <w:pPr>
              <w:jc w:val="both"/>
              <w:rPr>
                <w:sz w:val="16"/>
                <w:szCs w:val="16"/>
              </w:rPr>
            </w:pPr>
            <w:r w:rsidRPr="00300E25">
              <w:rPr>
                <w:sz w:val="16"/>
                <w:szCs w:val="16"/>
              </w:rPr>
              <w:t>-0.4915</w:t>
            </w:r>
          </w:p>
        </w:tc>
        <w:tc>
          <w:tcPr>
            <w:tcW w:w="900" w:type="dxa"/>
            <w:hideMark/>
          </w:tcPr>
          <w:p w14:paraId="08F60514" w14:textId="77777777" w:rsidR="00300E25" w:rsidRPr="00300E25" w:rsidRDefault="00300E25" w:rsidP="00300E25">
            <w:pPr>
              <w:jc w:val="both"/>
              <w:rPr>
                <w:sz w:val="16"/>
                <w:szCs w:val="16"/>
              </w:rPr>
            </w:pPr>
            <w:r w:rsidRPr="00300E25">
              <w:rPr>
                <w:sz w:val="16"/>
                <w:szCs w:val="16"/>
              </w:rPr>
              <w:t>0.009</w:t>
            </w:r>
          </w:p>
        </w:tc>
        <w:tc>
          <w:tcPr>
            <w:tcW w:w="810" w:type="dxa"/>
            <w:hideMark/>
          </w:tcPr>
          <w:p w14:paraId="612D9067" w14:textId="77777777" w:rsidR="00300E25" w:rsidRPr="00300E25" w:rsidRDefault="00300E25" w:rsidP="00300E25">
            <w:pPr>
              <w:jc w:val="both"/>
              <w:rPr>
                <w:sz w:val="16"/>
                <w:szCs w:val="16"/>
              </w:rPr>
            </w:pPr>
            <w:r w:rsidRPr="00300E25">
              <w:rPr>
                <w:sz w:val="16"/>
                <w:szCs w:val="16"/>
              </w:rPr>
              <w:t>-51.018</w:t>
            </w:r>
          </w:p>
        </w:tc>
        <w:tc>
          <w:tcPr>
            <w:tcW w:w="630" w:type="dxa"/>
            <w:hideMark/>
          </w:tcPr>
          <w:p w14:paraId="2C09ABD7" w14:textId="77777777" w:rsidR="00300E25" w:rsidRPr="00300E25" w:rsidRDefault="00300E25" w:rsidP="00300E25">
            <w:pPr>
              <w:jc w:val="both"/>
              <w:rPr>
                <w:sz w:val="16"/>
                <w:szCs w:val="16"/>
              </w:rPr>
            </w:pPr>
            <w:r w:rsidRPr="00300E25">
              <w:rPr>
                <w:sz w:val="16"/>
                <w:szCs w:val="16"/>
              </w:rPr>
              <w:t>0</w:t>
            </w:r>
          </w:p>
        </w:tc>
      </w:tr>
      <w:tr w:rsidR="00300E25" w:rsidRPr="00816CC7" w14:paraId="5734A2C0" w14:textId="77777777" w:rsidTr="00A91595">
        <w:trPr>
          <w:trHeight w:val="300"/>
        </w:trPr>
        <w:tc>
          <w:tcPr>
            <w:tcW w:w="1615" w:type="dxa"/>
            <w:hideMark/>
          </w:tcPr>
          <w:p w14:paraId="75F83093" w14:textId="05EFFA2D" w:rsidR="00300E25" w:rsidRPr="00300E25" w:rsidRDefault="00300E25" w:rsidP="00300E25">
            <w:pPr>
              <w:jc w:val="both"/>
              <w:rPr>
                <w:b/>
                <w:bCs/>
                <w:sz w:val="16"/>
                <w:szCs w:val="16"/>
              </w:rPr>
            </w:pPr>
            <w:proofErr w:type="gramStart"/>
            <w:r w:rsidRPr="00300E25">
              <w:rPr>
                <w:b/>
                <w:bCs/>
                <w:sz w:val="16"/>
                <w:szCs w:val="16"/>
              </w:rPr>
              <w:t>ma.L</w:t>
            </w:r>
            <w:proofErr w:type="gramEnd"/>
            <w:r w:rsidRPr="00300E25">
              <w:rPr>
                <w:b/>
                <w:bCs/>
                <w:sz w:val="16"/>
                <w:szCs w:val="16"/>
              </w:rPr>
              <w:t>2</w:t>
            </w:r>
          </w:p>
        </w:tc>
        <w:tc>
          <w:tcPr>
            <w:tcW w:w="990" w:type="dxa"/>
            <w:hideMark/>
          </w:tcPr>
          <w:p w14:paraId="4D6C7C2D" w14:textId="309DB4B4" w:rsidR="00300E25" w:rsidRPr="00300E25" w:rsidRDefault="00300E25" w:rsidP="00300E25">
            <w:pPr>
              <w:jc w:val="both"/>
              <w:rPr>
                <w:sz w:val="16"/>
                <w:szCs w:val="16"/>
              </w:rPr>
            </w:pPr>
            <w:r w:rsidRPr="00300E25">
              <w:rPr>
                <w:sz w:val="16"/>
                <w:szCs w:val="16"/>
              </w:rPr>
              <w:t>-0.1567</w:t>
            </w:r>
          </w:p>
        </w:tc>
        <w:tc>
          <w:tcPr>
            <w:tcW w:w="900" w:type="dxa"/>
            <w:hideMark/>
          </w:tcPr>
          <w:p w14:paraId="55E49F17" w14:textId="77777777" w:rsidR="00300E25" w:rsidRPr="00300E25" w:rsidRDefault="00300E25" w:rsidP="00300E25">
            <w:pPr>
              <w:jc w:val="both"/>
              <w:rPr>
                <w:sz w:val="16"/>
                <w:szCs w:val="16"/>
              </w:rPr>
            </w:pPr>
            <w:r w:rsidRPr="00300E25">
              <w:rPr>
                <w:sz w:val="16"/>
                <w:szCs w:val="16"/>
              </w:rPr>
              <w:t>1.49</w:t>
            </w:r>
          </w:p>
        </w:tc>
        <w:tc>
          <w:tcPr>
            <w:tcW w:w="810" w:type="dxa"/>
            <w:hideMark/>
          </w:tcPr>
          <w:p w14:paraId="3EB81FE7" w14:textId="77777777" w:rsidR="00300E25" w:rsidRPr="00300E25" w:rsidRDefault="00300E25" w:rsidP="00300E25">
            <w:pPr>
              <w:jc w:val="both"/>
              <w:rPr>
                <w:sz w:val="16"/>
                <w:szCs w:val="16"/>
              </w:rPr>
            </w:pPr>
            <w:r w:rsidRPr="00300E25">
              <w:rPr>
                <w:sz w:val="16"/>
                <w:szCs w:val="16"/>
              </w:rPr>
              <w:t>65.833</w:t>
            </w:r>
          </w:p>
        </w:tc>
        <w:tc>
          <w:tcPr>
            <w:tcW w:w="630" w:type="dxa"/>
            <w:hideMark/>
          </w:tcPr>
          <w:p w14:paraId="38ACC5FF" w14:textId="77777777" w:rsidR="00300E25" w:rsidRPr="00300E25" w:rsidRDefault="00300E25" w:rsidP="00300E25">
            <w:pPr>
              <w:jc w:val="both"/>
              <w:rPr>
                <w:sz w:val="16"/>
                <w:szCs w:val="16"/>
              </w:rPr>
            </w:pPr>
            <w:r w:rsidRPr="00300E25">
              <w:rPr>
                <w:sz w:val="16"/>
                <w:szCs w:val="16"/>
              </w:rPr>
              <w:t>0</w:t>
            </w:r>
          </w:p>
        </w:tc>
      </w:tr>
      <w:tr w:rsidR="00C977AD" w:rsidRPr="00816CC7" w14:paraId="4656A4B7" w14:textId="77777777" w:rsidTr="00A91595">
        <w:trPr>
          <w:trHeight w:val="300"/>
        </w:trPr>
        <w:tc>
          <w:tcPr>
            <w:tcW w:w="1615" w:type="dxa"/>
          </w:tcPr>
          <w:p w14:paraId="68F96E13" w14:textId="2D2A24CC" w:rsidR="00C977AD" w:rsidRPr="00300E25" w:rsidRDefault="00C977AD" w:rsidP="00C977AD">
            <w:pPr>
              <w:jc w:val="both"/>
              <w:rPr>
                <w:b/>
                <w:bCs/>
                <w:sz w:val="16"/>
                <w:szCs w:val="16"/>
              </w:rPr>
            </w:pPr>
            <w:r w:rsidRPr="00300E25">
              <w:rPr>
                <w:b/>
                <w:bCs/>
                <w:sz w:val="16"/>
                <w:szCs w:val="16"/>
              </w:rPr>
              <w:t>sigma2</w:t>
            </w:r>
          </w:p>
        </w:tc>
        <w:tc>
          <w:tcPr>
            <w:tcW w:w="990" w:type="dxa"/>
          </w:tcPr>
          <w:p w14:paraId="4400B03C" w14:textId="710CD2CC" w:rsidR="00C977AD" w:rsidRPr="00C977AD" w:rsidRDefault="00C977AD" w:rsidP="00C977AD">
            <w:pPr>
              <w:jc w:val="both"/>
              <w:rPr>
                <w:sz w:val="16"/>
                <w:szCs w:val="16"/>
              </w:rPr>
            </w:pPr>
            <w:r w:rsidRPr="00C977AD">
              <w:rPr>
                <w:sz w:val="16"/>
                <w:szCs w:val="16"/>
              </w:rPr>
              <w:t>19.5688</w:t>
            </w:r>
          </w:p>
        </w:tc>
        <w:tc>
          <w:tcPr>
            <w:tcW w:w="900" w:type="dxa"/>
          </w:tcPr>
          <w:p w14:paraId="6975C5C3" w14:textId="13FFD92B" w:rsidR="00C977AD" w:rsidRPr="00C977AD" w:rsidRDefault="00C977AD" w:rsidP="00C977AD">
            <w:pPr>
              <w:jc w:val="both"/>
              <w:rPr>
                <w:sz w:val="16"/>
                <w:szCs w:val="16"/>
              </w:rPr>
            </w:pPr>
            <w:r w:rsidRPr="00C977AD">
              <w:rPr>
                <w:sz w:val="16"/>
                <w:szCs w:val="16"/>
              </w:rPr>
              <w:t>0.73</w:t>
            </w:r>
          </w:p>
        </w:tc>
        <w:tc>
          <w:tcPr>
            <w:tcW w:w="810" w:type="dxa"/>
          </w:tcPr>
          <w:p w14:paraId="6630AD1E" w14:textId="593B003D" w:rsidR="00C977AD" w:rsidRPr="00C977AD" w:rsidRDefault="00C977AD" w:rsidP="00C977AD">
            <w:pPr>
              <w:jc w:val="both"/>
              <w:rPr>
                <w:sz w:val="16"/>
                <w:szCs w:val="16"/>
              </w:rPr>
            </w:pPr>
            <w:r w:rsidRPr="00C977AD">
              <w:rPr>
                <w:sz w:val="16"/>
                <w:szCs w:val="16"/>
              </w:rPr>
              <w:t>26.796</w:t>
            </w:r>
          </w:p>
        </w:tc>
        <w:tc>
          <w:tcPr>
            <w:tcW w:w="630" w:type="dxa"/>
          </w:tcPr>
          <w:p w14:paraId="746E4B96" w14:textId="47851826" w:rsidR="00C977AD" w:rsidRPr="00C977AD" w:rsidRDefault="00C977AD" w:rsidP="00C977AD">
            <w:pPr>
              <w:jc w:val="both"/>
              <w:rPr>
                <w:sz w:val="16"/>
                <w:szCs w:val="16"/>
              </w:rPr>
            </w:pPr>
            <w:r w:rsidRPr="00C977AD">
              <w:rPr>
                <w:sz w:val="16"/>
                <w:szCs w:val="16"/>
              </w:rPr>
              <w:t>0</w:t>
            </w:r>
          </w:p>
        </w:tc>
      </w:tr>
      <w:tr w:rsidR="00300E25" w:rsidRPr="00816CC7" w14:paraId="58116FCE" w14:textId="77777777" w:rsidTr="00A91595">
        <w:trPr>
          <w:trHeight w:val="300"/>
        </w:trPr>
        <w:tc>
          <w:tcPr>
            <w:tcW w:w="4945" w:type="dxa"/>
            <w:gridSpan w:val="5"/>
          </w:tcPr>
          <w:p w14:paraId="195474CC" w14:textId="77777777" w:rsidR="00300E25" w:rsidRPr="00300E25" w:rsidRDefault="00300E25" w:rsidP="00300E25">
            <w:pPr>
              <w:jc w:val="both"/>
              <w:rPr>
                <w:b/>
                <w:bCs/>
                <w:sz w:val="16"/>
                <w:szCs w:val="16"/>
              </w:rPr>
            </w:pPr>
          </w:p>
        </w:tc>
      </w:tr>
      <w:tr w:rsidR="00300E25" w:rsidRPr="00816CC7" w14:paraId="49617C5C" w14:textId="77777777" w:rsidTr="00A91595">
        <w:trPr>
          <w:trHeight w:val="300"/>
        </w:trPr>
        <w:tc>
          <w:tcPr>
            <w:tcW w:w="1615" w:type="dxa"/>
          </w:tcPr>
          <w:p w14:paraId="2FFB066E" w14:textId="517255DF" w:rsidR="00300E25" w:rsidRPr="00300E25" w:rsidRDefault="00300E25" w:rsidP="00300E25">
            <w:pPr>
              <w:jc w:val="both"/>
              <w:rPr>
                <w:b/>
                <w:bCs/>
                <w:sz w:val="16"/>
                <w:szCs w:val="16"/>
              </w:rPr>
            </w:pPr>
            <w:proofErr w:type="spellStart"/>
            <w:r w:rsidRPr="00300E25">
              <w:rPr>
                <w:b/>
                <w:bCs/>
                <w:sz w:val="16"/>
                <w:szCs w:val="16"/>
              </w:rPr>
              <w:t>Ljung</w:t>
            </w:r>
            <w:proofErr w:type="spellEnd"/>
            <w:r w:rsidRPr="00300E25">
              <w:rPr>
                <w:b/>
                <w:bCs/>
                <w:sz w:val="16"/>
                <w:szCs w:val="16"/>
              </w:rPr>
              <w:t>-Box (L1) (Q):</w:t>
            </w:r>
          </w:p>
        </w:tc>
        <w:tc>
          <w:tcPr>
            <w:tcW w:w="3330" w:type="dxa"/>
            <w:gridSpan w:val="4"/>
          </w:tcPr>
          <w:p w14:paraId="4C328692" w14:textId="20D61FA5" w:rsidR="00300E25" w:rsidRPr="00300E25" w:rsidRDefault="00300E25" w:rsidP="00300E25">
            <w:pPr>
              <w:jc w:val="both"/>
              <w:rPr>
                <w:sz w:val="16"/>
                <w:szCs w:val="16"/>
              </w:rPr>
            </w:pPr>
            <w:r w:rsidRPr="00300E25">
              <w:rPr>
                <w:sz w:val="16"/>
                <w:szCs w:val="16"/>
              </w:rPr>
              <w:t>0.03</w:t>
            </w:r>
          </w:p>
        </w:tc>
      </w:tr>
      <w:tr w:rsidR="00300E25" w:rsidRPr="00816CC7" w14:paraId="35F884B7" w14:textId="77777777" w:rsidTr="00A91595">
        <w:trPr>
          <w:trHeight w:val="300"/>
        </w:trPr>
        <w:tc>
          <w:tcPr>
            <w:tcW w:w="1615" w:type="dxa"/>
            <w:noWrap/>
            <w:hideMark/>
          </w:tcPr>
          <w:p w14:paraId="3BECAFC9" w14:textId="04E1BF2B" w:rsidR="00300E25" w:rsidRPr="00300E25" w:rsidRDefault="00300E25" w:rsidP="00300E25">
            <w:pPr>
              <w:jc w:val="both"/>
              <w:rPr>
                <w:b/>
                <w:bCs/>
                <w:sz w:val="16"/>
                <w:szCs w:val="16"/>
              </w:rPr>
            </w:pPr>
            <w:r w:rsidRPr="00300E25">
              <w:rPr>
                <w:b/>
                <w:bCs/>
                <w:sz w:val="16"/>
                <w:szCs w:val="16"/>
              </w:rPr>
              <w:t>Prob(Q):</w:t>
            </w:r>
          </w:p>
        </w:tc>
        <w:tc>
          <w:tcPr>
            <w:tcW w:w="3330" w:type="dxa"/>
            <w:gridSpan w:val="4"/>
          </w:tcPr>
          <w:p w14:paraId="02208E1C" w14:textId="4618D789" w:rsidR="00300E25" w:rsidRPr="00300E25" w:rsidRDefault="00300E25" w:rsidP="00300E25">
            <w:pPr>
              <w:jc w:val="both"/>
              <w:rPr>
                <w:sz w:val="16"/>
                <w:szCs w:val="16"/>
              </w:rPr>
            </w:pPr>
            <w:r w:rsidRPr="00300E25">
              <w:rPr>
                <w:sz w:val="16"/>
                <w:szCs w:val="16"/>
              </w:rPr>
              <w:t>0.85</w:t>
            </w:r>
          </w:p>
        </w:tc>
      </w:tr>
    </w:tbl>
    <w:p w14:paraId="47729A86" w14:textId="785CEA8D" w:rsidR="00696315" w:rsidRDefault="00696315" w:rsidP="004866F4">
      <w:pPr>
        <w:jc w:val="both"/>
      </w:pPr>
    </w:p>
    <w:p w14:paraId="4893A90B" w14:textId="4724154F" w:rsidR="008A1C9B" w:rsidRDefault="008A1C9B" w:rsidP="008A1C9B">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Pr>
          <w:lang w:val="en-US"/>
        </w:rPr>
        <w:t xml:space="preserve">Each AR terms in the model is statistically significant. </w:t>
      </w:r>
      <w:r w:rsidRPr="00A24463">
        <w:t>The residual diagnostics reveals a mean nearing zero, a normal distribution, and non</w:t>
      </w:r>
      <w:r>
        <w:rPr>
          <w:lang w:val="en-US"/>
        </w:rPr>
        <w:t>-</w:t>
      </w:r>
      <w:r w:rsidRPr="00A24463">
        <w:t>significant autocorrelations. By all indications in the study, ARIMA(</w:t>
      </w:r>
      <w:r>
        <w:rPr>
          <w:lang w:val="en-US"/>
        </w:rPr>
        <w:t>0,1,2</w:t>
      </w:r>
      <w:r w:rsidRPr="00A24463">
        <w:t>) is a good fit for the time series.</w:t>
      </w:r>
    </w:p>
    <w:p w14:paraId="22421CE8" w14:textId="63FE8323" w:rsidR="00BE2ED8" w:rsidRDefault="00BE2ED8" w:rsidP="00BE2ED8">
      <w:pPr>
        <w:pStyle w:val="Heading2"/>
        <w:numPr>
          <w:ilvl w:val="0"/>
          <w:numId w:val="0"/>
        </w:numPr>
      </w:pPr>
      <w:r>
        <w:t>Tilapia ITS Fitting and Evaluation</w:t>
      </w:r>
    </w:p>
    <w:p w14:paraId="0F3A799F" w14:textId="1A9DDDC5" w:rsidR="00A228D9" w:rsidRPr="00473E7E" w:rsidRDefault="00473E7E" w:rsidP="00473E7E">
      <w:pPr>
        <w:pStyle w:val="BodyText"/>
        <w:rPr>
          <w:lang w:val="en-US"/>
        </w:rPr>
      </w:pPr>
      <w:r>
        <w:rPr>
          <w:noProof/>
        </w:rPr>
        <mc:AlternateContent>
          <mc:Choice Requires="wps">
            <w:drawing>
              <wp:anchor distT="0" distB="0" distL="114300" distR="114300" simplePos="0" relativeHeight="251705344" behindDoc="0" locked="0" layoutInCell="1" allowOverlap="1" wp14:anchorId="5CFEEB72" wp14:editId="499AB6C0">
                <wp:simplePos x="0" y="0"/>
                <wp:positionH relativeFrom="column">
                  <wp:posOffset>-8799</wp:posOffset>
                </wp:positionH>
                <wp:positionV relativeFrom="paragraph">
                  <wp:posOffset>2341880</wp:posOffset>
                </wp:positionV>
                <wp:extent cx="3089910" cy="635"/>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3A9CD35" w14:textId="7CF7D27D" w:rsidR="00473E7E" w:rsidRPr="00473E7E" w:rsidRDefault="00473E7E" w:rsidP="00473E7E">
                            <w:pPr>
                              <w:pStyle w:val="Caption"/>
                              <w:jc w:val="left"/>
                              <w:rPr>
                                <w:i w:val="0"/>
                                <w:iCs w:val="0"/>
                                <w:noProof/>
                                <w:color w:val="auto"/>
                                <w:spacing w:val="-1"/>
                                <w:lang w:val="x-none" w:eastAsia="x-none"/>
                              </w:rPr>
                            </w:pPr>
                            <w:r w:rsidRPr="00473E7E">
                              <w:rPr>
                                <w:i w:val="0"/>
                                <w:iCs w:val="0"/>
                                <w:color w:val="auto"/>
                                <w:sz w:val="16"/>
                                <w:szCs w:val="16"/>
                              </w:rPr>
                              <w:t>Fig. 6.  Tilapia ITS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EEB72" id="Text Box 25" o:spid="_x0000_s1031" type="#_x0000_t202" style="position:absolute;left:0;text-align:left;margin-left:-.7pt;margin-top:184.4pt;width:243.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qtGAIAAD8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" stroked="f">
                <v:textbox style="mso-fit-shape-to-text:t" inset="0,0,0,0">
                  <w:txbxContent>
                    <w:p w14:paraId="53A9CD35" w14:textId="7CF7D27D" w:rsidR="00473E7E" w:rsidRPr="00473E7E" w:rsidRDefault="00473E7E" w:rsidP="00473E7E">
                      <w:pPr>
                        <w:pStyle w:val="Caption"/>
                        <w:jc w:val="left"/>
                        <w:rPr>
                          <w:i w:val="0"/>
                          <w:iCs w:val="0"/>
                          <w:noProof/>
                          <w:color w:val="auto"/>
                          <w:spacing w:val="-1"/>
                          <w:lang w:val="x-none" w:eastAsia="x-none"/>
                        </w:rPr>
                      </w:pPr>
                      <w:r w:rsidRPr="00473E7E">
                        <w:rPr>
                          <w:i w:val="0"/>
                          <w:iCs w:val="0"/>
                          <w:color w:val="auto"/>
                          <w:sz w:val="16"/>
                          <w:szCs w:val="16"/>
                        </w:rPr>
                        <w:t>Fig. 6.  Tilapia ITS Visualization</w:t>
                      </w:r>
                    </w:p>
                  </w:txbxContent>
                </v:textbox>
              </v:shape>
            </w:pict>
          </mc:Fallback>
        </mc:AlternateContent>
      </w:r>
      <w:r>
        <w:rPr>
          <w:noProof/>
        </w:rPr>
        <w:drawing>
          <wp:anchor distT="0" distB="0" distL="114300" distR="114300" simplePos="0" relativeHeight="251703296" behindDoc="0" locked="0" layoutInCell="1" allowOverlap="1" wp14:anchorId="1BC3C90F" wp14:editId="24F8A213">
            <wp:simplePos x="0" y="0"/>
            <wp:positionH relativeFrom="margin">
              <wp:posOffset>3261360</wp:posOffset>
            </wp:positionH>
            <wp:positionV relativeFrom="margin">
              <wp:posOffset>7594600</wp:posOffset>
            </wp:positionV>
            <wp:extent cx="3089910" cy="17189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3E2519" w:rsidRPr="00E87E96">
        <w:t>After determining that ARIMA(</w:t>
      </w:r>
      <w:r w:rsidR="003E2519">
        <w:rPr>
          <w:lang w:val="en-US"/>
        </w:rPr>
        <w:t>0,1,2</w:t>
      </w:r>
      <w:r w:rsidR="003E2519" w:rsidRPr="00E87E96">
        <w:t xml:space="preserve">) is appropriate, the researcher modeled the counterfactual observation and the intervention point. Figure </w:t>
      </w:r>
      <w:r w:rsidR="003E2519">
        <w:rPr>
          <w:lang w:val="en-US"/>
        </w:rPr>
        <w:t>6</w:t>
      </w:r>
      <w:r w:rsidR="003E2519" w:rsidRPr="00E87E96">
        <w:t xml:space="preserve"> shows a visualization of the ITS model</w:t>
      </w:r>
    </w:p>
    <w:p w14:paraId="6F3C60E9" w14:textId="622527B2" w:rsidR="0098650D" w:rsidRPr="005E52EC" w:rsidRDefault="00704B62" w:rsidP="008563B1">
      <w:pPr>
        <w:pStyle w:val="BodyText"/>
        <w:rPr>
          <w:lang w:val="en-US"/>
        </w:rPr>
      </w:pPr>
      <w:r>
        <w:rPr>
          <w:noProof/>
        </w:rPr>
        <w:lastRenderedPageBreak/>
        <w:drawing>
          <wp:anchor distT="0" distB="0" distL="114300" distR="114300" simplePos="0" relativeHeight="251691008" behindDoc="0" locked="0" layoutInCell="1" allowOverlap="1" wp14:anchorId="3D597611" wp14:editId="651850A7">
            <wp:simplePos x="0" y="0"/>
            <wp:positionH relativeFrom="margin">
              <wp:align>right</wp:align>
            </wp:positionH>
            <wp:positionV relativeFrom="margin">
              <wp:align>top</wp:align>
            </wp:positionV>
            <wp:extent cx="3089910" cy="16363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636395"/>
                    </a:xfrm>
                    <a:prstGeom prst="rect">
                      <a:avLst/>
                    </a:prstGeom>
                    <a:noFill/>
                    <a:ln>
                      <a:noFill/>
                    </a:ln>
                  </pic:spPr>
                </pic:pic>
              </a:graphicData>
            </a:graphic>
          </wp:anchor>
        </w:drawing>
      </w:r>
      <w:r w:rsidR="008563B1" w:rsidRPr="00EC3C2E">
        <w:t xml:space="preserve">The difference between the counterfactual and the training data shows a mean of </w:t>
      </w:r>
      <w:r w:rsidR="00356577">
        <w:rPr>
          <w:lang w:val="en-US"/>
        </w:rPr>
        <w:t>5.28</w:t>
      </w:r>
      <w:r w:rsidR="008563B1" w:rsidRPr="00EC3C2E">
        <w:t xml:space="preserve">, a max of </w:t>
      </w:r>
      <w:r w:rsidR="00356577">
        <w:rPr>
          <w:lang w:val="en-US"/>
        </w:rPr>
        <w:t>18.51</w:t>
      </w:r>
      <w:r w:rsidR="008563B1" w:rsidRPr="00EC3C2E">
        <w:t xml:space="preserve"> and a minimum of </w:t>
      </w:r>
      <w:r w:rsidR="00356577">
        <w:rPr>
          <w:lang w:val="en-US"/>
        </w:rPr>
        <w:t>-0.48</w:t>
      </w:r>
      <w:r w:rsidR="008563B1" w:rsidRPr="00EC3C2E">
        <w:t xml:space="preserve">. Plotting the difference shows a change in expected prices during the months of </w:t>
      </w:r>
      <w:r w:rsidR="00356577">
        <w:rPr>
          <w:lang w:val="en-US"/>
        </w:rPr>
        <w:t>April through June</w:t>
      </w:r>
      <w:r w:rsidR="008563B1" w:rsidRPr="00EC3C2E">
        <w:t xml:space="preserve"> of 2020 indicating an impact of the intervention during these months.</w:t>
      </w:r>
      <w:r w:rsidR="008563B1" w:rsidRPr="00027B01">
        <w:t xml:space="preserve"> The model itself was evaluated with RMSE showing a value of </w:t>
      </w:r>
      <w:r w:rsidR="00230337">
        <w:rPr>
          <w:lang w:val="en-US"/>
        </w:rPr>
        <w:t>4.42</w:t>
      </w:r>
      <w:r w:rsidR="008563B1" w:rsidRPr="00027B01">
        <w:t xml:space="preserve"> indicating a minimal margin of error</w:t>
      </w:r>
      <w:r w:rsidR="005E52EC">
        <w:rPr>
          <w:lang w:val="en-US"/>
        </w:rPr>
        <w:t>.</w:t>
      </w:r>
    </w:p>
    <w:p w14:paraId="50CF1774" w14:textId="3C7DF194" w:rsidR="00606824" w:rsidRDefault="00212EE3" w:rsidP="00606824">
      <w:pPr>
        <w:pStyle w:val="Heading2"/>
        <w:numPr>
          <w:ilvl w:val="0"/>
          <w:numId w:val="0"/>
        </w:numPr>
      </w:pPr>
      <w:r>
        <w:t>Tilapia</w:t>
      </w:r>
      <w:r w:rsidR="00606824">
        <w:t xml:space="preserve"> Forecasting</w:t>
      </w:r>
    </w:p>
    <w:p w14:paraId="336C08A0" w14:textId="22591021" w:rsidR="00DC6E70" w:rsidRDefault="002308A0" w:rsidP="008916A9">
      <w:pPr>
        <w:pStyle w:val="BodyText"/>
      </w:pPr>
      <w:r>
        <w:rPr>
          <w:noProof/>
        </w:rPr>
        <mc:AlternateContent>
          <mc:Choice Requires="wps">
            <w:drawing>
              <wp:anchor distT="0" distB="0" distL="114300" distR="114300" simplePos="0" relativeHeight="251688960" behindDoc="0" locked="0" layoutInCell="1" allowOverlap="1" wp14:anchorId="4F95FC97" wp14:editId="3C97B331">
                <wp:simplePos x="0" y="0"/>
                <wp:positionH relativeFrom="column">
                  <wp:posOffset>-114300</wp:posOffset>
                </wp:positionH>
                <wp:positionV relativeFrom="paragraph">
                  <wp:posOffset>2160270</wp:posOffset>
                </wp:positionV>
                <wp:extent cx="3089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593291C" w14:textId="68EAE18B" w:rsidR="002308A0" w:rsidRPr="002308A0" w:rsidRDefault="002308A0" w:rsidP="002308A0">
                            <w:pPr>
                              <w:pStyle w:val="Caption"/>
                              <w:jc w:val="left"/>
                              <w:rPr>
                                <w:i w:val="0"/>
                                <w:iCs w:val="0"/>
                                <w:noProof/>
                                <w:color w:val="auto"/>
                                <w:spacing w:val="-1"/>
                                <w:lang w:val="x-none" w:eastAsia="x-none"/>
                              </w:rPr>
                            </w:pPr>
                            <w:r w:rsidRPr="002308A0">
                              <w:rPr>
                                <w:i w:val="0"/>
                                <w:iCs w:val="0"/>
                                <w:color w:val="auto"/>
                                <w:sz w:val="16"/>
                                <w:szCs w:val="16"/>
                              </w:rPr>
                              <w:t>Fig. 7. Tilapia Prevailing Prices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5FC97" id="Text Box 11" o:spid="_x0000_s1032" type="#_x0000_t202" style="position:absolute;left:0;text-align:left;margin-left:-9pt;margin-top:170.1pt;width:243.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" stroked="f">
                <v:textbox style="mso-fit-shape-to-text:t" inset="0,0,0,0">
                  <w:txbxContent>
                    <w:p w14:paraId="7593291C" w14:textId="68EAE18B" w:rsidR="002308A0" w:rsidRPr="002308A0" w:rsidRDefault="002308A0" w:rsidP="002308A0">
                      <w:pPr>
                        <w:pStyle w:val="Caption"/>
                        <w:jc w:val="left"/>
                        <w:rPr>
                          <w:i w:val="0"/>
                          <w:iCs w:val="0"/>
                          <w:noProof/>
                          <w:color w:val="auto"/>
                          <w:spacing w:val="-1"/>
                          <w:lang w:val="x-none" w:eastAsia="x-none"/>
                        </w:rPr>
                      </w:pPr>
                      <w:r w:rsidRPr="002308A0">
                        <w:rPr>
                          <w:i w:val="0"/>
                          <w:iCs w:val="0"/>
                          <w:color w:val="auto"/>
                          <w:sz w:val="16"/>
                          <w:szCs w:val="16"/>
                        </w:rPr>
                        <w:t>Fig. 7. Tilapia Prevailing Prices (Forecast)</w:t>
                      </w:r>
                    </w:p>
                  </w:txbxContent>
                </v:textbox>
                <w10:wrap type="square"/>
              </v:shape>
            </w:pict>
          </mc:Fallback>
        </mc:AlternateContent>
      </w:r>
      <w:r w:rsidR="00DA0844">
        <w:rPr>
          <w:noProof/>
        </w:rPr>
        <w:drawing>
          <wp:anchor distT="0" distB="0" distL="114300" distR="114300" simplePos="0" relativeHeight="251686912" behindDoc="0" locked="0" layoutInCell="1" allowOverlap="1" wp14:anchorId="7C85989A" wp14:editId="4E544FB5">
            <wp:simplePos x="0" y="0"/>
            <wp:positionH relativeFrom="margin">
              <wp:posOffset>-114300</wp:posOffset>
            </wp:positionH>
            <wp:positionV relativeFrom="margin">
              <wp:posOffset>1722120</wp:posOffset>
            </wp:positionV>
            <wp:extent cx="3089910" cy="168846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88465"/>
                    </a:xfrm>
                    <a:prstGeom prst="rect">
                      <a:avLst/>
                    </a:prstGeom>
                    <a:noFill/>
                    <a:ln>
                      <a:noFill/>
                    </a:ln>
                  </pic:spPr>
                </pic:pic>
              </a:graphicData>
            </a:graphic>
          </wp:anchor>
        </w:drawing>
      </w:r>
      <w:r w:rsidR="008916A9">
        <w:t xml:space="preserve">Figure </w:t>
      </w:r>
      <w:r w:rsidR="00DA0844">
        <w:rPr>
          <w:lang w:val="en-US"/>
        </w:rPr>
        <w:t>7</w:t>
      </w:r>
      <w:r w:rsidR="008916A9">
        <w:t xml:space="preserve"> displays the </w:t>
      </w:r>
      <w:r w:rsidR="004E2857">
        <w:rPr>
          <w:lang w:val="en-US"/>
        </w:rPr>
        <w:t>Tilapia</w:t>
      </w:r>
      <w:r w:rsidR="008916A9">
        <w:t xml:space="preserve"> prices per kilogram from October 1, 2019 to August 31, 2021</w:t>
      </w:r>
      <w:r w:rsidR="00E652B7">
        <w:tab/>
      </w:r>
    </w:p>
    <w:p w14:paraId="56F6ADE0" w14:textId="11430A7E" w:rsidR="00DA0844" w:rsidRDefault="00AA5818" w:rsidP="008916A9">
      <w:pPr>
        <w:pStyle w:val="BodyText"/>
      </w:pPr>
      <w:r>
        <w:rPr>
          <w:lang w:val="en-US"/>
        </w:rPr>
        <w:t xml:space="preserve">After doing the same </w:t>
      </w:r>
      <w:proofErr w:type="gramStart"/>
      <w:r>
        <w:rPr>
          <w:lang w:val="en-US"/>
        </w:rPr>
        <w:t>Box</w:t>
      </w:r>
      <w:proofErr w:type="gramEnd"/>
      <w:r>
        <w:rPr>
          <w:lang w:val="en-US"/>
        </w:rPr>
        <w:t xml:space="preserve">-Jenkins methodology for this time series, it was determined that the ADF p-value is </w:t>
      </w:r>
      <w:r w:rsidR="00DE4EFE">
        <w:rPr>
          <w:lang w:val="en-US"/>
        </w:rPr>
        <w:t>less</w:t>
      </w:r>
      <w:r>
        <w:rPr>
          <w:lang w:val="en-US"/>
        </w:rPr>
        <w:t xml:space="preserve"> than 0.05 revealing that the time series is stationary.</w:t>
      </w:r>
      <w:r w:rsidR="00DE4EFE">
        <w:rPr>
          <w:lang w:val="en-US"/>
        </w:rPr>
        <w:t xml:space="preserve"> However, the ACF plot shows a high number of statistically significant autocorrelations meaning that differencing is necessary.</w:t>
      </w:r>
      <w:r>
        <w:rPr>
          <w:lang w:val="en-US"/>
        </w:rPr>
        <w:t xml:space="preserve"> After differencing by an order of one and conducting another ADF test, the time series was determined to be stationary indicating that the order of differencing </w:t>
      </w:r>
      <w:r w:rsidRPr="005B1AA4">
        <w:rPr>
          <w:b/>
          <w:bCs/>
          <w:lang w:val="en-US"/>
        </w:rPr>
        <w:t>d</w:t>
      </w:r>
      <w:r>
        <w:rPr>
          <w:lang w:val="en-US"/>
        </w:rPr>
        <w:t xml:space="preserve"> for the model was one. After</w:t>
      </w:r>
      <w:r w:rsidR="001A7BB5">
        <w:rPr>
          <w:lang w:val="en-US"/>
        </w:rPr>
        <w:t xml:space="preserve"> plotting the ACF and the PACF of the differenced time series, it displayed a sharp cut-off on the ACF plot at lag-</w:t>
      </w:r>
      <w:r w:rsidR="004B1225">
        <w:rPr>
          <w:lang w:val="en-US"/>
        </w:rPr>
        <w:t>2</w:t>
      </w:r>
      <w:r w:rsidR="001A7BB5">
        <w:rPr>
          <w:lang w:val="en-US"/>
        </w:rPr>
        <w:t xml:space="preserve"> concluding that the ARIMA model would need </w:t>
      </w:r>
      <w:r w:rsidR="004B1225">
        <w:rPr>
          <w:lang w:val="en-US"/>
        </w:rPr>
        <w:t>2</w:t>
      </w:r>
      <w:r w:rsidR="001A7BB5">
        <w:rPr>
          <w:lang w:val="en-US"/>
        </w:rPr>
        <w:t xml:space="preserve"> MA terms. Table </w:t>
      </w:r>
      <w:r w:rsidR="00FB20C3">
        <w:rPr>
          <w:lang w:val="en-US"/>
        </w:rPr>
        <w:t>8</w:t>
      </w:r>
      <w:r w:rsidR="001A7BB5">
        <w:rPr>
          <w:lang w:val="en-US"/>
        </w:rPr>
        <w:t xml:space="preserve"> reveals the summary of the ARIMA after fitting.</w:t>
      </w:r>
    </w:p>
    <w:p w14:paraId="3B294A2E" w14:textId="41A6A53E" w:rsidR="00FB20C3" w:rsidRPr="008F0A6C" w:rsidRDefault="00FB20C3" w:rsidP="00FB20C3">
      <w:pPr>
        <w:pStyle w:val="tablehead"/>
      </w:pPr>
      <w:r>
        <w:t>ARIMA Fitting summary of Tilapia Forecasting</w:t>
      </w:r>
    </w:p>
    <w:tbl>
      <w:tblPr>
        <w:tblStyle w:val="TableGrid"/>
        <w:tblW w:w="4945" w:type="dxa"/>
        <w:tblLayout w:type="fixed"/>
        <w:tblLook w:val="04A0" w:firstRow="1" w:lastRow="0" w:firstColumn="1" w:lastColumn="0" w:noHBand="0" w:noVBand="1"/>
      </w:tblPr>
      <w:tblGrid>
        <w:gridCol w:w="1615"/>
        <w:gridCol w:w="990"/>
        <w:gridCol w:w="900"/>
        <w:gridCol w:w="810"/>
        <w:gridCol w:w="630"/>
      </w:tblGrid>
      <w:tr w:rsidR="00FB20C3" w:rsidRPr="00816CC7" w14:paraId="34228F05" w14:textId="77777777" w:rsidTr="008C3C99">
        <w:trPr>
          <w:trHeight w:val="300"/>
        </w:trPr>
        <w:tc>
          <w:tcPr>
            <w:tcW w:w="1615" w:type="dxa"/>
            <w:noWrap/>
            <w:hideMark/>
          </w:tcPr>
          <w:p w14:paraId="3A0FA4F9" w14:textId="77777777" w:rsidR="00FB20C3" w:rsidRPr="00300E25" w:rsidRDefault="00FB20C3" w:rsidP="008C3C99">
            <w:pPr>
              <w:jc w:val="both"/>
              <w:rPr>
                <w:sz w:val="16"/>
                <w:szCs w:val="16"/>
              </w:rPr>
            </w:pPr>
          </w:p>
        </w:tc>
        <w:tc>
          <w:tcPr>
            <w:tcW w:w="990" w:type="dxa"/>
            <w:hideMark/>
          </w:tcPr>
          <w:p w14:paraId="0538AB45" w14:textId="77777777" w:rsidR="00FB20C3" w:rsidRPr="00300E25" w:rsidRDefault="00FB20C3" w:rsidP="008C3C99">
            <w:pPr>
              <w:jc w:val="both"/>
              <w:rPr>
                <w:b/>
                <w:bCs/>
                <w:sz w:val="16"/>
                <w:szCs w:val="16"/>
              </w:rPr>
            </w:pPr>
            <w:proofErr w:type="spellStart"/>
            <w:r w:rsidRPr="00300E25">
              <w:rPr>
                <w:b/>
                <w:bCs/>
                <w:sz w:val="16"/>
                <w:szCs w:val="16"/>
              </w:rPr>
              <w:t>coef</w:t>
            </w:r>
            <w:proofErr w:type="spellEnd"/>
          </w:p>
        </w:tc>
        <w:tc>
          <w:tcPr>
            <w:tcW w:w="900" w:type="dxa"/>
            <w:hideMark/>
          </w:tcPr>
          <w:p w14:paraId="6A0F1C21" w14:textId="77777777" w:rsidR="00FB20C3" w:rsidRPr="00300E25" w:rsidRDefault="00FB20C3" w:rsidP="008C3C99">
            <w:pPr>
              <w:jc w:val="both"/>
              <w:rPr>
                <w:b/>
                <w:bCs/>
                <w:sz w:val="16"/>
                <w:szCs w:val="16"/>
              </w:rPr>
            </w:pPr>
            <w:r w:rsidRPr="00300E25">
              <w:rPr>
                <w:b/>
                <w:bCs/>
                <w:sz w:val="16"/>
                <w:szCs w:val="16"/>
              </w:rPr>
              <w:t>std. error</w:t>
            </w:r>
          </w:p>
        </w:tc>
        <w:tc>
          <w:tcPr>
            <w:tcW w:w="810" w:type="dxa"/>
            <w:hideMark/>
          </w:tcPr>
          <w:p w14:paraId="60B70251" w14:textId="77777777" w:rsidR="00FB20C3" w:rsidRPr="00300E25" w:rsidRDefault="00FB20C3" w:rsidP="008C3C99">
            <w:pPr>
              <w:jc w:val="both"/>
              <w:rPr>
                <w:b/>
                <w:bCs/>
                <w:sz w:val="16"/>
                <w:szCs w:val="16"/>
              </w:rPr>
            </w:pPr>
            <w:r w:rsidRPr="00300E25">
              <w:rPr>
                <w:b/>
                <w:bCs/>
                <w:sz w:val="16"/>
                <w:szCs w:val="16"/>
              </w:rPr>
              <w:t>z-value</w:t>
            </w:r>
          </w:p>
        </w:tc>
        <w:tc>
          <w:tcPr>
            <w:tcW w:w="630" w:type="dxa"/>
            <w:hideMark/>
          </w:tcPr>
          <w:p w14:paraId="67E0BF94" w14:textId="77777777" w:rsidR="00FB20C3" w:rsidRPr="00300E25" w:rsidRDefault="00FB20C3" w:rsidP="008C3C99">
            <w:pPr>
              <w:jc w:val="both"/>
              <w:rPr>
                <w:b/>
                <w:bCs/>
                <w:sz w:val="16"/>
                <w:szCs w:val="16"/>
              </w:rPr>
            </w:pPr>
            <w:r w:rsidRPr="00300E25">
              <w:rPr>
                <w:b/>
                <w:bCs/>
                <w:sz w:val="16"/>
                <w:szCs w:val="16"/>
              </w:rPr>
              <w:t>P&gt;|z|</w:t>
            </w:r>
          </w:p>
        </w:tc>
      </w:tr>
      <w:tr w:rsidR="006900BF" w:rsidRPr="00816CC7" w14:paraId="49B92C73" w14:textId="77777777" w:rsidTr="008C3C99">
        <w:trPr>
          <w:trHeight w:val="300"/>
        </w:trPr>
        <w:tc>
          <w:tcPr>
            <w:tcW w:w="1615" w:type="dxa"/>
            <w:hideMark/>
          </w:tcPr>
          <w:p w14:paraId="2CD58F21" w14:textId="34B95AD4" w:rsidR="006900BF" w:rsidRPr="00F7344A" w:rsidRDefault="006900BF" w:rsidP="006900BF">
            <w:pPr>
              <w:jc w:val="both"/>
              <w:rPr>
                <w:b/>
                <w:bCs/>
                <w:sz w:val="16"/>
                <w:szCs w:val="16"/>
              </w:rPr>
            </w:pPr>
            <w:proofErr w:type="gramStart"/>
            <w:r w:rsidRPr="00F7344A">
              <w:rPr>
                <w:b/>
                <w:bCs/>
                <w:sz w:val="16"/>
                <w:szCs w:val="16"/>
              </w:rPr>
              <w:t>ma.L</w:t>
            </w:r>
            <w:proofErr w:type="gramEnd"/>
            <w:r w:rsidRPr="00F7344A">
              <w:rPr>
                <w:b/>
                <w:bCs/>
                <w:sz w:val="16"/>
                <w:szCs w:val="16"/>
              </w:rPr>
              <w:t xml:space="preserve">1 </w:t>
            </w:r>
          </w:p>
        </w:tc>
        <w:tc>
          <w:tcPr>
            <w:tcW w:w="990" w:type="dxa"/>
            <w:hideMark/>
          </w:tcPr>
          <w:p w14:paraId="17E0B670" w14:textId="78898480" w:rsidR="006900BF" w:rsidRPr="006900BF" w:rsidRDefault="006900BF" w:rsidP="006900BF">
            <w:pPr>
              <w:jc w:val="both"/>
              <w:rPr>
                <w:sz w:val="16"/>
                <w:szCs w:val="16"/>
              </w:rPr>
            </w:pPr>
            <w:r w:rsidRPr="006900BF">
              <w:rPr>
                <w:sz w:val="16"/>
                <w:szCs w:val="16"/>
              </w:rPr>
              <w:t xml:space="preserve">-0.5152 </w:t>
            </w:r>
          </w:p>
        </w:tc>
        <w:tc>
          <w:tcPr>
            <w:tcW w:w="900" w:type="dxa"/>
            <w:hideMark/>
          </w:tcPr>
          <w:p w14:paraId="22C3AB2D" w14:textId="629D8A9F" w:rsidR="006900BF" w:rsidRPr="006900BF" w:rsidRDefault="006900BF" w:rsidP="006900BF">
            <w:pPr>
              <w:jc w:val="both"/>
              <w:rPr>
                <w:sz w:val="16"/>
                <w:szCs w:val="16"/>
              </w:rPr>
            </w:pPr>
            <w:r w:rsidRPr="006900BF">
              <w:rPr>
                <w:sz w:val="16"/>
                <w:szCs w:val="16"/>
              </w:rPr>
              <w:t xml:space="preserve">0.021 </w:t>
            </w:r>
          </w:p>
        </w:tc>
        <w:tc>
          <w:tcPr>
            <w:tcW w:w="810" w:type="dxa"/>
            <w:hideMark/>
          </w:tcPr>
          <w:p w14:paraId="478A9193" w14:textId="1F361066" w:rsidR="006900BF" w:rsidRPr="006900BF" w:rsidRDefault="006900BF" w:rsidP="006900BF">
            <w:pPr>
              <w:jc w:val="both"/>
              <w:rPr>
                <w:sz w:val="16"/>
                <w:szCs w:val="16"/>
              </w:rPr>
            </w:pPr>
            <w:r w:rsidRPr="006900BF">
              <w:rPr>
                <w:sz w:val="16"/>
                <w:szCs w:val="16"/>
              </w:rPr>
              <w:t xml:space="preserve">-24.460 </w:t>
            </w:r>
          </w:p>
        </w:tc>
        <w:tc>
          <w:tcPr>
            <w:tcW w:w="630" w:type="dxa"/>
            <w:hideMark/>
          </w:tcPr>
          <w:p w14:paraId="29FF7F08" w14:textId="7A4C08AA" w:rsidR="006900BF" w:rsidRPr="006900BF" w:rsidRDefault="006900BF" w:rsidP="006900BF">
            <w:pPr>
              <w:jc w:val="both"/>
              <w:rPr>
                <w:sz w:val="16"/>
                <w:szCs w:val="16"/>
              </w:rPr>
            </w:pPr>
            <w:r w:rsidRPr="006900BF">
              <w:rPr>
                <w:sz w:val="16"/>
                <w:szCs w:val="16"/>
              </w:rPr>
              <w:t xml:space="preserve">0.000 </w:t>
            </w:r>
          </w:p>
        </w:tc>
      </w:tr>
      <w:tr w:rsidR="006900BF" w:rsidRPr="00816CC7" w14:paraId="305DDB41" w14:textId="77777777" w:rsidTr="008C3C99">
        <w:trPr>
          <w:trHeight w:val="300"/>
        </w:trPr>
        <w:tc>
          <w:tcPr>
            <w:tcW w:w="1615" w:type="dxa"/>
            <w:hideMark/>
          </w:tcPr>
          <w:p w14:paraId="5FEB09BF" w14:textId="4E3A666C" w:rsidR="006900BF" w:rsidRPr="00F7344A" w:rsidRDefault="006900BF" w:rsidP="006900BF">
            <w:pPr>
              <w:jc w:val="both"/>
              <w:rPr>
                <w:b/>
                <w:bCs/>
                <w:sz w:val="16"/>
                <w:szCs w:val="16"/>
              </w:rPr>
            </w:pPr>
            <w:proofErr w:type="gramStart"/>
            <w:r w:rsidRPr="00F7344A">
              <w:rPr>
                <w:b/>
                <w:bCs/>
                <w:sz w:val="16"/>
                <w:szCs w:val="16"/>
              </w:rPr>
              <w:t>ma.L</w:t>
            </w:r>
            <w:proofErr w:type="gramEnd"/>
            <w:r w:rsidRPr="00F7344A">
              <w:rPr>
                <w:b/>
                <w:bCs/>
                <w:sz w:val="16"/>
                <w:szCs w:val="16"/>
              </w:rPr>
              <w:t xml:space="preserve">2 </w:t>
            </w:r>
          </w:p>
        </w:tc>
        <w:tc>
          <w:tcPr>
            <w:tcW w:w="990" w:type="dxa"/>
            <w:hideMark/>
          </w:tcPr>
          <w:p w14:paraId="56E1D9A6" w14:textId="69A68837" w:rsidR="006900BF" w:rsidRPr="006900BF" w:rsidRDefault="006900BF" w:rsidP="006900BF">
            <w:pPr>
              <w:jc w:val="both"/>
              <w:rPr>
                <w:sz w:val="16"/>
                <w:szCs w:val="16"/>
              </w:rPr>
            </w:pPr>
            <w:r w:rsidRPr="006900BF">
              <w:rPr>
                <w:sz w:val="16"/>
                <w:szCs w:val="16"/>
              </w:rPr>
              <w:t xml:space="preserve">-0.1754 </w:t>
            </w:r>
          </w:p>
        </w:tc>
        <w:tc>
          <w:tcPr>
            <w:tcW w:w="900" w:type="dxa"/>
            <w:hideMark/>
          </w:tcPr>
          <w:p w14:paraId="31679969" w14:textId="74E0A4FF" w:rsidR="006900BF" w:rsidRPr="006900BF" w:rsidRDefault="006900BF" w:rsidP="006900BF">
            <w:pPr>
              <w:jc w:val="both"/>
              <w:rPr>
                <w:sz w:val="16"/>
                <w:szCs w:val="16"/>
              </w:rPr>
            </w:pPr>
            <w:r w:rsidRPr="006900BF">
              <w:rPr>
                <w:sz w:val="16"/>
                <w:szCs w:val="16"/>
              </w:rPr>
              <w:t xml:space="preserve">0.026 </w:t>
            </w:r>
          </w:p>
        </w:tc>
        <w:tc>
          <w:tcPr>
            <w:tcW w:w="810" w:type="dxa"/>
            <w:hideMark/>
          </w:tcPr>
          <w:p w14:paraId="6E751E65" w14:textId="0F129982" w:rsidR="006900BF" w:rsidRPr="006900BF" w:rsidRDefault="006900BF" w:rsidP="006900BF">
            <w:pPr>
              <w:jc w:val="both"/>
              <w:rPr>
                <w:sz w:val="16"/>
                <w:szCs w:val="16"/>
              </w:rPr>
            </w:pPr>
            <w:r w:rsidRPr="006900BF">
              <w:rPr>
                <w:sz w:val="16"/>
                <w:szCs w:val="16"/>
              </w:rPr>
              <w:t xml:space="preserve">-6.868 </w:t>
            </w:r>
          </w:p>
        </w:tc>
        <w:tc>
          <w:tcPr>
            <w:tcW w:w="630" w:type="dxa"/>
            <w:hideMark/>
          </w:tcPr>
          <w:p w14:paraId="1E1BECF3" w14:textId="77DC184A" w:rsidR="006900BF" w:rsidRPr="006900BF" w:rsidRDefault="006900BF" w:rsidP="006900BF">
            <w:pPr>
              <w:jc w:val="both"/>
              <w:rPr>
                <w:sz w:val="16"/>
                <w:szCs w:val="16"/>
              </w:rPr>
            </w:pPr>
            <w:r w:rsidRPr="006900BF">
              <w:rPr>
                <w:sz w:val="16"/>
                <w:szCs w:val="16"/>
              </w:rPr>
              <w:t xml:space="preserve">0.000 </w:t>
            </w:r>
          </w:p>
        </w:tc>
      </w:tr>
      <w:tr w:rsidR="006900BF" w:rsidRPr="00816CC7" w14:paraId="30CE1F2F" w14:textId="77777777" w:rsidTr="008C3C99">
        <w:trPr>
          <w:trHeight w:val="300"/>
        </w:trPr>
        <w:tc>
          <w:tcPr>
            <w:tcW w:w="1615" w:type="dxa"/>
          </w:tcPr>
          <w:p w14:paraId="1BB11033" w14:textId="03ADDF9D" w:rsidR="006900BF" w:rsidRPr="00F7344A" w:rsidRDefault="006900BF" w:rsidP="006900BF">
            <w:pPr>
              <w:jc w:val="both"/>
              <w:rPr>
                <w:b/>
                <w:bCs/>
                <w:sz w:val="16"/>
                <w:szCs w:val="16"/>
              </w:rPr>
            </w:pPr>
            <w:r w:rsidRPr="00F7344A">
              <w:rPr>
                <w:b/>
                <w:bCs/>
                <w:sz w:val="16"/>
                <w:szCs w:val="16"/>
              </w:rPr>
              <w:t xml:space="preserve">sigma2 </w:t>
            </w:r>
          </w:p>
        </w:tc>
        <w:tc>
          <w:tcPr>
            <w:tcW w:w="990" w:type="dxa"/>
          </w:tcPr>
          <w:p w14:paraId="72C74838" w14:textId="79F2BD6C" w:rsidR="006900BF" w:rsidRPr="006900BF" w:rsidRDefault="006900BF" w:rsidP="006900BF">
            <w:pPr>
              <w:jc w:val="both"/>
              <w:rPr>
                <w:sz w:val="16"/>
                <w:szCs w:val="16"/>
              </w:rPr>
            </w:pPr>
            <w:r w:rsidRPr="006900BF">
              <w:rPr>
                <w:sz w:val="16"/>
                <w:szCs w:val="16"/>
              </w:rPr>
              <w:t xml:space="preserve">13.1740 </w:t>
            </w:r>
          </w:p>
        </w:tc>
        <w:tc>
          <w:tcPr>
            <w:tcW w:w="900" w:type="dxa"/>
          </w:tcPr>
          <w:p w14:paraId="622A886C" w14:textId="418EF556" w:rsidR="006900BF" w:rsidRPr="006900BF" w:rsidRDefault="006900BF" w:rsidP="006900BF">
            <w:pPr>
              <w:jc w:val="both"/>
              <w:rPr>
                <w:sz w:val="16"/>
                <w:szCs w:val="16"/>
              </w:rPr>
            </w:pPr>
            <w:r w:rsidRPr="006900BF">
              <w:rPr>
                <w:sz w:val="16"/>
                <w:szCs w:val="16"/>
              </w:rPr>
              <w:t xml:space="preserve">0.307 </w:t>
            </w:r>
          </w:p>
        </w:tc>
        <w:tc>
          <w:tcPr>
            <w:tcW w:w="810" w:type="dxa"/>
          </w:tcPr>
          <w:p w14:paraId="14C08FA6" w14:textId="117DA0FF" w:rsidR="006900BF" w:rsidRPr="006900BF" w:rsidRDefault="006900BF" w:rsidP="006900BF">
            <w:pPr>
              <w:jc w:val="both"/>
              <w:rPr>
                <w:sz w:val="16"/>
                <w:szCs w:val="16"/>
              </w:rPr>
            </w:pPr>
            <w:r w:rsidRPr="006900BF">
              <w:rPr>
                <w:sz w:val="16"/>
                <w:szCs w:val="16"/>
              </w:rPr>
              <w:t xml:space="preserve">42.883 </w:t>
            </w:r>
          </w:p>
        </w:tc>
        <w:tc>
          <w:tcPr>
            <w:tcW w:w="630" w:type="dxa"/>
          </w:tcPr>
          <w:p w14:paraId="3A5382CF" w14:textId="69B7E20B" w:rsidR="006900BF" w:rsidRPr="006900BF" w:rsidRDefault="006900BF" w:rsidP="006900BF">
            <w:pPr>
              <w:jc w:val="both"/>
              <w:rPr>
                <w:sz w:val="16"/>
                <w:szCs w:val="16"/>
              </w:rPr>
            </w:pPr>
            <w:r w:rsidRPr="006900BF">
              <w:rPr>
                <w:sz w:val="16"/>
                <w:szCs w:val="16"/>
              </w:rPr>
              <w:t xml:space="preserve">0.000 </w:t>
            </w:r>
          </w:p>
        </w:tc>
      </w:tr>
      <w:tr w:rsidR="00FB20C3" w:rsidRPr="00816CC7" w14:paraId="032682C4" w14:textId="77777777" w:rsidTr="008C3C99">
        <w:trPr>
          <w:trHeight w:val="300"/>
        </w:trPr>
        <w:tc>
          <w:tcPr>
            <w:tcW w:w="4945" w:type="dxa"/>
            <w:gridSpan w:val="5"/>
          </w:tcPr>
          <w:p w14:paraId="6E8F1BB3" w14:textId="77777777" w:rsidR="00FB20C3" w:rsidRPr="00300E25" w:rsidRDefault="00FB20C3" w:rsidP="008C3C99">
            <w:pPr>
              <w:jc w:val="both"/>
              <w:rPr>
                <w:b/>
                <w:bCs/>
                <w:sz w:val="16"/>
                <w:szCs w:val="16"/>
              </w:rPr>
            </w:pPr>
          </w:p>
        </w:tc>
      </w:tr>
      <w:tr w:rsidR="00E329E5" w:rsidRPr="00816CC7" w14:paraId="14606A90" w14:textId="77777777" w:rsidTr="008C3C99">
        <w:trPr>
          <w:trHeight w:val="300"/>
        </w:trPr>
        <w:tc>
          <w:tcPr>
            <w:tcW w:w="1615" w:type="dxa"/>
          </w:tcPr>
          <w:p w14:paraId="7773397F" w14:textId="45B52C4E" w:rsidR="00E329E5" w:rsidRPr="00E329E5" w:rsidRDefault="00E329E5" w:rsidP="00E329E5">
            <w:pPr>
              <w:jc w:val="both"/>
              <w:rPr>
                <w:b/>
                <w:bCs/>
                <w:sz w:val="16"/>
                <w:szCs w:val="16"/>
              </w:rPr>
            </w:pPr>
            <w:proofErr w:type="spellStart"/>
            <w:r w:rsidRPr="00E329E5">
              <w:rPr>
                <w:b/>
                <w:bCs/>
                <w:sz w:val="16"/>
                <w:szCs w:val="16"/>
              </w:rPr>
              <w:t>Ljung</w:t>
            </w:r>
            <w:proofErr w:type="spellEnd"/>
            <w:r w:rsidRPr="00E329E5">
              <w:rPr>
                <w:b/>
                <w:bCs/>
                <w:sz w:val="16"/>
                <w:szCs w:val="16"/>
              </w:rPr>
              <w:t xml:space="preserve">-Box (L1) (Q): </w:t>
            </w:r>
          </w:p>
        </w:tc>
        <w:tc>
          <w:tcPr>
            <w:tcW w:w="3330" w:type="dxa"/>
            <w:gridSpan w:val="4"/>
          </w:tcPr>
          <w:p w14:paraId="1A71A1FF" w14:textId="6A62E4EE" w:rsidR="00E329E5" w:rsidRPr="00E329E5" w:rsidRDefault="00E329E5" w:rsidP="00E329E5">
            <w:pPr>
              <w:jc w:val="both"/>
              <w:rPr>
                <w:sz w:val="16"/>
                <w:szCs w:val="16"/>
              </w:rPr>
            </w:pPr>
            <w:r w:rsidRPr="00E329E5">
              <w:rPr>
                <w:sz w:val="16"/>
                <w:szCs w:val="16"/>
              </w:rPr>
              <w:t xml:space="preserve">0.21 </w:t>
            </w:r>
          </w:p>
        </w:tc>
      </w:tr>
      <w:tr w:rsidR="00E329E5" w:rsidRPr="00816CC7" w14:paraId="7D3B507E" w14:textId="77777777" w:rsidTr="008C3C99">
        <w:trPr>
          <w:trHeight w:val="300"/>
        </w:trPr>
        <w:tc>
          <w:tcPr>
            <w:tcW w:w="1615" w:type="dxa"/>
            <w:noWrap/>
            <w:hideMark/>
          </w:tcPr>
          <w:p w14:paraId="51E4CF42" w14:textId="5623C9D1" w:rsidR="00E329E5" w:rsidRPr="00E329E5" w:rsidRDefault="00E329E5" w:rsidP="00E329E5">
            <w:pPr>
              <w:jc w:val="both"/>
              <w:rPr>
                <w:b/>
                <w:bCs/>
                <w:sz w:val="16"/>
                <w:szCs w:val="16"/>
              </w:rPr>
            </w:pPr>
            <w:r w:rsidRPr="00E329E5">
              <w:rPr>
                <w:b/>
                <w:bCs/>
                <w:sz w:val="16"/>
                <w:szCs w:val="16"/>
              </w:rPr>
              <w:t xml:space="preserve">Prob(Q): </w:t>
            </w:r>
          </w:p>
        </w:tc>
        <w:tc>
          <w:tcPr>
            <w:tcW w:w="3330" w:type="dxa"/>
            <w:gridSpan w:val="4"/>
          </w:tcPr>
          <w:p w14:paraId="51EFF29D" w14:textId="0C18AC42" w:rsidR="00E329E5" w:rsidRPr="00E329E5" w:rsidRDefault="00E329E5" w:rsidP="00E329E5">
            <w:pPr>
              <w:jc w:val="both"/>
              <w:rPr>
                <w:sz w:val="16"/>
                <w:szCs w:val="16"/>
              </w:rPr>
            </w:pPr>
            <w:r w:rsidRPr="00E329E5">
              <w:rPr>
                <w:sz w:val="16"/>
                <w:szCs w:val="16"/>
              </w:rPr>
              <w:t>0.65</w:t>
            </w:r>
          </w:p>
        </w:tc>
      </w:tr>
    </w:tbl>
    <w:p w14:paraId="08AA43E4" w14:textId="347D5F5F" w:rsidR="00DC6E70" w:rsidRDefault="00DC6E70" w:rsidP="004866F4">
      <w:pPr>
        <w:jc w:val="both"/>
      </w:pPr>
    </w:p>
    <w:p w14:paraId="1F1E4B00" w14:textId="43DC49DD" w:rsidR="00047BE8" w:rsidRDefault="00047BE8" w:rsidP="00EC13D6">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Pr>
          <w:lang w:val="en-US"/>
        </w:rPr>
        <w:t xml:space="preserve">The MA terms in the model </w:t>
      </w:r>
      <w:r w:rsidR="001B28C9">
        <w:rPr>
          <w:lang w:val="en-US"/>
        </w:rPr>
        <w:t>are</w:t>
      </w:r>
      <w:r>
        <w:rPr>
          <w:lang w:val="en-US"/>
        </w:rPr>
        <w:t xml:space="preserve"> statistically significant. </w:t>
      </w:r>
      <w:r w:rsidRPr="00A24463">
        <w:t>The residual diagnostics reveals a mean nearing zero, a normal distribution, and non</w:t>
      </w:r>
      <w:r>
        <w:rPr>
          <w:lang w:val="en-US"/>
        </w:rPr>
        <w:t>-</w:t>
      </w:r>
      <w:r w:rsidRPr="00A24463">
        <w:t>significant autocorrelations. By all indications in the study, ARIMA(</w:t>
      </w:r>
      <w:r>
        <w:rPr>
          <w:lang w:val="en-US"/>
        </w:rPr>
        <w:t>0</w:t>
      </w:r>
      <w:r w:rsidRPr="00A24463">
        <w:t>,</w:t>
      </w:r>
      <w:r>
        <w:rPr>
          <w:lang w:val="en-US"/>
        </w:rPr>
        <w:t>1</w:t>
      </w:r>
      <w:r w:rsidRPr="00A24463">
        <w:t>,</w:t>
      </w:r>
      <w:r>
        <w:rPr>
          <w:lang w:val="en-US"/>
        </w:rPr>
        <w:t>2</w:t>
      </w:r>
      <w:r w:rsidRPr="00A24463">
        <w:t>) is a good fit for the time series.</w:t>
      </w:r>
    </w:p>
    <w:p w14:paraId="19343AE9" w14:textId="6EB8F6C4" w:rsidR="00A13BF7" w:rsidRDefault="00A13BF7" w:rsidP="00A13BF7">
      <w:pPr>
        <w:pStyle w:val="Heading2"/>
        <w:numPr>
          <w:ilvl w:val="0"/>
          <w:numId w:val="0"/>
        </w:numPr>
      </w:pPr>
      <w:r>
        <w:t>Tilapia Forecast Fitting and Evaluation</w:t>
      </w:r>
    </w:p>
    <w:p w14:paraId="1B113101" w14:textId="12D86C70" w:rsidR="00EA1DDD" w:rsidRDefault="00032338" w:rsidP="00704B62">
      <w:pPr>
        <w:pStyle w:val="BodyText"/>
      </w:pPr>
      <w:r>
        <w:t>After determining that the ARIMA(0,1,</w:t>
      </w:r>
      <w:r w:rsidR="003E15BF">
        <w:rPr>
          <w:lang w:val="en-US"/>
        </w:rPr>
        <w:t>2</w:t>
      </w:r>
      <w:r>
        <w:t xml:space="preserve">) is a good fit for the time series, the researcher fitted the model and forecasted the prices until January 24, 2022. Figure </w:t>
      </w:r>
      <w:r w:rsidR="00364F40">
        <w:rPr>
          <w:lang w:val="en-US"/>
        </w:rPr>
        <w:t>8</w:t>
      </w:r>
      <w:r>
        <w:t xml:space="preserve"> shows a visualization of the forecasting.</w:t>
      </w:r>
    </w:p>
    <w:p w14:paraId="451C54E8" w14:textId="6B3A03CE" w:rsidR="00EA1DDD" w:rsidRPr="00EA1DDD" w:rsidRDefault="00EA1DDD" w:rsidP="00EA1DDD">
      <w:pPr>
        <w:pStyle w:val="Caption"/>
        <w:jc w:val="both"/>
        <w:rPr>
          <w:i w:val="0"/>
          <w:iCs w:val="0"/>
          <w:color w:val="auto"/>
        </w:rPr>
      </w:pPr>
      <w:r w:rsidRPr="00EA1DDD">
        <w:rPr>
          <w:i w:val="0"/>
          <w:iCs w:val="0"/>
          <w:color w:val="auto"/>
        </w:rPr>
        <w:t>Fig. 8.  Tilapia Forecasting Visualization</w:t>
      </w:r>
    </w:p>
    <w:p w14:paraId="225B7989" w14:textId="73449A75" w:rsidR="00984081" w:rsidRPr="00C458FF" w:rsidRDefault="00984081" w:rsidP="00984081">
      <w:pPr>
        <w:pStyle w:val="Heading2"/>
        <w:numPr>
          <w:ilvl w:val="0"/>
          <w:numId w:val="0"/>
        </w:numPr>
      </w:pPr>
      <w:r>
        <w:t>Local Round Scad ITS Analysis</w:t>
      </w:r>
    </w:p>
    <w:p w14:paraId="3CBC0129" w14:textId="140CBE47" w:rsidR="00704B62" w:rsidRPr="0015774F" w:rsidRDefault="00D26072" w:rsidP="001A4A3B">
      <w:pPr>
        <w:pStyle w:val="BodyText"/>
        <w:rPr>
          <w:lang w:val="en-US"/>
        </w:rPr>
      </w:pPr>
      <w:r>
        <w:rPr>
          <w:noProof/>
        </w:rPr>
        <mc:AlternateContent>
          <mc:Choice Requires="wps">
            <w:drawing>
              <wp:anchor distT="0" distB="0" distL="114300" distR="114300" simplePos="0" relativeHeight="251693056" behindDoc="0" locked="0" layoutInCell="1" allowOverlap="1" wp14:anchorId="0DE30840" wp14:editId="118D853D">
                <wp:simplePos x="0" y="0"/>
                <wp:positionH relativeFrom="column">
                  <wp:posOffset>0</wp:posOffset>
                </wp:positionH>
                <wp:positionV relativeFrom="paragraph">
                  <wp:posOffset>2936875</wp:posOffset>
                </wp:positionV>
                <wp:extent cx="308991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8E23A4D" w14:textId="772A7EE2" w:rsidR="00D26072" w:rsidRPr="00D26072" w:rsidRDefault="00D26072" w:rsidP="00D26072">
                            <w:pPr>
                              <w:pStyle w:val="Caption"/>
                              <w:jc w:val="left"/>
                              <w:rPr>
                                <w:i w:val="0"/>
                                <w:iCs w:val="0"/>
                                <w:noProof/>
                                <w:color w:val="auto"/>
                                <w:spacing w:val="-1"/>
                                <w:sz w:val="20"/>
                                <w:szCs w:val="20"/>
                                <w:lang w:val="x-none" w:eastAsia="x-none"/>
                              </w:rPr>
                            </w:pPr>
                            <w:r w:rsidRPr="00D26072">
                              <w:rPr>
                                <w:i w:val="0"/>
                                <w:iCs w:val="0"/>
                                <w:color w:val="auto"/>
                              </w:rPr>
                              <w:t xml:space="preserve">Fig.  9.  Local Round </w:t>
                            </w:r>
                            <w:proofErr w:type="spellStart"/>
                            <w:r w:rsidRPr="00D26072">
                              <w:rPr>
                                <w:i w:val="0"/>
                                <w:iCs w:val="0"/>
                                <w:color w:val="auto"/>
                              </w:rPr>
                              <w:t>Scad</w:t>
                            </w:r>
                            <w:proofErr w:type="spellEnd"/>
                            <w:r w:rsidRPr="00D26072">
                              <w:rPr>
                                <w:i w:val="0"/>
                                <w:iCs w:val="0"/>
                                <w:color w:val="auto"/>
                              </w:rPr>
                              <w:t xml:space="preserve"> Prevailing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30840" id="Text Box 18" o:spid="_x0000_s1033" type="#_x0000_t202" style="position:absolute;left:0;text-align:left;margin-left:0;margin-top:231.25pt;width:243.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PnGgIAAD8EAAAOAAAAZHJzL2Uyb0RvYy54bWysU8Fu2zAMvQ/YPwi6L05arGu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" stroked="f">
                <v:textbox style="mso-fit-shape-to-text:t" inset="0,0,0,0">
                  <w:txbxContent>
                    <w:p w14:paraId="48E23A4D" w14:textId="772A7EE2" w:rsidR="00D26072" w:rsidRPr="00D26072" w:rsidRDefault="00D26072" w:rsidP="00D26072">
                      <w:pPr>
                        <w:pStyle w:val="Caption"/>
                        <w:jc w:val="left"/>
                        <w:rPr>
                          <w:i w:val="0"/>
                          <w:iCs w:val="0"/>
                          <w:noProof/>
                          <w:color w:val="auto"/>
                          <w:spacing w:val="-1"/>
                          <w:sz w:val="20"/>
                          <w:szCs w:val="20"/>
                          <w:lang w:val="x-none" w:eastAsia="x-none"/>
                        </w:rPr>
                      </w:pPr>
                      <w:r w:rsidRPr="00D26072">
                        <w:rPr>
                          <w:i w:val="0"/>
                          <w:iCs w:val="0"/>
                          <w:color w:val="auto"/>
                        </w:rPr>
                        <w:t xml:space="preserve">Fig.  9.  Local Round </w:t>
                      </w:r>
                      <w:proofErr w:type="spellStart"/>
                      <w:r w:rsidRPr="00D26072">
                        <w:rPr>
                          <w:i w:val="0"/>
                          <w:iCs w:val="0"/>
                          <w:color w:val="auto"/>
                        </w:rPr>
                        <w:t>Scad</w:t>
                      </w:r>
                      <w:proofErr w:type="spellEnd"/>
                      <w:r w:rsidRPr="00D26072">
                        <w:rPr>
                          <w:i w:val="0"/>
                          <w:iCs w:val="0"/>
                          <w:color w:val="auto"/>
                        </w:rPr>
                        <w:t xml:space="preserve"> Prevailing Prices</w:t>
                      </w:r>
                    </w:p>
                  </w:txbxContent>
                </v:textbox>
                <w10:wrap type="square"/>
              </v:shape>
            </w:pict>
          </mc:Fallback>
        </mc:AlternateContent>
      </w:r>
      <w:r w:rsidR="002E579C">
        <w:rPr>
          <w:noProof/>
        </w:rPr>
        <w:drawing>
          <wp:anchor distT="0" distB="0" distL="114300" distR="114300" simplePos="0" relativeHeight="251689984" behindDoc="0" locked="0" layoutInCell="1" allowOverlap="1" wp14:anchorId="34DBF94D" wp14:editId="10B660E6">
            <wp:simplePos x="0" y="0"/>
            <wp:positionH relativeFrom="margin">
              <wp:posOffset>3318510</wp:posOffset>
            </wp:positionH>
            <wp:positionV relativeFrom="margin">
              <wp:posOffset>3318328</wp:posOffset>
            </wp:positionV>
            <wp:extent cx="3089910" cy="17189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1A4A3B">
        <w:t xml:space="preserve">Figure </w:t>
      </w:r>
      <w:r w:rsidR="002E579C">
        <w:rPr>
          <w:lang w:val="en-US"/>
        </w:rPr>
        <w:t>9</w:t>
      </w:r>
      <w:r w:rsidR="001A4A3B">
        <w:t xml:space="preserve"> reveals a time series visualization of the </w:t>
      </w:r>
      <w:r w:rsidR="001A4A3B">
        <w:rPr>
          <w:lang w:val="en-US"/>
        </w:rPr>
        <w:t xml:space="preserve">Local Round </w:t>
      </w:r>
      <w:proofErr w:type="spellStart"/>
      <w:r w:rsidR="001A4A3B">
        <w:rPr>
          <w:lang w:val="en-US"/>
        </w:rPr>
        <w:t>Scad</w:t>
      </w:r>
      <w:proofErr w:type="spellEnd"/>
      <w:r w:rsidR="001A4A3B">
        <w:t xml:space="preserve"> prices per kilogram from October 1, 2019 to August 31, 2020. Table </w:t>
      </w:r>
      <w:r w:rsidR="002E579C">
        <w:rPr>
          <w:lang w:val="en-US"/>
        </w:rPr>
        <w:t>9</w:t>
      </w:r>
      <w:r w:rsidR="001A4A3B">
        <w:t xml:space="preserve"> reveals the descriptive statistic and ADF test values. After imputing the missing data, the </w:t>
      </w:r>
      <w:r w:rsidR="007471CD">
        <w:rPr>
          <w:lang w:val="en-US"/>
        </w:rPr>
        <w:t xml:space="preserve">Local Round </w:t>
      </w:r>
      <w:proofErr w:type="spellStart"/>
      <w:r w:rsidR="007471CD">
        <w:rPr>
          <w:lang w:val="en-US"/>
        </w:rPr>
        <w:t>Scad</w:t>
      </w:r>
      <w:proofErr w:type="spellEnd"/>
      <w:r w:rsidR="001A4A3B">
        <w:t xml:space="preserve"> prices had a maximum of </w:t>
      </w:r>
      <w:r w:rsidR="001A4A3B">
        <w:rPr>
          <w:lang w:val="en-US"/>
        </w:rPr>
        <w:t>2</w:t>
      </w:r>
      <w:r w:rsidR="0015238A">
        <w:rPr>
          <w:lang w:val="en-US"/>
        </w:rPr>
        <w:t>80</w:t>
      </w:r>
      <w:r w:rsidR="001A4A3B">
        <w:rPr>
          <w:lang w:val="en-US"/>
        </w:rPr>
        <w:t xml:space="preserve"> </w:t>
      </w:r>
      <w:proofErr w:type="spellStart"/>
      <w:r w:rsidR="001A4A3B">
        <w:rPr>
          <w:lang w:val="en-US"/>
        </w:rPr>
        <w:t>PhP</w:t>
      </w:r>
      <w:proofErr w:type="spellEnd"/>
      <w:r w:rsidR="001A4A3B">
        <w:t xml:space="preserve"> and a minimum of </w:t>
      </w:r>
      <w:r w:rsidR="0015238A">
        <w:rPr>
          <w:lang w:val="en-US"/>
        </w:rPr>
        <w:t>120</w:t>
      </w:r>
      <w:r w:rsidR="001A4A3B">
        <w:rPr>
          <w:lang w:val="en-US"/>
        </w:rPr>
        <w:t xml:space="preserve"> </w:t>
      </w:r>
      <w:proofErr w:type="spellStart"/>
      <w:r w:rsidR="001A4A3B">
        <w:rPr>
          <w:lang w:val="en-US"/>
        </w:rPr>
        <w:t>PhP</w:t>
      </w:r>
      <w:proofErr w:type="spellEnd"/>
      <w:r w:rsidR="001A4A3B">
        <w:t xml:space="preserve">. The mean price is determined to be </w:t>
      </w:r>
      <w:r w:rsidR="0015238A">
        <w:rPr>
          <w:lang w:val="en-US"/>
        </w:rPr>
        <w:t>184.27</w:t>
      </w:r>
      <w:r w:rsidR="001A4A3B">
        <w:rPr>
          <w:lang w:val="en-US"/>
        </w:rPr>
        <w:t xml:space="preserve"> </w:t>
      </w:r>
      <w:proofErr w:type="spellStart"/>
      <w:r w:rsidR="001A4A3B">
        <w:rPr>
          <w:lang w:val="en-US"/>
        </w:rPr>
        <w:t>PhP</w:t>
      </w:r>
      <w:proofErr w:type="spellEnd"/>
    </w:p>
    <w:p w14:paraId="1BCE2441" w14:textId="42A3DE4C" w:rsidR="002E579C" w:rsidRPr="005B520E" w:rsidRDefault="0015774F" w:rsidP="002E579C">
      <w:pPr>
        <w:pStyle w:val="tablehead"/>
      </w:pPr>
      <w:r>
        <w:t>local round scad</w:t>
      </w:r>
      <w:r w:rsidR="002E579C">
        <w:t xml:space="preserve"> prices Descriptive statistic and adf test value</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0"/>
        <w:gridCol w:w="720"/>
        <w:gridCol w:w="990"/>
        <w:gridCol w:w="996"/>
      </w:tblGrid>
      <w:tr w:rsidR="002E579C" w14:paraId="734D3C1F" w14:textId="77777777" w:rsidTr="00857FF3">
        <w:trPr>
          <w:cantSplit/>
          <w:trHeight w:val="229"/>
          <w:tblHeader/>
          <w:jc w:val="center"/>
        </w:trPr>
        <w:tc>
          <w:tcPr>
            <w:tcW w:w="717" w:type="dxa"/>
            <w:vAlign w:val="center"/>
          </w:tcPr>
          <w:p w14:paraId="4E518756" w14:textId="77777777" w:rsidR="002E579C" w:rsidRDefault="002E579C" w:rsidP="00857FF3">
            <w:pPr>
              <w:pStyle w:val="tablecolsubhead"/>
            </w:pPr>
            <w:r>
              <w:t>Statistic</w:t>
            </w:r>
          </w:p>
        </w:tc>
        <w:tc>
          <w:tcPr>
            <w:tcW w:w="720" w:type="dxa"/>
            <w:vAlign w:val="center"/>
          </w:tcPr>
          <w:p w14:paraId="28C1D126" w14:textId="77777777" w:rsidR="002E579C" w:rsidRDefault="002E579C" w:rsidP="00857FF3">
            <w:pPr>
              <w:pStyle w:val="tablecolsubhead"/>
            </w:pPr>
            <w:r>
              <w:t>Mean</w:t>
            </w:r>
          </w:p>
        </w:tc>
        <w:tc>
          <w:tcPr>
            <w:tcW w:w="630" w:type="dxa"/>
          </w:tcPr>
          <w:p w14:paraId="2E816FA7" w14:textId="77777777" w:rsidR="002E579C" w:rsidRDefault="002E579C" w:rsidP="00857FF3">
            <w:pPr>
              <w:pStyle w:val="tablecolsubhead"/>
            </w:pPr>
            <w:r>
              <w:t>Max</w:t>
            </w:r>
          </w:p>
        </w:tc>
        <w:tc>
          <w:tcPr>
            <w:tcW w:w="720" w:type="dxa"/>
          </w:tcPr>
          <w:p w14:paraId="36A53322" w14:textId="77777777" w:rsidR="002E579C" w:rsidRDefault="002E579C" w:rsidP="00857FF3">
            <w:pPr>
              <w:pStyle w:val="tablecolsubhead"/>
            </w:pPr>
            <w:r>
              <w:t>Min</w:t>
            </w:r>
          </w:p>
        </w:tc>
        <w:tc>
          <w:tcPr>
            <w:tcW w:w="990" w:type="dxa"/>
          </w:tcPr>
          <w:p w14:paraId="7AA7748B" w14:textId="243A206B" w:rsidR="002E579C" w:rsidRDefault="002E579C" w:rsidP="00857FF3">
            <w:pPr>
              <w:pStyle w:val="tablecolsubhead"/>
            </w:pPr>
            <w:r>
              <w:t>ADF t-value</w:t>
            </w:r>
          </w:p>
        </w:tc>
        <w:tc>
          <w:tcPr>
            <w:tcW w:w="996" w:type="dxa"/>
          </w:tcPr>
          <w:p w14:paraId="052EE67F" w14:textId="77777777" w:rsidR="002E579C" w:rsidRDefault="002E579C" w:rsidP="00857FF3">
            <w:pPr>
              <w:pStyle w:val="tablecolsubhead"/>
            </w:pPr>
            <w:r>
              <w:t>p-value</w:t>
            </w:r>
          </w:p>
        </w:tc>
      </w:tr>
      <w:tr w:rsidR="002E579C" w14:paraId="6CE6714E" w14:textId="77777777" w:rsidTr="00857FF3">
        <w:trPr>
          <w:trHeight w:val="306"/>
          <w:jc w:val="center"/>
        </w:trPr>
        <w:tc>
          <w:tcPr>
            <w:tcW w:w="717" w:type="dxa"/>
          </w:tcPr>
          <w:p w14:paraId="750874FC" w14:textId="77777777" w:rsidR="002E579C" w:rsidRDefault="002E579C" w:rsidP="00857FF3">
            <w:pPr>
              <w:pStyle w:val="tablecopy"/>
            </w:pPr>
            <w:r>
              <w:t>Value</w:t>
            </w:r>
          </w:p>
        </w:tc>
        <w:tc>
          <w:tcPr>
            <w:tcW w:w="720" w:type="dxa"/>
            <w:vAlign w:val="center"/>
          </w:tcPr>
          <w:p w14:paraId="607CCDF9" w14:textId="7CCA6831" w:rsidR="002E579C" w:rsidRDefault="0015238A" w:rsidP="00857FF3">
            <w:pPr>
              <w:rPr>
                <w:sz w:val="16"/>
                <w:szCs w:val="16"/>
              </w:rPr>
            </w:pPr>
            <w:r>
              <w:rPr>
                <w:sz w:val="16"/>
                <w:szCs w:val="16"/>
              </w:rPr>
              <w:t>184.27</w:t>
            </w:r>
            <w:r w:rsidR="002E579C">
              <w:rPr>
                <w:sz w:val="16"/>
                <w:szCs w:val="16"/>
              </w:rPr>
              <w:t xml:space="preserve"> </w:t>
            </w:r>
            <w:proofErr w:type="spellStart"/>
            <w:r w:rsidR="002E579C">
              <w:rPr>
                <w:sz w:val="16"/>
                <w:szCs w:val="16"/>
              </w:rPr>
              <w:t>PhP</w:t>
            </w:r>
            <w:proofErr w:type="spellEnd"/>
          </w:p>
        </w:tc>
        <w:tc>
          <w:tcPr>
            <w:tcW w:w="630" w:type="dxa"/>
          </w:tcPr>
          <w:p w14:paraId="2EF6AEFC" w14:textId="3A4B6ABD" w:rsidR="002E579C" w:rsidRDefault="002E579C" w:rsidP="00857FF3">
            <w:pPr>
              <w:rPr>
                <w:sz w:val="16"/>
                <w:szCs w:val="16"/>
              </w:rPr>
            </w:pPr>
            <w:r>
              <w:rPr>
                <w:sz w:val="16"/>
                <w:szCs w:val="16"/>
              </w:rPr>
              <w:t>2</w:t>
            </w:r>
            <w:r w:rsidR="0015238A">
              <w:rPr>
                <w:sz w:val="16"/>
                <w:szCs w:val="16"/>
              </w:rPr>
              <w:t>8</w:t>
            </w:r>
            <w:r>
              <w:rPr>
                <w:sz w:val="16"/>
                <w:szCs w:val="16"/>
              </w:rPr>
              <w:t xml:space="preserve">0 </w:t>
            </w:r>
            <w:proofErr w:type="spellStart"/>
            <w:r>
              <w:rPr>
                <w:sz w:val="16"/>
                <w:szCs w:val="16"/>
              </w:rPr>
              <w:t>PhP</w:t>
            </w:r>
            <w:proofErr w:type="spellEnd"/>
          </w:p>
        </w:tc>
        <w:tc>
          <w:tcPr>
            <w:tcW w:w="720" w:type="dxa"/>
          </w:tcPr>
          <w:p w14:paraId="48A3D81B" w14:textId="43ED23C2" w:rsidR="002E579C" w:rsidRDefault="0015238A" w:rsidP="00857FF3">
            <w:pPr>
              <w:rPr>
                <w:sz w:val="16"/>
                <w:szCs w:val="16"/>
              </w:rPr>
            </w:pPr>
            <w:r>
              <w:rPr>
                <w:sz w:val="16"/>
                <w:szCs w:val="16"/>
              </w:rPr>
              <w:t>120</w:t>
            </w:r>
            <w:r w:rsidR="002E579C">
              <w:rPr>
                <w:sz w:val="16"/>
                <w:szCs w:val="16"/>
              </w:rPr>
              <w:t xml:space="preserve"> </w:t>
            </w:r>
            <w:proofErr w:type="spellStart"/>
            <w:r w:rsidR="002E579C">
              <w:rPr>
                <w:sz w:val="16"/>
                <w:szCs w:val="16"/>
              </w:rPr>
              <w:t>PhP</w:t>
            </w:r>
            <w:proofErr w:type="spellEnd"/>
          </w:p>
        </w:tc>
        <w:tc>
          <w:tcPr>
            <w:tcW w:w="990" w:type="dxa"/>
          </w:tcPr>
          <w:p w14:paraId="50A6667D" w14:textId="526195C5" w:rsidR="002E579C" w:rsidRDefault="002E579C" w:rsidP="00857FF3">
            <w:pPr>
              <w:rPr>
                <w:sz w:val="16"/>
                <w:szCs w:val="16"/>
              </w:rPr>
            </w:pPr>
            <w:r>
              <w:rPr>
                <w:sz w:val="16"/>
                <w:szCs w:val="16"/>
              </w:rPr>
              <w:t>-</w:t>
            </w:r>
            <w:r w:rsidR="0015238A">
              <w:rPr>
                <w:sz w:val="16"/>
                <w:szCs w:val="16"/>
              </w:rPr>
              <w:t>1.62</w:t>
            </w:r>
          </w:p>
        </w:tc>
        <w:tc>
          <w:tcPr>
            <w:tcW w:w="996" w:type="dxa"/>
          </w:tcPr>
          <w:p w14:paraId="1AB6ABB8" w14:textId="0B55BD67" w:rsidR="002E579C" w:rsidRDefault="002E579C" w:rsidP="00857FF3">
            <w:pPr>
              <w:rPr>
                <w:sz w:val="16"/>
                <w:szCs w:val="16"/>
              </w:rPr>
            </w:pPr>
            <w:r w:rsidRPr="000E0BB8">
              <w:rPr>
                <w:sz w:val="16"/>
                <w:szCs w:val="16"/>
              </w:rPr>
              <w:t>0</w:t>
            </w:r>
            <w:r w:rsidR="0015238A">
              <w:rPr>
                <w:sz w:val="16"/>
                <w:szCs w:val="16"/>
              </w:rPr>
              <w:t>.47</w:t>
            </w:r>
          </w:p>
        </w:tc>
      </w:tr>
      <w:tr w:rsidR="0015238A" w14:paraId="3992F5A0" w14:textId="77777777" w:rsidTr="0047337B">
        <w:trPr>
          <w:trHeight w:val="306"/>
          <w:jc w:val="center"/>
        </w:trPr>
        <w:tc>
          <w:tcPr>
            <w:tcW w:w="2787" w:type="dxa"/>
            <w:gridSpan w:val="4"/>
          </w:tcPr>
          <w:p w14:paraId="781C0BEA" w14:textId="601EB538" w:rsidR="0015238A" w:rsidRDefault="009A529D" w:rsidP="009A529D">
            <w:pPr>
              <w:rPr>
                <w:sz w:val="16"/>
                <w:szCs w:val="16"/>
              </w:rPr>
            </w:pPr>
            <w:r>
              <w:rPr>
                <w:sz w:val="16"/>
                <w:szCs w:val="16"/>
              </w:rPr>
              <w:t>Differenced by one</w:t>
            </w:r>
          </w:p>
        </w:tc>
        <w:tc>
          <w:tcPr>
            <w:tcW w:w="990" w:type="dxa"/>
          </w:tcPr>
          <w:p w14:paraId="67020F4F" w14:textId="2E112FC8" w:rsidR="0015238A" w:rsidRDefault="001E509F" w:rsidP="00857FF3">
            <w:pPr>
              <w:rPr>
                <w:sz w:val="16"/>
                <w:szCs w:val="16"/>
              </w:rPr>
            </w:pPr>
            <w:r>
              <w:rPr>
                <w:sz w:val="16"/>
                <w:szCs w:val="16"/>
              </w:rPr>
              <w:t>-11.41</w:t>
            </w:r>
          </w:p>
        </w:tc>
        <w:tc>
          <w:tcPr>
            <w:tcW w:w="996" w:type="dxa"/>
          </w:tcPr>
          <w:p w14:paraId="5512494D" w14:textId="3F853676" w:rsidR="0015238A" w:rsidRPr="000E0BB8" w:rsidRDefault="007E47DD" w:rsidP="00857FF3">
            <w:pPr>
              <w:rPr>
                <w:sz w:val="16"/>
                <w:szCs w:val="16"/>
              </w:rPr>
            </w:pPr>
            <w:r w:rsidRPr="007E47DD">
              <w:rPr>
                <w:sz w:val="16"/>
                <w:szCs w:val="16"/>
              </w:rPr>
              <w:t>7.46 x 10</w:t>
            </w:r>
            <w:r w:rsidRPr="007E47DD">
              <w:rPr>
                <w:sz w:val="16"/>
                <w:szCs w:val="16"/>
                <w:vertAlign w:val="superscript"/>
              </w:rPr>
              <w:t>-21</w:t>
            </w:r>
          </w:p>
        </w:tc>
      </w:tr>
    </w:tbl>
    <w:p w14:paraId="7AAD1E16" w14:textId="77777777" w:rsidR="009B6EB6" w:rsidRDefault="009B6EB6" w:rsidP="009B6EB6">
      <w:pPr>
        <w:pStyle w:val="BodyText"/>
        <w:rPr>
          <w:lang w:val="en-US"/>
        </w:rPr>
      </w:pPr>
    </w:p>
    <w:p w14:paraId="02B0DDBB" w14:textId="575AEE65" w:rsidR="00A50724" w:rsidRDefault="009B6EB6" w:rsidP="00E437A0">
      <w:pPr>
        <w:pStyle w:val="BodyText"/>
        <w:rPr>
          <w:lang w:val="en-US"/>
        </w:rPr>
      </w:pPr>
      <w:r>
        <w:rPr>
          <w:lang w:val="en-US"/>
        </w:rPr>
        <w:t xml:space="preserve"> </w:t>
      </w:r>
      <w:r w:rsidR="00E437A0">
        <w:t xml:space="preserve">The first step in the Box-Jenkins methodology which is testing for stationarity reveals the ADF to be </w:t>
      </w:r>
      <w:r w:rsidR="00E437A0">
        <w:rPr>
          <w:lang w:val="en-US"/>
        </w:rPr>
        <w:t>more</w:t>
      </w:r>
      <w:r w:rsidR="00E437A0">
        <w:t xml:space="preserve"> than 0.05 </w:t>
      </w:r>
      <w:r w:rsidR="00E437A0">
        <w:rPr>
          <w:lang w:val="en-US"/>
        </w:rPr>
        <w:t>accepting</w:t>
      </w:r>
      <w:r w:rsidR="00E437A0">
        <w:t xml:space="preserve"> the null hypothesis.</w:t>
      </w:r>
      <w:r w:rsidR="00E437A0">
        <w:rPr>
          <w:lang w:val="en-US"/>
        </w:rPr>
        <w:t xml:space="preserve"> After differencing by an order of one and conducting another ADF test, the time series was determined to be stationary indicating that the order of differencing </w:t>
      </w:r>
      <w:r w:rsidR="00E437A0" w:rsidRPr="005B1AA4">
        <w:rPr>
          <w:b/>
          <w:bCs/>
          <w:lang w:val="en-US"/>
        </w:rPr>
        <w:t>d</w:t>
      </w:r>
      <w:r w:rsidR="00E437A0">
        <w:rPr>
          <w:lang w:val="en-US"/>
        </w:rPr>
        <w:t xml:space="preserve"> for the model was one.</w:t>
      </w:r>
      <w:r w:rsidR="00E437A0">
        <w:t xml:space="preserve"> After determining the order of differencing, the next step is determining the </w:t>
      </w:r>
      <w:r w:rsidR="00E437A0">
        <w:rPr>
          <w:lang w:val="en-US"/>
        </w:rPr>
        <w:t xml:space="preserve">order of </w:t>
      </w:r>
      <w:r w:rsidR="00E437A0" w:rsidRPr="005B1AA4">
        <w:rPr>
          <w:b/>
          <w:bCs/>
          <w:lang w:val="en-US"/>
        </w:rPr>
        <w:t>p</w:t>
      </w:r>
      <w:r w:rsidR="00E437A0">
        <w:rPr>
          <w:lang w:val="en-US"/>
        </w:rPr>
        <w:t xml:space="preserve"> (</w:t>
      </w:r>
      <w:r w:rsidR="00E437A0">
        <w:t>AR</w:t>
      </w:r>
      <w:r w:rsidR="00E437A0">
        <w:rPr>
          <w:lang w:val="en-US"/>
        </w:rPr>
        <w:t>)</w:t>
      </w:r>
      <w:r w:rsidR="00E437A0">
        <w:t xml:space="preserve"> and </w:t>
      </w:r>
      <w:r w:rsidR="00E437A0">
        <w:rPr>
          <w:lang w:val="en-US"/>
        </w:rPr>
        <w:t xml:space="preserve">order of </w:t>
      </w:r>
      <w:r w:rsidR="00E437A0" w:rsidRPr="005B1AA4">
        <w:rPr>
          <w:b/>
          <w:bCs/>
          <w:lang w:val="en-US"/>
        </w:rPr>
        <w:t>q</w:t>
      </w:r>
      <w:r w:rsidR="00E437A0">
        <w:rPr>
          <w:lang w:val="en-US"/>
        </w:rPr>
        <w:t xml:space="preserve"> (</w:t>
      </w:r>
      <w:r w:rsidR="00E437A0">
        <w:t>MA</w:t>
      </w:r>
      <w:r w:rsidR="00E437A0">
        <w:rPr>
          <w:lang w:val="en-US"/>
        </w:rPr>
        <w:t>)</w:t>
      </w:r>
      <w:r w:rsidR="00E437A0">
        <w:t xml:space="preserve"> terms.</w:t>
      </w:r>
      <w:r w:rsidR="00E437A0">
        <w:rPr>
          <w:lang w:val="en-US"/>
        </w:rPr>
        <w:t xml:space="preserve"> After plotting the ACF and the PACF of the differenced time series, it displayed a sharp cut-off on the ACF plot at lag-2 concluding that the ARIMA model would need 2 MA terms.</w:t>
      </w:r>
      <w:r w:rsidR="00E437A0" w:rsidRPr="0098080C">
        <w:t xml:space="preserve"> After fitting the ARIMA model with the time series, each </w:t>
      </w:r>
      <w:r w:rsidR="00E437A0">
        <w:rPr>
          <w:lang w:val="en-US"/>
        </w:rPr>
        <w:t>MA</w:t>
      </w:r>
      <w:r w:rsidR="00E437A0" w:rsidRPr="0098080C">
        <w:t xml:space="preserve"> term is revealed to be statistically significant. </w:t>
      </w:r>
      <w:r w:rsidR="00E437A0">
        <w:rPr>
          <w:lang w:val="en-US"/>
        </w:rPr>
        <w:t>Table</w:t>
      </w:r>
      <w:r w:rsidR="00E437A0" w:rsidRPr="0098080C">
        <w:t xml:space="preserve"> </w:t>
      </w:r>
      <w:r w:rsidR="00A50724">
        <w:rPr>
          <w:lang w:val="en-US"/>
        </w:rPr>
        <w:t>10</w:t>
      </w:r>
      <w:r w:rsidR="00E437A0" w:rsidRPr="0098080C">
        <w:t xml:space="preserve"> shows the summary of the ARIMA fitting</w:t>
      </w:r>
      <w:r w:rsidR="00E437A0">
        <w:rPr>
          <w:lang w:val="en-US"/>
        </w:rPr>
        <w:t>.</w:t>
      </w:r>
    </w:p>
    <w:p w14:paraId="56787095" w14:textId="6583E070" w:rsidR="00FB1759" w:rsidRDefault="00FB1759" w:rsidP="00E437A0">
      <w:pPr>
        <w:pStyle w:val="BodyText"/>
        <w:rPr>
          <w:lang w:val="en-US"/>
        </w:rPr>
      </w:pPr>
    </w:p>
    <w:p w14:paraId="0F462080" w14:textId="77777777" w:rsidR="00FB1759" w:rsidRPr="00CD4E3F" w:rsidRDefault="00FB1759" w:rsidP="00E437A0">
      <w:pPr>
        <w:pStyle w:val="BodyText"/>
        <w:rPr>
          <w:lang w:val="en-US"/>
        </w:rPr>
      </w:pPr>
    </w:p>
    <w:p w14:paraId="16547830" w14:textId="61DAC71B" w:rsidR="00A50724" w:rsidRPr="008F0A6C" w:rsidRDefault="00A50724" w:rsidP="00A50724">
      <w:pPr>
        <w:pStyle w:val="tablehead"/>
      </w:pPr>
      <w:r>
        <w:lastRenderedPageBreak/>
        <w:t xml:space="preserve">ARIMA Fitting summary of </w:t>
      </w:r>
      <w:r w:rsidR="001D0DFD">
        <w:t>Local Round Scad ITS</w:t>
      </w:r>
    </w:p>
    <w:tbl>
      <w:tblPr>
        <w:tblStyle w:val="TableGrid"/>
        <w:tblW w:w="4945" w:type="dxa"/>
        <w:tblLayout w:type="fixed"/>
        <w:tblLook w:val="04A0" w:firstRow="1" w:lastRow="0" w:firstColumn="1" w:lastColumn="0" w:noHBand="0" w:noVBand="1"/>
      </w:tblPr>
      <w:tblGrid>
        <w:gridCol w:w="1615"/>
        <w:gridCol w:w="990"/>
        <w:gridCol w:w="900"/>
        <w:gridCol w:w="810"/>
        <w:gridCol w:w="630"/>
      </w:tblGrid>
      <w:tr w:rsidR="00A50724" w:rsidRPr="00816CC7" w14:paraId="40EAEEE8" w14:textId="77777777" w:rsidTr="00F865B1">
        <w:trPr>
          <w:trHeight w:val="300"/>
        </w:trPr>
        <w:tc>
          <w:tcPr>
            <w:tcW w:w="1615" w:type="dxa"/>
            <w:noWrap/>
            <w:hideMark/>
          </w:tcPr>
          <w:p w14:paraId="419377E5" w14:textId="5E6B6B94" w:rsidR="00A50724" w:rsidRPr="00A50724" w:rsidRDefault="00A50724" w:rsidP="00A50724">
            <w:pPr>
              <w:jc w:val="both"/>
              <w:rPr>
                <w:sz w:val="16"/>
                <w:szCs w:val="16"/>
              </w:rPr>
            </w:pPr>
            <w:r w:rsidRPr="00A50724">
              <w:rPr>
                <w:sz w:val="16"/>
                <w:szCs w:val="16"/>
              </w:rPr>
              <w:t xml:space="preserve"> </w:t>
            </w:r>
          </w:p>
        </w:tc>
        <w:tc>
          <w:tcPr>
            <w:tcW w:w="990" w:type="dxa"/>
            <w:hideMark/>
          </w:tcPr>
          <w:p w14:paraId="516B5758" w14:textId="717100A1" w:rsidR="00A50724" w:rsidRPr="00A50724" w:rsidRDefault="00A50724" w:rsidP="00A50724">
            <w:pPr>
              <w:jc w:val="both"/>
              <w:rPr>
                <w:b/>
                <w:bCs/>
                <w:sz w:val="16"/>
                <w:szCs w:val="16"/>
              </w:rPr>
            </w:pPr>
            <w:proofErr w:type="spellStart"/>
            <w:r w:rsidRPr="00A50724">
              <w:rPr>
                <w:b/>
                <w:bCs/>
                <w:sz w:val="16"/>
                <w:szCs w:val="16"/>
              </w:rPr>
              <w:t>coef</w:t>
            </w:r>
            <w:proofErr w:type="spellEnd"/>
            <w:r w:rsidRPr="00A50724">
              <w:rPr>
                <w:b/>
                <w:bCs/>
                <w:sz w:val="16"/>
                <w:szCs w:val="16"/>
              </w:rPr>
              <w:t xml:space="preserve"> </w:t>
            </w:r>
          </w:p>
        </w:tc>
        <w:tc>
          <w:tcPr>
            <w:tcW w:w="900" w:type="dxa"/>
            <w:hideMark/>
          </w:tcPr>
          <w:p w14:paraId="1E02ABEE" w14:textId="78BB3C71" w:rsidR="00A50724" w:rsidRPr="00A50724" w:rsidRDefault="00A50724" w:rsidP="00A50724">
            <w:pPr>
              <w:jc w:val="both"/>
              <w:rPr>
                <w:b/>
                <w:bCs/>
                <w:sz w:val="16"/>
                <w:szCs w:val="16"/>
              </w:rPr>
            </w:pPr>
            <w:r w:rsidRPr="00A50724">
              <w:rPr>
                <w:b/>
                <w:bCs/>
                <w:sz w:val="16"/>
                <w:szCs w:val="16"/>
              </w:rPr>
              <w:t xml:space="preserve">std err </w:t>
            </w:r>
          </w:p>
        </w:tc>
        <w:tc>
          <w:tcPr>
            <w:tcW w:w="810" w:type="dxa"/>
            <w:hideMark/>
          </w:tcPr>
          <w:p w14:paraId="678A7E95" w14:textId="2FB8EA0E" w:rsidR="00A50724" w:rsidRPr="00A50724" w:rsidRDefault="00A50724" w:rsidP="00A50724">
            <w:pPr>
              <w:jc w:val="both"/>
              <w:rPr>
                <w:b/>
                <w:bCs/>
                <w:sz w:val="16"/>
                <w:szCs w:val="16"/>
              </w:rPr>
            </w:pPr>
            <w:r w:rsidRPr="00A50724">
              <w:rPr>
                <w:b/>
                <w:bCs/>
                <w:sz w:val="16"/>
                <w:szCs w:val="16"/>
              </w:rPr>
              <w:t xml:space="preserve">z </w:t>
            </w:r>
          </w:p>
        </w:tc>
        <w:tc>
          <w:tcPr>
            <w:tcW w:w="630" w:type="dxa"/>
            <w:hideMark/>
          </w:tcPr>
          <w:p w14:paraId="47271204" w14:textId="3920296B" w:rsidR="00A50724" w:rsidRPr="00A50724" w:rsidRDefault="00A50724" w:rsidP="00A50724">
            <w:pPr>
              <w:jc w:val="both"/>
              <w:rPr>
                <w:b/>
                <w:bCs/>
                <w:sz w:val="16"/>
                <w:szCs w:val="16"/>
              </w:rPr>
            </w:pPr>
            <w:r w:rsidRPr="00A50724">
              <w:rPr>
                <w:b/>
                <w:bCs/>
                <w:sz w:val="16"/>
                <w:szCs w:val="16"/>
              </w:rPr>
              <w:t xml:space="preserve">P&gt;|z| </w:t>
            </w:r>
          </w:p>
        </w:tc>
      </w:tr>
      <w:tr w:rsidR="00A50724" w:rsidRPr="00816CC7" w14:paraId="7CF9A54A" w14:textId="77777777" w:rsidTr="00F865B1">
        <w:trPr>
          <w:trHeight w:val="300"/>
        </w:trPr>
        <w:tc>
          <w:tcPr>
            <w:tcW w:w="1615" w:type="dxa"/>
            <w:hideMark/>
          </w:tcPr>
          <w:p w14:paraId="0FDC10C0" w14:textId="6DA343B1" w:rsidR="00A50724" w:rsidRPr="00A50724" w:rsidRDefault="00A50724" w:rsidP="00A50724">
            <w:pPr>
              <w:jc w:val="both"/>
              <w:rPr>
                <w:b/>
                <w:bCs/>
                <w:sz w:val="16"/>
                <w:szCs w:val="16"/>
              </w:rPr>
            </w:pPr>
            <w:proofErr w:type="gramStart"/>
            <w:r w:rsidRPr="00A50724">
              <w:rPr>
                <w:b/>
                <w:bCs/>
                <w:sz w:val="16"/>
                <w:szCs w:val="16"/>
              </w:rPr>
              <w:t>ma.L</w:t>
            </w:r>
            <w:proofErr w:type="gramEnd"/>
            <w:r w:rsidRPr="00A50724">
              <w:rPr>
                <w:b/>
                <w:bCs/>
                <w:sz w:val="16"/>
                <w:szCs w:val="16"/>
              </w:rPr>
              <w:t xml:space="preserve">1 </w:t>
            </w:r>
          </w:p>
        </w:tc>
        <w:tc>
          <w:tcPr>
            <w:tcW w:w="990" w:type="dxa"/>
            <w:hideMark/>
          </w:tcPr>
          <w:p w14:paraId="087B60C2" w14:textId="6F8820E2" w:rsidR="00A50724" w:rsidRPr="00A50724" w:rsidRDefault="00A50724" w:rsidP="00A50724">
            <w:pPr>
              <w:jc w:val="both"/>
              <w:rPr>
                <w:sz w:val="16"/>
                <w:szCs w:val="16"/>
              </w:rPr>
            </w:pPr>
            <w:r w:rsidRPr="00A50724">
              <w:rPr>
                <w:sz w:val="16"/>
                <w:szCs w:val="16"/>
              </w:rPr>
              <w:t xml:space="preserve">-0.2819 </w:t>
            </w:r>
          </w:p>
        </w:tc>
        <w:tc>
          <w:tcPr>
            <w:tcW w:w="900" w:type="dxa"/>
            <w:hideMark/>
          </w:tcPr>
          <w:p w14:paraId="003B9F23" w14:textId="5F808015" w:rsidR="00A50724" w:rsidRPr="00A50724" w:rsidRDefault="00A50724" w:rsidP="00A50724">
            <w:pPr>
              <w:jc w:val="both"/>
              <w:rPr>
                <w:sz w:val="16"/>
                <w:szCs w:val="16"/>
              </w:rPr>
            </w:pPr>
            <w:r w:rsidRPr="00A50724">
              <w:rPr>
                <w:sz w:val="16"/>
                <w:szCs w:val="16"/>
              </w:rPr>
              <w:t xml:space="preserve">0.049 </w:t>
            </w:r>
          </w:p>
        </w:tc>
        <w:tc>
          <w:tcPr>
            <w:tcW w:w="810" w:type="dxa"/>
            <w:hideMark/>
          </w:tcPr>
          <w:p w14:paraId="0A54BF16" w14:textId="2B778165" w:rsidR="00A50724" w:rsidRPr="00A50724" w:rsidRDefault="00A50724" w:rsidP="00A50724">
            <w:pPr>
              <w:jc w:val="both"/>
              <w:rPr>
                <w:sz w:val="16"/>
                <w:szCs w:val="16"/>
              </w:rPr>
            </w:pPr>
            <w:r w:rsidRPr="00A50724">
              <w:rPr>
                <w:sz w:val="16"/>
                <w:szCs w:val="16"/>
              </w:rPr>
              <w:t xml:space="preserve">-5.731 </w:t>
            </w:r>
          </w:p>
        </w:tc>
        <w:tc>
          <w:tcPr>
            <w:tcW w:w="630" w:type="dxa"/>
            <w:hideMark/>
          </w:tcPr>
          <w:p w14:paraId="70335967" w14:textId="33AB8043" w:rsidR="00A50724" w:rsidRPr="00A50724" w:rsidRDefault="00A50724" w:rsidP="00A50724">
            <w:pPr>
              <w:jc w:val="both"/>
              <w:rPr>
                <w:sz w:val="16"/>
                <w:szCs w:val="16"/>
              </w:rPr>
            </w:pPr>
            <w:r w:rsidRPr="00A50724">
              <w:rPr>
                <w:sz w:val="16"/>
                <w:szCs w:val="16"/>
              </w:rPr>
              <w:t xml:space="preserve">0.000 </w:t>
            </w:r>
          </w:p>
        </w:tc>
      </w:tr>
      <w:tr w:rsidR="00A50724" w:rsidRPr="00816CC7" w14:paraId="3732B43F" w14:textId="77777777" w:rsidTr="00F865B1">
        <w:trPr>
          <w:trHeight w:val="300"/>
        </w:trPr>
        <w:tc>
          <w:tcPr>
            <w:tcW w:w="1615" w:type="dxa"/>
            <w:hideMark/>
          </w:tcPr>
          <w:p w14:paraId="1046F38F" w14:textId="07D42558" w:rsidR="00A50724" w:rsidRPr="00A50724" w:rsidRDefault="00A50724" w:rsidP="00A50724">
            <w:pPr>
              <w:jc w:val="both"/>
              <w:rPr>
                <w:b/>
                <w:bCs/>
                <w:sz w:val="16"/>
                <w:szCs w:val="16"/>
              </w:rPr>
            </w:pPr>
            <w:proofErr w:type="gramStart"/>
            <w:r w:rsidRPr="00A50724">
              <w:rPr>
                <w:b/>
                <w:bCs/>
                <w:sz w:val="16"/>
                <w:szCs w:val="16"/>
              </w:rPr>
              <w:t>ma.L</w:t>
            </w:r>
            <w:proofErr w:type="gramEnd"/>
            <w:r w:rsidRPr="00A50724">
              <w:rPr>
                <w:b/>
                <w:bCs/>
                <w:sz w:val="16"/>
                <w:szCs w:val="16"/>
              </w:rPr>
              <w:t xml:space="preserve">2 </w:t>
            </w:r>
          </w:p>
        </w:tc>
        <w:tc>
          <w:tcPr>
            <w:tcW w:w="990" w:type="dxa"/>
            <w:hideMark/>
          </w:tcPr>
          <w:p w14:paraId="0CFA692D" w14:textId="29F15868" w:rsidR="00A50724" w:rsidRPr="00A50724" w:rsidRDefault="00A50724" w:rsidP="00A50724">
            <w:pPr>
              <w:jc w:val="both"/>
              <w:rPr>
                <w:sz w:val="16"/>
                <w:szCs w:val="16"/>
              </w:rPr>
            </w:pPr>
            <w:r w:rsidRPr="00A50724">
              <w:rPr>
                <w:sz w:val="16"/>
                <w:szCs w:val="16"/>
              </w:rPr>
              <w:t xml:space="preserve">-0.1595 </w:t>
            </w:r>
          </w:p>
        </w:tc>
        <w:tc>
          <w:tcPr>
            <w:tcW w:w="900" w:type="dxa"/>
            <w:hideMark/>
          </w:tcPr>
          <w:p w14:paraId="7DA1ADF9" w14:textId="71B98CCF" w:rsidR="00A50724" w:rsidRPr="00A50724" w:rsidRDefault="00A50724" w:rsidP="00A50724">
            <w:pPr>
              <w:jc w:val="both"/>
              <w:rPr>
                <w:sz w:val="16"/>
                <w:szCs w:val="16"/>
              </w:rPr>
            </w:pPr>
            <w:r w:rsidRPr="00A50724">
              <w:rPr>
                <w:sz w:val="16"/>
                <w:szCs w:val="16"/>
              </w:rPr>
              <w:t xml:space="preserve">0.041 </w:t>
            </w:r>
          </w:p>
        </w:tc>
        <w:tc>
          <w:tcPr>
            <w:tcW w:w="810" w:type="dxa"/>
            <w:hideMark/>
          </w:tcPr>
          <w:p w14:paraId="3E9C265D" w14:textId="3DC63F75" w:rsidR="00A50724" w:rsidRPr="00A50724" w:rsidRDefault="00A50724" w:rsidP="00A50724">
            <w:pPr>
              <w:jc w:val="both"/>
              <w:rPr>
                <w:sz w:val="16"/>
                <w:szCs w:val="16"/>
              </w:rPr>
            </w:pPr>
            <w:r w:rsidRPr="00A50724">
              <w:rPr>
                <w:sz w:val="16"/>
                <w:szCs w:val="16"/>
              </w:rPr>
              <w:t xml:space="preserve">-3.881 </w:t>
            </w:r>
          </w:p>
        </w:tc>
        <w:tc>
          <w:tcPr>
            <w:tcW w:w="630" w:type="dxa"/>
            <w:hideMark/>
          </w:tcPr>
          <w:p w14:paraId="07788FD6" w14:textId="57444258" w:rsidR="00A50724" w:rsidRPr="00A50724" w:rsidRDefault="00A50724" w:rsidP="00A50724">
            <w:pPr>
              <w:jc w:val="both"/>
              <w:rPr>
                <w:sz w:val="16"/>
                <w:szCs w:val="16"/>
              </w:rPr>
            </w:pPr>
            <w:r w:rsidRPr="00A50724">
              <w:rPr>
                <w:sz w:val="16"/>
                <w:szCs w:val="16"/>
              </w:rPr>
              <w:t xml:space="preserve">0.000 </w:t>
            </w:r>
          </w:p>
        </w:tc>
      </w:tr>
      <w:tr w:rsidR="00A50724" w:rsidRPr="00816CC7" w14:paraId="1F40BD88" w14:textId="77777777" w:rsidTr="00F865B1">
        <w:trPr>
          <w:trHeight w:val="300"/>
        </w:trPr>
        <w:tc>
          <w:tcPr>
            <w:tcW w:w="1615" w:type="dxa"/>
          </w:tcPr>
          <w:p w14:paraId="2F39B4DF" w14:textId="7AE3CFDD" w:rsidR="00A50724" w:rsidRPr="00A50724" w:rsidRDefault="00A50724" w:rsidP="00A50724">
            <w:pPr>
              <w:jc w:val="both"/>
              <w:rPr>
                <w:b/>
                <w:bCs/>
                <w:sz w:val="16"/>
                <w:szCs w:val="16"/>
              </w:rPr>
            </w:pPr>
            <w:r w:rsidRPr="00A50724">
              <w:rPr>
                <w:b/>
                <w:bCs/>
                <w:sz w:val="16"/>
                <w:szCs w:val="16"/>
              </w:rPr>
              <w:t xml:space="preserve">sigma2 </w:t>
            </w:r>
          </w:p>
        </w:tc>
        <w:tc>
          <w:tcPr>
            <w:tcW w:w="990" w:type="dxa"/>
          </w:tcPr>
          <w:p w14:paraId="53DC9CA3" w14:textId="716C7580" w:rsidR="00A50724" w:rsidRPr="00A50724" w:rsidRDefault="00A50724" w:rsidP="00A50724">
            <w:pPr>
              <w:jc w:val="both"/>
              <w:rPr>
                <w:sz w:val="16"/>
                <w:szCs w:val="16"/>
              </w:rPr>
            </w:pPr>
            <w:r w:rsidRPr="00A50724">
              <w:rPr>
                <w:sz w:val="16"/>
                <w:szCs w:val="16"/>
              </w:rPr>
              <w:t xml:space="preserve">137.6129 </w:t>
            </w:r>
          </w:p>
        </w:tc>
        <w:tc>
          <w:tcPr>
            <w:tcW w:w="900" w:type="dxa"/>
          </w:tcPr>
          <w:p w14:paraId="5171F9F2" w14:textId="24332C62" w:rsidR="00A50724" w:rsidRPr="00A50724" w:rsidRDefault="00A50724" w:rsidP="00A50724">
            <w:pPr>
              <w:jc w:val="both"/>
              <w:rPr>
                <w:sz w:val="16"/>
                <w:szCs w:val="16"/>
              </w:rPr>
            </w:pPr>
            <w:r w:rsidRPr="00A50724">
              <w:rPr>
                <w:sz w:val="16"/>
                <w:szCs w:val="16"/>
              </w:rPr>
              <w:t xml:space="preserve">7.157 </w:t>
            </w:r>
          </w:p>
        </w:tc>
        <w:tc>
          <w:tcPr>
            <w:tcW w:w="810" w:type="dxa"/>
          </w:tcPr>
          <w:p w14:paraId="1C8EA5DD" w14:textId="10664583" w:rsidR="00A50724" w:rsidRPr="00A50724" w:rsidRDefault="00A50724" w:rsidP="00A50724">
            <w:pPr>
              <w:jc w:val="both"/>
              <w:rPr>
                <w:sz w:val="16"/>
                <w:szCs w:val="16"/>
              </w:rPr>
            </w:pPr>
            <w:r w:rsidRPr="00A50724">
              <w:rPr>
                <w:sz w:val="16"/>
                <w:szCs w:val="16"/>
              </w:rPr>
              <w:t xml:space="preserve">19.229 </w:t>
            </w:r>
          </w:p>
        </w:tc>
        <w:tc>
          <w:tcPr>
            <w:tcW w:w="630" w:type="dxa"/>
          </w:tcPr>
          <w:p w14:paraId="277DC6CF" w14:textId="21192FC9" w:rsidR="00A50724" w:rsidRPr="00A50724" w:rsidRDefault="00A50724" w:rsidP="00A50724">
            <w:pPr>
              <w:jc w:val="both"/>
              <w:rPr>
                <w:sz w:val="16"/>
                <w:szCs w:val="16"/>
              </w:rPr>
            </w:pPr>
            <w:r w:rsidRPr="00A50724">
              <w:rPr>
                <w:sz w:val="16"/>
                <w:szCs w:val="16"/>
              </w:rPr>
              <w:t xml:space="preserve">0.000 </w:t>
            </w:r>
          </w:p>
        </w:tc>
      </w:tr>
      <w:tr w:rsidR="00A50724" w:rsidRPr="00816CC7" w14:paraId="389C4C5C" w14:textId="77777777" w:rsidTr="00F865B1">
        <w:trPr>
          <w:trHeight w:val="300"/>
        </w:trPr>
        <w:tc>
          <w:tcPr>
            <w:tcW w:w="4945" w:type="dxa"/>
            <w:gridSpan w:val="5"/>
          </w:tcPr>
          <w:p w14:paraId="11B3C514" w14:textId="77777777" w:rsidR="00A50724" w:rsidRPr="00300E25" w:rsidRDefault="00A50724" w:rsidP="00F865B1">
            <w:pPr>
              <w:jc w:val="both"/>
              <w:rPr>
                <w:b/>
                <w:bCs/>
                <w:sz w:val="16"/>
                <w:szCs w:val="16"/>
              </w:rPr>
            </w:pPr>
          </w:p>
        </w:tc>
      </w:tr>
      <w:tr w:rsidR="00A50724" w:rsidRPr="00816CC7" w14:paraId="3F0905A1" w14:textId="77777777" w:rsidTr="00F865B1">
        <w:trPr>
          <w:trHeight w:val="300"/>
        </w:trPr>
        <w:tc>
          <w:tcPr>
            <w:tcW w:w="1615" w:type="dxa"/>
          </w:tcPr>
          <w:p w14:paraId="5F2A32D2" w14:textId="06A83AA1" w:rsidR="00A50724" w:rsidRPr="00A50724" w:rsidRDefault="00A50724" w:rsidP="00A50724">
            <w:pPr>
              <w:jc w:val="both"/>
              <w:rPr>
                <w:b/>
                <w:bCs/>
                <w:sz w:val="16"/>
                <w:szCs w:val="16"/>
              </w:rPr>
            </w:pPr>
            <w:proofErr w:type="spellStart"/>
            <w:r w:rsidRPr="00A50724">
              <w:rPr>
                <w:b/>
                <w:bCs/>
                <w:sz w:val="16"/>
                <w:szCs w:val="16"/>
              </w:rPr>
              <w:t>Ljung</w:t>
            </w:r>
            <w:proofErr w:type="spellEnd"/>
            <w:r w:rsidRPr="00A50724">
              <w:rPr>
                <w:b/>
                <w:bCs/>
                <w:sz w:val="16"/>
                <w:szCs w:val="16"/>
              </w:rPr>
              <w:t xml:space="preserve">-Box (L1) (Q): </w:t>
            </w:r>
          </w:p>
        </w:tc>
        <w:tc>
          <w:tcPr>
            <w:tcW w:w="3330" w:type="dxa"/>
            <w:gridSpan w:val="4"/>
          </w:tcPr>
          <w:p w14:paraId="70EC947A" w14:textId="236F350B" w:rsidR="00A50724" w:rsidRPr="00A50724" w:rsidRDefault="00A50724" w:rsidP="00A50724">
            <w:pPr>
              <w:jc w:val="both"/>
              <w:rPr>
                <w:sz w:val="16"/>
                <w:szCs w:val="16"/>
              </w:rPr>
            </w:pPr>
            <w:r w:rsidRPr="00A50724">
              <w:rPr>
                <w:sz w:val="16"/>
                <w:szCs w:val="16"/>
              </w:rPr>
              <w:t xml:space="preserve">0.02 </w:t>
            </w:r>
          </w:p>
        </w:tc>
      </w:tr>
      <w:tr w:rsidR="00A50724" w:rsidRPr="00816CC7" w14:paraId="7C6EC173" w14:textId="77777777" w:rsidTr="00F865B1">
        <w:trPr>
          <w:trHeight w:val="300"/>
        </w:trPr>
        <w:tc>
          <w:tcPr>
            <w:tcW w:w="1615" w:type="dxa"/>
            <w:noWrap/>
            <w:hideMark/>
          </w:tcPr>
          <w:p w14:paraId="5829CE53" w14:textId="0BFC3798" w:rsidR="00A50724" w:rsidRPr="00A50724" w:rsidRDefault="00A50724" w:rsidP="00A50724">
            <w:pPr>
              <w:jc w:val="both"/>
              <w:rPr>
                <w:b/>
                <w:bCs/>
                <w:sz w:val="16"/>
                <w:szCs w:val="16"/>
              </w:rPr>
            </w:pPr>
            <w:r w:rsidRPr="00A50724">
              <w:rPr>
                <w:b/>
                <w:bCs/>
                <w:sz w:val="16"/>
                <w:szCs w:val="16"/>
              </w:rPr>
              <w:t xml:space="preserve">Prob(Q): </w:t>
            </w:r>
          </w:p>
        </w:tc>
        <w:tc>
          <w:tcPr>
            <w:tcW w:w="3330" w:type="dxa"/>
            <w:gridSpan w:val="4"/>
          </w:tcPr>
          <w:p w14:paraId="56DD2203" w14:textId="60590FE3" w:rsidR="00A50724" w:rsidRPr="00A50724" w:rsidRDefault="00A50724" w:rsidP="00A50724">
            <w:pPr>
              <w:jc w:val="both"/>
              <w:rPr>
                <w:sz w:val="16"/>
                <w:szCs w:val="16"/>
              </w:rPr>
            </w:pPr>
            <w:r w:rsidRPr="00A50724">
              <w:rPr>
                <w:sz w:val="16"/>
                <w:szCs w:val="16"/>
              </w:rPr>
              <w:t>0.90</w:t>
            </w:r>
          </w:p>
        </w:tc>
      </w:tr>
    </w:tbl>
    <w:p w14:paraId="40005C5A" w14:textId="77777777" w:rsidR="00A50724" w:rsidRDefault="00A50724" w:rsidP="00A50724">
      <w:pPr>
        <w:jc w:val="both"/>
      </w:pPr>
    </w:p>
    <w:p w14:paraId="21594211" w14:textId="77777777" w:rsidR="00EC56CA" w:rsidRDefault="00EC56CA" w:rsidP="00EC56CA">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Pr>
          <w:lang w:val="en-US"/>
        </w:rPr>
        <w:t xml:space="preserve">Each AR terms in the model is statistically significant. </w:t>
      </w:r>
      <w:r w:rsidRPr="00A24463">
        <w:t>The residual diagnostics reveals a mean nearing zero, a normal distribution, and non</w:t>
      </w:r>
      <w:r>
        <w:rPr>
          <w:lang w:val="en-US"/>
        </w:rPr>
        <w:t>-</w:t>
      </w:r>
      <w:r w:rsidRPr="00A24463">
        <w:t>significant autocorrelations. By all indications in the study, ARIMA(</w:t>
      </w:r>
      <w:r>
        <w:rPr>
          <w:lang w:val="en-US"/>
        </w:rPr>
        <w:t>0,1,2</w:t>
      </w:r>
      <w:r w:rsidRPr="00A24463">
        <w:t>) is a good fit for the time series.</w:t>
      </w:r>
    </w:p>
    <w:p w14:paraId="676AB8FA" w14:textId="52C65740" w:rsidR="001D0DFD" w:rsidRDefault="001D0DFD" w:rsidP="001D0DFD">
      <w:pPr>
        <w:pStyle w:val="Heading2"/>
        <w:numPr>
          <w:ilvl w:val="0"/>
          <w:numId w:val="0"/>
        </w:numPr>
      </w:pPr>
      <w:r>
        <w:t>Local Round Scad ITS</w:t>
      </w:r>
      <w:r>
        <w:t xml:space="preserve"> Fitting and Evaluation</w:t>
      </w:r>
    </w:p>
    <w:p w14:paraId="4A16E701" w14:textId="425BC609" w:rsidR="001D0DFD" w:rsidRDefault="00C42E9B" w:rsidP="001D0DFD">
      <w:pPr>
        <w:pStyle w:val="BodyText"/>
        <w:rPr>
          <w:lang w:val="en-US"/>
        </w:rPr>
      </w:pPr>
      <w:r>
        <w:rPr>
          <w:noProof/>
        </w:rPr>
        <mc:AlternateContent>
          <mc:Choice Requires="wps">
            <w:drawing>
              <wp:anchor distT="0" distB="0" distL="114300" distR="114300" simplePos="0" relativeHeight="251696128" behindDoc="0" locked="0" layoutInCell="1" allowOverlap="1" wp14:anchorId="55C92E38" wp14:editId="6F4DD421">
                <wp:simplePos x="0" y="0"/>
                <wp:positionH relativeFrom="column">
                  <wp:posOffset>0</wp:posOffset>
                </wp:positionH>
                <wp:positionV relativeFrom="paragraph">
                  <wp:posOffset>2434590</wp:posOffset>
                </wp:positionV>
                <wp:extent cx="30899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21A2ACC" w14:textId="32CA41BA" w:rsidR="00C42E9B" w:rsidRPr="00C42E9B" w:rsidRDefault="00C42E9B" w:rsidP="00C42E9B">
                            <w:pPr>
                              <w:pStyle w:val="Caption"/>
                              <w:jc w:val="left"/>
                              <w:rPr>
                                <w:i w:val="0"/>
                                <w:iCs w:val="0"/>
                                <w:noProof/>
                                <w:color w:val="auto"/>
                                <w:spacing w:val="-1"/>
                                <w:lang w:val="x-none" w:eastAsia="x-none"/>
                              </w:rPr>
                            </w:pPr>
                            <w:r w:rsidRPr="00C42E9B">
                              <w:rPr>
                                <w:i w:val="0"/>
                                <w:iCs w:val="0"/>
                                <w:color w:val="auto"/>
                                <w:sz w:val="16"/>
                                <w:szCs w:val="16"/>
                              </w:rPr>
                              <w:t xml:space="preserve">Fig. </w:t>
                            </w:r>
                            <w:r w:rsidR="00140537">
                              <w:rPr>
                                <w:i w:val="0"/>
                                <w:iCs w:val="0"/>
                                <w:color w:val="auto"/>
                                <w:sz w:val="16"/>
                                <w:szCs w:val="16"/>
                              </w:rPr>
                              <w:t>1</w:t>
                            </w:r>
                            <w:r w:rsidRPr="00C42E9B">
                              <w:rPr>
                                <w:i w:val="0"/>
                                <w:iCs w:val="0"/>
                                <w:color w:val="auto"/>
                                <w:sz w:val="16"/>
                                <w:szCs w:val="16"/>
                              </w:rPr>
                              <w:t xml:space="preserve">0.  Local Round </w:t>
                            </w:r>
                            <w:proofErr w:type="spellStart"/>
                            <w:r w:rsidRPr="00C42E9B">
                              <w:rPr>
                                <w:i w:val="0"/>
                                <w:iCs w:val="0"/>
                                <w:color w:val="auto"/>
                                <w:sz w:val="16"/>
                                <w:szCs w:val="16"/>
                              </w:rPr>
                              <w:t>Scad</w:t>
                            </w:r>
                            <w:proofErr w:type="spellEnd"/>
                            <w:r w:rsidRPr="00C42E9B">
                              <w:rPr>
                                <w:i w:val="0"/>
                                <w:iCs w:val="0"/>
                                <w:color w:val="auto"/>
                                <w:sz w:val="16"/>
                                <w:szCs w:val="16"/>
                              </w:rPr>
                              <w:t xml:space="preserve"> ITS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92E38" id="Text Box 20" o:spid="_x0000_s1034" type="#_x0000_t202" style="position:absolute;left:0;text-align:left;margin-left:0;margin-top:191.7pt;width:243.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juGg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" stroked="f">
                <v:textbox style="mso-fit-shape-to-text:t" inset="0,0,0,0">
                  <w:txbxContent>
                    <w:p w14:paraId="121A2ACC" w14:textId="32CA41BA" w:rsidR="00C42E9B" w:rsidRPr="00C42E9B" w:rsidRDefault="00C42E9B" w:rsidP="00C42E9B">
                      <w:pPr>
                        <w:pStyle w:val="Caption"/>
                        <w:jc w:val="left"/>
                        <w:rPr>
                          <w:i w:val="0"/>
                          <w:iCs w:val="0"/>
                          <w:noProof/>
                          <w:color w:val="auto"/>
                          <w:spacing w:val="-1"/>
                          <w:lang w:val="x-none" w:eastAsia="x-none"/>
                        </w:rPr>
                      </w:pPr>
                      <w:r w:rsidRPr="00C42E9B">
                        <w:rPr>
                          <w:i w:val="0"/>
                          <w:iCs w:val="0"/>
                          <w:color w:val="auto"/>
                          <w:sz w:val="16"/>
                          <w:szCs w:val="16"/>
                        </w:rPr>
                        <w:t xml:space="preserve">Fig. </w:t>
                      </w:r>
                      <w:r w:rsidR="00140537">
                        <w:rPr>
                          <w:i w:val="0"/>
                          <w:iCs w:val="0"/>
                          <w:color w:val="auto"/>
                          <w:sz w:val="16"/>
                          <w:szCs w:val="16"/>
                        </w:rPr>
                        <w:t>1</w:t>
                      </w:r>
                      <w:r w:rsidRPr="00C42E9B">
                        <w:rPr>
                          <w:i w:val="0"/>
                          <w:iCs w:val="0"/>
                          <w:color w:val="auto"/>
                          <w:sz w:val="16"/>
                          <w:szCs w:val="16"/>
                        </w:rPr>
                        <w:t xml:space="preserve">0.  Local Round </w:t>
                      </w:r>
                      <w:proofErr w:type="spellStart"/>
                      <w:r w:rsidRPr="00C42E9B">
                        <w:rPr>
                          <w:i w:val="0"/>
                          <w:iCs w:val="0"/>
                          <w:color w:val="auto"/>
                          <w:sz w:val="16"/>
                          <w:szCs w:val="16"/>
                        </w:rPr>
                        <w:t>Scad</w:t>
                      </w:r>
                      <w:proofErr w:type="spellEnd"/>
                      <w:r w:rsidRPr="00C42E9B">
                        <w:rPr>
                          <w:i w:val="0"/>
                          <w:iCs w:val="0"/>
                          <w:color w:val="auto"/>
                          <w:sz w:val="16"/>
                          <w:szCs w:val="16"/>
                        </w:rPr>
                        <w:t xml:space="preserve"> ITS Visualization</w:t>
                      </w:r>
                    </w:p>
                  </w:txbxContent>
                </v:textbox>
                <w10:wrap type="square"/>
              </v:shape>
            </w:pict>
          </mc:Fallback>
        </mc:AlternateContent>
      </w:r>
      <w:r w:rsidR="00F45AAE">
        <w:rPr>
          <w:noProof/>
        </w:rPr>
        <w:drawing>
          <wp:anchor distT="0" distB="0" distL="114300" distR="114300" simplePos="0" relativeHeight="251694080" behindDoc="0" locked="0" layoutInCell="1" allowOverlap="1" wp14:anchorId="17878C87" wp14:editId="59FF4640">
            <wp:simplePos x="0" y="0"/>
            <wp:positionH relativeFrom="margin">
              <wp:posOffset>0</wp:posOffset>
            </wp:positionH>
            <wp:positionV relativeFrom="margin">
              <wp:posOffset>3539218</wp:posOffset>
            </wp:positionV>
            <wp:extent cx="3089910" cy="17189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718945"/>
                    </a:xfrm>
                    <a:prstGeom prst="rect">
                      <a:avLst/>
                    </a:prstGeom>
                    <a:noFill/>
                    <a:ln>
                      <a:noFill/>
                    </a:ln>
                  </pic:spPr>
                </pic:pic>
              </a:graphicData>
            </a:graphic>
          </wp:anchor>
        </w:drawing>
      </w:r>
      <w:r w:rsidR="001D0DFD" w:rsidRPr="00E87E96">
        <w:t>After determining that ARIMA(</w:t>
      </w:r>
      <w:r w:rsidR="001D0DFD">
        <w:rPr>
          <w:lang w:val="en-US"/>
        </w:rPr>
        <w:t>0,1,2</w:t>
      </w:r>
      <w:r w:rsidR="001D0DFD" w:rsidRPr="00E87E96">
        <w:t xml:space="preserve">) is appropriate, the researcher modeled the counterfactual observation and the intervention point. Figure </w:t>
      </w:r>
      <w:r w:rsidR="00F45AAE">
        <w:rPr>
          <w:lang w:val="en-US"/>
        </w:rPr>
        <w:t>10</w:t>
      </w:r>
      <w:r w:rsidR="001D0DFD" w:rsidRPr="00E87E96">
        <w:t xml:space="preserve"> shows a visualization of the ITS model</w:t>
      </w:r>
      <w:r w:rsidR="001D0DFD">
        <w:rPr>
          <w:lang w:val="en-US"/>
        </w:rPr>
        <w:t>.</w:t>
      </w:r>
    </w:p>
    <w:p w14:paraId="02757A06" w14:textId="380DB69E" w:rsidR="002E579C" w:rsidRDefault="00A81602" w:rsidP="007D4A97">
      <w:pPr>
        <w:pStyle w:val="BodyText"/>
        <w:rPr>
          <w:lang w:val="en-US"/>
        </w:rPr>
      </w:pPr>
      <w:r>
        <w:rPr>
          <w:noProof/>
        </w:rPr>
        <mc:AlternateContent>
          <mc:Choice Requires="wps">
            <w:drawing>
              <wp:anchor distT="0" distB="0" distL="114300" distR="114300" simplePos="0" relativeHeight="251702272" behindDoc="0" locked="0" layoutInCell="1" allowOverlap="1" wp14:anchorId="0123A65E" wp14:editId="492E2B3F">
                <wp:simplePos x="0" y="0"/>
                <wp:positionH relativeFrom="column">
                  <wp:posOffset>3318510</wp:posOffset>
                </wp:positionH>
                <wp:positionV relativeFrom="paragraph">
                  <wp:posOffset>3740150</wp:posOffset>
                </wp:positionV>
                <wp:extent cx="30899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A93F173" w14:textId="0AFE3F8C" w:rsidR="00A81602" w:rsidRPr="00A81602" w:rsidRDefault="00A81602" w:rsidP="00A81602">
                            <w:pPr>
                              <w:pStyle w:val="Caption"/>
                              <w:jc w:val="left"/>
                              <w:rPr>
                                <w:i w:val="0"/>
                                <w:iCs w:val="0"/>
                                <w:noProof/>
                                <w:color w:val="auto"/>
                                <w:spacing w:val="-1"/>
                                <w:lang w:val="x-none" w:eastAsia="x-none"/>
                              </w:rPr>
                            </w:pPr>
                            <w:r w:rsidRPr="00A81602">
                              <w:rPr>
                                <w:i w:val="0"/>
                                <w:iCs w:val="0"/>
                                <w:color w:val="auto"/>
                                <w:sz w:val="16"/>
                                <w:szCs w:val="16"/>
                              </w:rPr>
                              <w:t xml:space="preserve">Fig. 12.  Local Round </w:t>
                            </w:r>
                            <w:proofErr w:type="spellStart"/>
                            <w:r w:rsidRPr="00A81602">
                              <w:rPr>
                                <w:i w:val="0"/>
                                <w:iCs w:val="0"/>
                                <w:color w:val="auto"/>
                                <w:sz w:val="16"/>
                                <w:szCs w:val="16"/>
                              </w:rPr>
                              <w:t>Scad</w:t>
                            </w:r>
                            <w:proofErr w:type="spellEnd"/>
                            <w:r w:rsidRPr="00A81602">
                              <w:rPr>
                                <w:i w:val="0"/>
                                <w:iCs w:val="0"/>
                                <w:color w:val="auto"/>
                                <w:sz w:val="16"/>
                                <w:szCs w:val="16"/>
                              </w:rPr>
                              <w:t xml:space="preserve"> Forecasting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3A65E" id="Text Box 24" o:spid="_x0000_s1035" type="#_x0000_t202" style="position:absolute;left:0;text-align:left;margin-left:261.3pt;margin-top:294.5pt;width:243.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LGg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" stroked="f">
                <v:textbox style="mso-fit-shape-to-text:t" inset="0,0,0,0">
                  <w:txbxContent>
                    <w:p w14:paraId="7A93F173" w14:textId="0AFE3F8C" w:rsidR="00A81602" w:rsidRPr="00A81602" w:rsidRDefault="00A81602" w:rsidP="00A81602">
                      <w:pPr>
                        <w:pStyle w:val="Caption"/>
                        <w:jc w:val="left"/>
                        <w:rPr>
                          <w:i w:val="0"/>
                          <w:iCs w:val="0"/>
                          <w:noProof/>
                          <w:color w:val="auto"/>
                          <w:spacing w:val="-1"/>
                          <w:lang w:val="x-none" w:eastAsia="x-none"/>
                        </w:rPr>
                      </w:pPr>
                      <w:r w:rsidRPr="00A81602">
                        <w:rPr>
                          <w:i w:val="0"/>
                          <w:iCs w:val="0"/>
                          <w:color w:val="auto"/>
                          <w:sz w:val="16"/>
                          <w:szCs w:val="16"/>
                        </w:rPr>
                        <w:t xml:space="preserve">Fig. 12.  Local Round </w:t>
                      </w:r>
                      <w:proofErr w:type="spellStart"/>
                      <w:r w:rsidRPr="00A81602">
                        <w:rPr>
                          <w:i w:val="0"/>
                          <w:iCs w:val="0"/>
                          <w:color w:val="auto"/>
                          <w:sz w:val="16"/>
                          <w:szCs w:val="16"/>
                        </w:rPr>
                        <w:t>Scad</w:t>
                      </w:r>
                      <w:proofErr w:type="spellEnd"/>
                      <w:r w:rsidRPr="00A81602">
                        <w:rPr>
                          <w:i w:val="0"/>
                          <w:iCs w:val="0"/>
                          <w:color w:val="auto"/>
                          <w:sz w:val="16"/>
                          <w:szCs w:val="16"/>
                        </w:rPr>
                        <w:t xml:space="preserve"> Forecasting Visualization</w:t>
                      </w:r>
                    </w:p>
                  </w:txbxContent>
                </v:textbox>
                <w10:wrap type="square"/>
              </v:shape>
            </w:pict>
          </mc:Fallback>
        </mc:AlternateContent>
      </w:r>
      <w:r w:rsidR="00026F00">
        <w:rPr>
          <w:noProof/>
        </w:rPr>
        <w:drawing>
          <wp:anchor distT="0" distB="0" distL="114300" distR="114300" simplePos="0" relativeHeight="251700224" behindDoc="0" locked="0" layoutInCell="1" allowOverlap="1" wp14:anchorId="3885EF27" wp14:editId="77B4FA97">
            <wp:simplePos x="0" y="0"/>
            <wp:positionH relativeFrom="margin">
              <wp:posOffset>3318510</wp:posOffset>
            </wp:positionH>
            <wp:positionV relativeFrom="margin">
              <wp:posOffset>5558427</wp:posOffset>
            </wp:positionV>
            <wp:extent cx="3089910" cy="1636395"/>
            <wp:effectExtent l="0" t="0" r="0"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1636395"/>
                    </a:xfrm>
                    <a:prstGeom prst="rect">
                      <a:avLst/>
                    </a:prstGeom>
                    <a:noFill/>
                    <a:ln>
                      <a:noFill/>
                    </a:ln>
                  </pic:spPr>
                </pic:pic>
              </a:graphicData>
            </a:graphic>
          </wp:anchor>
        </w:drawing>
      </w:r>
      <w:r w:rsidR="005E52EC" w:rsidRPr="00EC3C2E">
        <w:t>The difference between the counterfactual and the training data shows a mean of</w:t>
      </w:r>
      <w:r w:rsidR="005E52EC">
        <w:rPr>
          <w:lang w:val="en-US"/>
        </w:rPr>
        <w:t xml:space="preserve"> -43.4</w:t>
      </w:r>
      <w:r w:rsidR="005E52EC" w:rsidRPr="00EC3C2E">
        <w:t xml:space="preserve">, a max of </w:t>
      </w:r>
      <w:r w:rsidR="005E52EC">
        <w:rPr>
          <w:lang w:val="en-US"/>
        </w:rPr>
        <w:t>0.07</w:t>
      </w:r>
      <w:r w:rsidR="005E52EC" w:rsidRPr="00EC3C2E">
        <w:t xml:space="preserve"> and a minimum of </w:t>
      </w:r>
      <w:r w:rsidR="005E52EC">
        <w:rPr>
          <w:lang w:val="en-US"/>
        </w:rPr>
        <w:t>-</w:t>
      </w:r>
      <w:r w:rsidR="005E52EC">
        <w:rPr>
          <w:lang w:val="en-US"/>
        </w:rPr>
        <w:t>82.20</w:t>
      </w:r>
      <w:r w:rsidR="005E52EC" w:rsidRPr="00EC3C2E">
        <w:t xml:space="preserve">. Plotting the difference shows a change in expected prices during </w:t>
      </w:r>
      <w:r w:rsidR="005E52EC">
        <w:t>entirety of the pandemic lockdown indicating a large impact.</w:t>
      </w:r>
      <w:r w:rsidR="005E52EC" w:rsidRPr="00027B01">
        <w:t xml:space="preserve"> The model itself was evaluated with RMSE showing a value of </w:t>
      </w:r>
      <w:r w:rsidR="00023477">
        <w:rPr>
          <w:lang w:val="en-US"/>
        </w:rPr>
        <w:t>11.797</w:t>
      </w:r>
      <w:r w:rsidR="005E52EC" w:rsidRPr="00027B01">
        <w:t xml:space="preserve"> indicating a minimal margin of error</w:t>
      </w:r>
      <w:r w:rsidR="00023477">
        <w:rPr>
          <w:lang w:val="en-US"/>
        </w:rPr>
        <w:t>.</w:t>
      </w:r>
    </w:p>
    <w:p w14:paraId="0DFDB26A" w14:textId="1804D5B1" w:rsidR="00444B9D" w:rsidRDefault="00444B9D" w:rsidP="00444B9D">
      <w:pPr>
        <w:pStyle w:val="Heading2"/>
        <w:numPr>
          <w:ilvl w:val="0"/>
          <w:numId w:val="0"/>
        </w:numPr>
      </w:pPr>
      <w:r>
        <w:t xml:space="preserve">Local Round </w:t>
      </w:r>
      <w:r>
        <w:t>Forecasting</w:t>
      </w:r>
    </w:p>
    <w:p w14:paraId="2C641135" w14:textId="27B700EF" w:rsidR="001D189B" w:rsidRDefault="002E0B59" w:rsidP="001D189B">
      <w:pPr>
        <w:pStyle w:val="BodyText"/>
        <w:rPr>
          <w:lang w:val="en-US"/>
        </w:rPr>
      </w:pPr>
      <w:r>
        <w:rPr>
          <w:noProof/>
        </w:rPr>
        <mc:AlternateContent>
          <mc:Choice Requires="wps">
            <w:drawing>
              <wp:anchor distT="0" distB="0" distL="114300" distR="114300" simplePos="0" relativeHeight="251699200" behindDoc="0" locked="0" layoutInCell="1" allowOverlap="1" wp14:anchorId="32AB98E8" wp14:editId="5A7FD5F3">
                <wp:simplePos x="0" y="0"/>
                <wp:positionH relativeFrom="column">
                  <wp:posOffset>3175</wp:posOffset>
                </wp:positionH>
                <wp:positionV relativeFrom="paragraph">
                  <wp:posOffset>2105478</wp:posOffset>
                </wp:positionV>
                <wp:extent cx="3089910" cy="635"/>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67F6E48" w14:textId="2EC769C9" w:rsidR="002E0B59" w:rsidRPr="002E0B59" w:rsidRDefault="002E0B59" w:rsidP="002E0B59">
                            <w:pPr>
                              <w:pStyle w:val="Caption"/>
                              <w:jc w:val="left"/>
                              <w:rPr>
                                <w:i w:val="0"/>
                                <w:iCs w:val="0"/>
                                <w:noProof/>
                                <w:color w:val="auto"/>
                                <w:spacing w:val="-1"/>
                                <w:lang w:val="x-none" w:eastAsia="x-none"/>
                              </w:rPr>
                            </w:pPr>
                            <w:r w:rsidRPr="002E0B59">
                              <w:rPr>
                                <w:i w:val="0"/>
                                <w:iCs w:val="0"/>
                                <w:color w:val="auto"/>
                                <w:sz w:val="16"/>
                                <w:szCs w:val="16"/>
                              </w:rPr>
                              <w:t xml:space="preserve">Fig. 11.  Local Round </w:t>
                            </w:r>
                            <w:proofErr w:type="spellStart"/>
                            <w:r w:rsidRPr="002E0B59">
                              <w:rPr>
                                <w:i w:val="0"/>
                                <w:iCs w:val="0"/>
                                <w:color w:val="auto"/>
                                <w:sz w:val="16"/>
                                <w:szCs w:val="16"/>
                              </w:rPr>
                              <w:t>Scad</w:t>
                            </w:r>
                            <w:proofErr w:type="spellEnd"/>
                            <w:r w:rsidRPr="002E0B59">
                              <w:rPr>
                                <w:i w:val="0"/>
                                <w:iCs w:val="0"/>
                                <w:color w:val="auto"/>
                                <w:sz w:val="16"/>
                                <w:szCs w:val="16"/>
                              </w:rPr>
                              <w:t xml:space="preserve"> Prevailing Prices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B98E8" id="Text Box 22" o:spid="_x0000_s1036" type="#_x0000_t202" style="position:absolute;left:0;text-align:left;margin-left:.25pt;margin-top:165.8pt;width:243.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viGQIAAEA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" stroked="f">
                <v:textbox style="mso-fit-shape-to-text:t" inset="0,0,0,0">
                  <w:txbxContent>
                    <w:p w14:paraId="767F6E48" w14:textId="2EC769C9" w:rsidR="002E0B59" w:rsidRPr="002E0B59" w:rsidRDefault="002E0B59" w:rsidP="002E0B59">
                      <w:pPr>
                        <w:pStyle w:val="Caption"/>
                        <w:jc w:val="left"/>
                        <w:rPr>
                          <w:i w:val="0"/>
                          <w:iCs w:val="0"/>
                          <w:noProof/>
                          <w:color w:val="auto"/>
                          <w:spacing w:val="-1"/>
                          <w:lang w:val="x-none" w:eastAsia="x-none"/>
                        </w:rPr>
                      </w:pPr>
                      <w:r w:rsidRPr="002E0B59">
                        <w:rPr>
                          <w:i w:val="0"/>
                          <w:iCs w:val="0"/>
                          <w:color w:val="auto"/>
                          <w:sz w:val="16"/>
                          <w:szCs w:val="16"/>
                        </w:rPr>
                        <w:t xml:space="preserve">Fig. 11.  Local Round </w:t>
                      </w:r>
                      <w:proofErr w:type="spellStart"/>
                      <w:r w:rsidRPr="002E0B59">
                        <w:rPr>
                          <w:i w:val="0"/>
                          <w:iCs w:val="0"/>
                          <w:color w:val="auto"/>
                          <w:sz w:val="16"/>
                          <w:szCs w:val="16"/>
                        </w:rPr>
                        <w:t>Scad</w:t>
                      </w:r>
                      <w:proofErr w:type="spellEnd"/>
                      <w:r w:rsidRPr="002E0B59">
                        <w:rPr>
                          <w:i w:val="0"/>
                          <w:iCs w:val="0"/>
                          <w:color w:val="auto"/>
                          <w:sz w:val="16"/>
                          <w:szCs w:val="16"/>
                        </w:rPr>
                        <w:t xml:space="preserve"> Prevailing Prices (Forecast)</w:t>
                      </w:r>
                    </w:p>
                  </w:txbxContent>
                </v:textbox>
              </v:shape>
            </w:pict>
          </mc:Fallback>
        </mc:AlternateContent>
      </w:r>
      <w:r>
        <w:rPr>
          <w:noProof/>
        </w:rPr>
        <w:drawing>
          <wp:anchor distT="0" distB="0" distL="114300" distR="114300" simplePos="0" relativeHeight="251697152" behindDoc="0" locked="0" layoutInCell="1" allowOverlap="1" wp14:anchorId="7B85A0CA" wp14:editId="38BDADF4">
            <wp:simplePos x="0" y="0"/>
            <wp:positionH relativeFrom="margin">
              <wp:posOffset>0</wp:posOffset>
            </wp:positionH>
            <wp:positionV relativeFrom="margin">
              <wp:posOffset>7208702</wp:posOffset>
            </wp:positionV>
            <wp:extent cx="3089910" cy="168846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688465"/>
                    </a:xfrm>
                    <a:prstGeom prst="rect">
                      <a:avLst/>
                    </a:prstGeom>
                    <a:noFill/>
                    <a:ln>
                      <a:noFill/>
                    </a:ln>
                  </pic:spPr>
                </pic:pic>
              </a:graphicData>
            </a:graphic>
          </wp:anchor>
        </w:drawing>
      </w:r>
      <w:r w:rsidR="001D189B">
        <w:rPr>
          <w:lang w:val="en-US"/>
        </w:rPr>
        <w:t>F</w:t>
      </w:r>
      <w:proofErr w:type="spellStart"/>
      <w:r w:rsidR="001D189B">
        <w:t>igure</w:t>
      </w:r>
      <w:proofErr w:type="spellEnd"/>
      <w:r w:rsidR="001D189B">
        <w:t xml:space="preserve"> </w:t>
      </w:r>
      <w:r w:rsidR="001D189B">
        <w:rPr>
          <w:lang w:val="en-US"/>
        </w:rPr>
        <w:t>11</w:t>
      </w:r>
      <w:r w:rsidR="001D189B">
        <w:t xml:space="preserve"> displays the </w:t>
      </w:r>
      <w:r w:rsidR="001D189B">
        <w:rPr>
          <w:lang w:val="en-US"/>
        </w:rPr>
        <w:t xml:space="preserve">Local Round </w:t>
      </w:r>
      <w:proofErr w:type="spellStart"/>
      <w:r w:rsidR="001D189B">
        <w:rPr>
          <w:lang w:val="en-US"/>
        </w:rPr>
        <w:t>SCad</w:t>
      </w:r>
      <w:proofErr w:type="spellEnd"/>
      <w:r w:rsidR="001D189B">
        <w:rPr>
          <w:lang w:val="en-US"/>
        </w:rPr>
        <w:t xml:space="preserve"> </w:t>
      </w:r>
      <w:r w:rsidR="001D189B">
        <w:t>prices per kilogram from October 1, 2019 to August 31, 2021</w:t>
      </w:r>
      <w:r w:rsidR="001D189B">
        <w:rPr>
          <w:lang w:val="en-US"/>
        </w:rPr>
        <w:t>.</w:t>
      </w:r>
    </w:p>
    <w:p w14:paraId="67FE8839" w14:textId="4EFE3391" w:rsidR="000D66B2" w:rsidRDefault="000D66B2" w:rsidP="000D66B2">
      <w:pPr>
        <w:pStyle w:val="BodyText"/>
      </w:pPr>
      <w:r>
        <w:rPr>
          <w:lang w:val="en-US"/>
        </w:rPr>
        <w:t xml:space="preserve">After doing the same </w:t>
      </w:r>
      <w:proofErr w:type="gramStart"/>
      <w:r>
        <w:rPr>
          <w:lang w:val="en-US"/>
        </w:rPr>
        <w:t>Box</w:t>
      </w:r>
      <w:proofErr w:type="gramEnd"/>
      <w:r>
        <w:rPr>
          <w:lang w:val="en-US"/>
        </w:rPr>
        <w:t xml:space="preserve">-Jenkins methodology for this time series, it was determined that the ADF p-value is less than 0.05 revealing that the time series is stationary. However, the ACF plot shows a high number of statistically significant autocorrelations meaning that differencing is necessary. After differencing by an order of one and conducting another ADF test, the time series was determined to be stationary indicating that the order of differencing </w:t>
      </w:r>
      <w:r w:rsidRPr="005B1AA4">
        <w:rPr>
          <w:b/>
          <w:bCs/>
          <w:lang w:val="en-US"/>
        </w:rPr>
        <w:t>d</w:t>
      </w:r>
      <w:r>
        <w:rPr>
          <w:lang w:val="en-US"/>
        </w:rPr>
        <w:t xml:space="preserve"> for the model was one. After plotting the ACF and the PACF of the differenced time series, it displayed a sharp cut-off on the ACF plot at lag-2 concluding that the ARIMA model would need 2 MA terms. Table </w:t>
      </w:r>
      <w:r w:rsidR="00791B5D">
        <w:rPr>
          <w:lang w:val="en-US"/>
        </w:rPr>
        <w:t>11</w:t>
      </w:r>
      <w:r>
        <w:rPr>
          <w:lang w:val="en-US"/>
        </w:rPr>
        <w:t xml:space="preserve"> reveals the summary of the ARIMA after fitting.</w:t>
      </w:r>
    </w:p>
    <w:p w14:paraId="6469C042" w14:textId="6E92FEE0" w:rsidR="00791B5D" w:rsidRPr="008F0A6C" w:rsidRDefault="001D189B" w:rsidP="00791B5D">
      <w:pPr>
        <w:pStyle w:val="tablehead"/>
      </w:pPr>
      <w:r>
        <w:tab/>
      </w:r>
      <w:r w:rsidR="00791B5D">
        <w:t xml:space="preserve">ARIMA Fitting summary of Local Round Scad </w:t>
      </w:r>
      <w:r w:rsidR="001047A2">
        <w:t>Forecast</w:t>
      </w:r>
    </w:p>
    <w:tbl>
      <w:tblPr>
        <w:tblStyle w:val="TableGrid"/>
        <w:tblW w:w="4945" w:type="dxa"/>
        <w:tblLayout w:type="fixed"/>
        <w:tblLook w:val="04A0" w:firstRow="1" w:lastRow="0" w:firstColumn="1" w:lastColumn="0" w:noHBand="0" w:noVBand="1"/>
      </w:tblPr>
      <w:tblGrid>
        <w:gridCol w:w="1615"/>
        <w:gridCol w:w="990"/>
        <w:gridCol w:w="900"/>
        <w:gridCol w:w="810"/>
        <w:gridCol w:w="630"/>
      </w:tblGrid>
      <w:tr w:rsidR="00791B5D" w:rsidRPr="00816CC7" w14:paraId="24923CAB" w14:textId="77777777" w:rsidTr="00F865B1">
        <w:trPr>
          <w:trHeight w:val="300"/>
        </w:trPr>
        <w:tc>
          <w:tcPr>
            <w:tcW w:w="1615" w:type="dxa"/>
            <w:noWrap/>
            <w:hideMark/>
          </w:tcPr>
          <w:p w14:paraId="4801A2C1" w14:textId="4B45F233" w:rsidR="00791B5D" w:rsidRPr="00791B5D" w:rsidRDefault="00791B5D" w:rsidP="00791B5D">
            <w:pPr>
              <w:jc w:val="both"/>
              <w:rPr>
                <w:sz w:val="16"/>
                <w:szCs w:val="16"/>
              </w:rPr>
            </w:pPr>
          </w:p>
        </w:tc>
        <w:tc>
          <w:tcPr>
            <w:tcW w:w="990" w:type="dxa"/>
            <w:hideMark/>
          </w:tcPr>
          <w:p w14:paraId="01CDACD8" w14:textId="5569624C" w:rsidR="00791B5D" w:rsidRPr="00791B5D" w:rsidRDefault="00791B5D" w:rsidP="00791B5D">
            <w:pPr>
              <w:jc w:val="both"/>
              <w:rPr>
                <w:b/>
                <w:bCs/>
                <w:sz w:val="16"/>
                <w:szCs w:val="16"/>
              </w:rPr>
            </w:pPr>
            <w:proofErr w:type="spellStart"/>
            <w:r w:rsidRPr="00791B5D">
              <w:rPr>
                <w:b/>
                <w:bCs/>
                <w:sz w:val="16"/>
                <w:szCs w:val="16"/>
              </w:rPr>
              <w:t>coef</w:t>
            </w:r>
            <w:proofErr w:type="spellEnd"/>
          </w:p>
        </w:tc>
        <w:tc>
          <w:tcPr>
            <w:tcW w:w="900" w:type="dxa"/>
            <w:hideMark/>
          </w:tcPr>
          <w:p w14:paraId="4A6C8F11" w14:textId="46ECDA4C" w:rsidR="00791B5D" w:rsidRPr="00791B5D" w:rsidRDefault="00791B5D" w:rsidP="00791B5D">
            <w:pPr>
              <w:jc w:val="both"/>
              <w:rPr>
                <w:b/>
                <w:bCs/>
                <w:sz w:val="16"/>
                <w:szCs w:val="16"/>
              </w:rPr>
            </w:pPr>
            <w:r w:rsidRPr="00791B5D">
              <w:rPr>
                <w:b/>
                <w:bCs/>
                <w:sz w:val="16"/>
                <w:szCs w:val="16"/>
              </w:rPr>
              <w:t>std err</w:t>
            </w:r>
          </w:p>
        </w:tc>
        <w:tc>
          <w:tcPr>
            <w:tcW w:w="810" w:type="dxa"/>
            <w:hideMark/>
          </w:tcPr>
          <w:p w14:paraId="41B96CA6" w14:textId="077F638A" w:rsidR="00791B5D" w:rsidRPr="00791B5D" w:rsidRDefault="00791B5D" w:rsidP="00791B5D">
            <w:pPr>
              <w:jc w:val="both"/>
              <w:rPr>
                <w:b/>
                <w:bCs/>
                <w:sz w:val="16"/>
                <w:szCs w:val="16"/>
              </w:rPr>
            </w:pPr>
            <w:r w:rsidRPr="00791B5D">
              <w:rPr>
                <w:b/>
                <w:bCs/>
                <w:sz w:val="16"/>
                <w:szCs w:val="16"/>
              </w:rPr>
              <w:t>z</w:t>
            </w:r>
          </w:p>
        </w:tc>
        <w:tc>
          <w:tcPr>
            <w:tcW w:w="630" w:type="dxa"/>
            <w:hideMark/>
          </w:tcPr>
          <w:p w14:paraId="0189F540" w14:textId="3D1A5503" w:rsidR="00791B5D" w:rsidRPr="00791B5D" w:rsidRDefault="00791B5D" w:rsidP="00791B5D">
            <w:pPr>
              <w:jc w:val="both"/>
              <w:rPr>
                <w:b/>
                <w:bCs/>
                <w:sz w:val="16"/>
                <w:szCs w:val="16"/>
              </w:rPr>
            </w:pPr>
            <w:r w:rsidRPr="00791B5D">
              <w:rPr>
                <w:b/>
                <w:bCs/>
                <w:sz w:val="16"/>
                <w:szCs w:val="16"/>
              </w:rPr>
              <w:t>P&gt;|z|</w:t>
            </w:r>
          </w:p>
        </w:tc>
      </w:tr>
      <w:tr w:rsidR="00791B5D" w:rsidRPr="00816CC7" w14:paraId="016A6193" w14:textId="77777777" w:rsidTr="00F865B1">
        <w:trPr>
          <w:trHeight w:val="300"/>
        </w:trPr>
        <w:tc>
          <w:tcPr>
            <w:tcW w:w="1615" w:type="dxa"/>
            <w:hideMark/>
          </w:tcPr>
          <w:p w14:paraId="192E2A3E" w14:textId="363C308D" w:rsidR="00791B5D" w:rsidRPr="00791B5D" w:rsidRDefault="00791B5D" w:rsidP="00791B5D">
            <w:pPr>
              <w:jc w:val="both"/>
              <w:rPr>
                <w:b/>
                <w:bCs/>
                <w:sz w:val="16"/>
                <w:szCs w:val="16"/>
              </w:rPr>
            </w:pPr>
            <w:proofErr w:type="gramStart"/>
            <w:r w:rsidRPr="00791B5D">
              <w:rPr>
                <w:b/>
                <w:bCs/>
                <w:sz w:val="16"/>
                <w:szCs w:val="16"/>
              </w:rPr>
              <w:t>ma.L</w:t>
            </w:r>
            <w:proofErr w:type="gramEnd"/>
            <w:r w:rsidRPr="00791B5D">
              <w:rPr>
                <w:b/>
                <w:bCs/>
                <w:sz w:val="16"/>
                <w:szCs w:val="16"/>
              </w:rPr>
              <w:t>1</w:t>
            </w:r>
          </w:p>
        </w:tc>
        <w:tc>
          <w:tcPr>
            <w:tcW w:w="990" w:type="dxa"/>
            <w:hideMark/>
          </w:tcPr>
          <w:p w14:paraId="1B173B65" w14:textId="3E1F709B" w:rsidR="00791B5D" w:rsidRPr="00791B5D" w:rsidRDefault="00791B5D" w:rsidP="00791B5D">
            <w:pPr>
              <w:jc w:val="both"/>
              <w:rPr>
                <w:sz w:val="16"/>
                <w:szCs w:val="16"/>
              </w:rPr>
            </w:pPr>
            <w:r w:rsidRPr="00791B5D">
              <w:rPr>
                <w:sz w:val="16"/>
                <w:szCs w:val="16"/>
              </w:rPr>
              <w:t>-0.3519</w:t>
            </w:r>
          </w:p>
        </w:tc>
        <w:tc>
          <w:tcPr>
            <w:tcW w:w="900" w:type="dxa"/>
            <w:hideMark/>
          </w:tcPr>
          <w:p w14:paraId="654E49A0" w14:textId="572FCCEA" w:rsidR="00791B5D" w:rsidRPr="00791B5D" w:rsidRDefault="00791B5D" w:rsidP="00791B5D">
            <w:pPr>
              <w:jc w:val="both"/>
              <w:rPr>
                <w:sz w:val="16"/>
                <w:szCs w:val="16"/>
              </w:rPr>
            </w:pPr>
            <w:r w:rsidRPr="00791B5D">
              <w:rPr>
                <w:sz w:val="16"/>
                <w:szCs w:val="16"/>
              </w:rPr>
              <w:t>0.027</w:t>
            </w:r>
          </w:p>
        </w:tc>
        <w:tc>
          <w:tcPr>
            <w:tcW w:w="810" w:type="dxa"/>
            <w:hideMark/>
          </w:tcPr>
          <w:p w14:paraId="076B5C9A" w14:textId="5FD50858" w:rsidR="00791B5D" w:rsidRPr="00791B5D" w:rsidRDefault="00791B5D" w:rsidP="00791B5D">
            <w:pPr>
              <w:jc w:val="both"/>
              <w:rPr>
                <w:sz w:val="16"/>
                <w:szCs w:val="16"/>
              </w:rPr>
            </w:pPr>
            <w:r w:rsidRPr="00791B5D">
              <w:rPr>
                <w:sz w:val="16"/>
                <w:szCs w:val="16"/>
              </w:rPr>
              <w:t>-12.911</w:t>
            </w:r>
          </w:p>
        </w:tc>
        <w:tc>
          <w:tcPr>
            <w:tcW w:w="630" w:type="dxa"/>
            <w:hideMark/>
          </w:tcPr>
          <w:p w14:paraId="3CCC3718" w14:textId="0AAE01EC" w:rsidR="00791B5D" w:rsidRPr="00791B5D" w:rsidRDefault="00791B5D" w:rsidP="00791B5D">
            <w:pPr>
              <w:jc w:val="both"/>
              <w:rPr>
                <w:sz w:val="16"/>
                <w:szCs w:val="16"/>
              </w:rPr>
            </w:pPr>
            <w:r w:rsidRPr="00791B5D">
              <w:rPr>
                <w:sz w:val="16"/>
                <w:szCs w:val="16"/>
              </w:rPr>
              <w:t>0.000</w:t>
            </w:r>
          </w:p>
        </w:tc>
      </w:tr>
      <w:tr w:rsidR="00791B5D" w:rsidRPr="00816CC7" w14:paraId="332AC186" w14:textId="77777777" w:rsidTr="00F865B1">
        <w:trPr>
          <w:trHeight w:val="300"/>
        </w:trPr>
        <w:tc>
          <w:tcPr>
            <w:tcW w:w="1615" w:type="dxa"/>
            <w:hideMark/>
          </w:tcPr>
          <w:p w14:paraId="692DED50" w14:textId="508C6811" w:rsidR="00791B5D" w:rsidRPr="00791B5D" w:rsidRDefault="00791B5D" w:rsidP="00791B5D">
            <w:pPr>
              <w:jc w:val="both"/>
              <w:rPr>
                <w:b/>
                <w:bCs/>
                <w:sz w:val="16"/>
                <w:szCs w:val="16"/>
              </w:rPr>
            </w:pPr>
            <w:proofErr w:type="gramStart"/>
            <w:r w:rsidRPr="00791B5D">
              <w:rPr>
                <w:b/>
                <w:bCs/>
                <w:sz w:val="16"/>
                <w:szCs w:val="16"/>
              </w:rPr>
              <w:t>ma.L</w:t>
            </w:r>
            <w:proofErr w:type="gramEnd"/>
            <w:r w:rsidRPr="00791B5D">
              <w:rPr>
                <w:b/>
                <w:bCs/>
                <w:sz w:val="16"/>
                <w:szCs w:val="16"/>
              </w:rPr>
              <w:t>2</w:t>
            </w:r>
          </w:p>
        </w:tc>
        <w:tc>
          <w:tcPr>
            <w:tcW w:w="990" w:type="dxa"/>
            <w:hideMark/>
          </w:tcPr>
          <w:p w14:paraId="21F5F6A6" w14:textId="358129E5" w:rsidR="00791B5D" w:rsidRPr="00791B5D" w:rsidRDefault="00791B5D" w:rsidP="00791B5D">
            <w:pPr>
              <w:jc w:val="both"/>
              <w:rPr>
                <w:sz w:val="16"/>
                <w:szCs w:val="16"/>
              </w:rPr>
            </w:pPr>
            <w:r w:rsidRPr="00791B5D">
              <w:rPr>
                <w:sz w:val="16"/>
                <w:szCs w:val="16"/>
              </w:rPr>
              <w:t>-0.2092</w:t>
            </w:r>
          </w:p>
        </w:tc>
        <w:tc>
          <w:tcPr>
            <w:tcW w:w="900" w:type="dxa"/>
            <w:hideMark/>
          </w:tcPr>
          <w:p w14:paraId="74040269" w14:textId="3731083D" w:rsidR="00791B5D" w:rsidRPr="00791B5D" w:rsidRDefault="00791B5D" w:rsidP="00791B5D">
            <w:pPr>
              <w:jc w:val="both"/>
              <w:rPr>
                <w:sz w:val="16"/>
                <w:szCs w:val="16"/>
              </w:rPr>
            </w:pPr>
            <w:r w:rsidRPr="00791B5D">
              <w:rPr>
                <w:sz w:val="16"/>
                <w:szCs w:val="16"/>
              </w:rPr>
              <w:t>0.031</w:t>
            </w:r>
          </w:p>
        </w:tc>
        <w:tc>
          <w:tcPr>
            <w:tcW w:w="810" w:type="dxa"/>
            <w:hideMark/>
          </w:tcPr>
          <w:p w14:paraId="58DD7A9E" w14:textId="6F15E207" w:rsidR="00791B5D" w:rsidRPr="00791B5D" w:rsidRDefault="00791B5D" w:rsidP="00791B5D">
            <w:pPr>
              <w:jc w:val="both"/>
              <w:rPr>
                <w:sz w:val="16"/>
                <w:szCs w:val="16"/>
              </w:rPr>
            </w:pPr>
            <w:r w:rsidRPr="00791B5D">
              <w:rPr>
                <w:sz w:val="16"/>
                <w:szCs w:val="16"/>
              </w:rPr>
              <w:t>-6.799</w:t>
            </w:r>
          </w:p>
        </w:tc>
        <w:tc>
          <w:tcPr>
            <w:tcW w:w="630" w:type="dxa"/>
            <w:hideMark/>
          </w:tcPr>
          <w:p w14:paraId="43B5DEA2" w14:textId="358D0687" w:rsidR="00791B5D" w:rsidRPr="00791B5D" w:rsidRDefault="00791B5D" w:rsidP="00791B5D">
            <w:pPr>
              <w:jc w:val="both"/>
              <w:rPr>
                <w:sz w:val="16"/>
                <w:szCs w:val="16"/>
              </w:rPr>
            </w:pPr>
            <w:r w:rsidRPr="00791B5D">
              <w:rPr>
                <w:sz w:val="16"/>
                <w:szCs w:val="16"/>
              </w:rPr>
              <w:t>0.000</w:t>
            </w:r>
          </w:p>
        </w:tc>
      </w:tr>
      <w:tr w:rsidR="00791B5D" w:rsidRPr="00816CC7" w14:paraId="05D3349E" w14:textId="77777777" w:rsidTr="00F865B1">
        <w:trPr>
          <w:trHeight w:val="300"/>
        </w:trPr>
        <w:tc>
          <w:tcPr>
            <w:tcW w:w="1615" w:type="dxa"/>
          </w:tcPr>
          <w:p w14:paraId="0A4EEEE6" w14:textId="7E4036BD" w:rsidR="00791B5D" w:rsidRPr="00791B5D" w:rsidRDefault="00791B5D" w:rsidP="00791B5D">
            <w:pPr>
              <w:jc w:val="both"/>
              <w:rPr>
                <w:b/>
                <w:bCs/>
                <w:sz w:val="16"/>
                <w:szCs w:val="16"/>
              </w:rPr>
            </w:pPr>
            <w:r w:rsidRPr="00791B5D">
              <w:rPr>
                <w:b/>
                <w:bCs/>
                <w:sz w:val="16"/>
                <w:szCs w:val="16"/>
              </w:rPr>
              <w:t>sigma2</w:t>
            </w:r>
          </w:p>
        </w:tc>
        <w:tc>
          <w:tcPr>
            <w:tcW w:w="990" w:type="dxa"/>
          </w:tcPr>
          <w:p w14:paraId="112FB065" w14:textId="0080FEBA" w:rsidR="00791B5D" w:rsidRPr="00791B5D" w:rsidRDefault="00791B5D" w:rsidP="00791B5D">
            <w:pPr>
              <w:jc w:val="both"/>
              <w:rPr>
                <w:sz w:val="16"/>
                <w:szCs w:val="16"/>
              </w:rPr>
            </w:pPr>
            <w:r w:rsidRPr="00791B5D">
              <w:rPr>
                <w:sz w:val="16"/>
                <w:szCs w:val="16"/>
              </w:rPr>
              <w:t>150.5871</w:t>
            </w:r>
          </w:p>
        </w:tc>
        <w:tc>
          <w:tcPr>
            <w:tcW w:w="900" w:type="dxa"/>
          </w:tcPr>
          <w:p w14:paraId="6D8EC710" w14:textId="6FB8E807" w:rsidR="00791B5D" w:rsidRPr="00791B5D" w:rsidRDefault="00791B5D" w:rsidP="00791B5D">
            <w:pPr>
              <w:jc w:val="both"/>
              <w:rPr>
                <w:sz w:val="16"/>
                <w:szCs w:val="16"/>
              </w:rPr>
            </w:pPr>
            <w:r w:rsidRPr="00791B5D">
              <w:rPr>
                <w:sz w:val="16"/>
                <w:szCs w:val="16"/>
              </w:rPr>
              <w:t>5.048</w:t>
            </w:r>
          </w:p>
        </w:tc>
        <w:tc>
          <w:tcPr>
            <w:tcW w:w="810" w:type="dxa"/>
          </w:tcPr>
          <w:p w14:paraId="1977AFBE" w14:textId="23AA592B" w:rsidR="00791B5D" w:rsidRPr="00791B5D" w:rsidRDefault="00791B5D" w:rsidP="00791B5D">
            <w:pPr>
              <w:jc w:val="both"/>
              <w:rPr>
                <w:sz w:val="16"/>
                <w:szCs w:val="16"/>
              </w:rPr>
            </w:pPr>
            <w:r w:rsidRPr="00791B5D">
              <w:rPr>
                <w:sz w:val="16"/>
                <w:szCs w:val="16"/>
              </w:rPr>
              <w:t>29.828</w:t>
            </w:r>
          </w:p>
        </w:tc>
        <w:tc>
          <w:tcPr>
            <w:tcW w:w="630" w:type="dxa"/>
          </w:tcPr>
          <w:p w14:paraId="1F9DDA7A" w14:textId="592B98F7" w:rsidR="00791B5D" w:rsidRPr="00791B5D" w:rsidRDefault="00791B5D" w:rsidP="00791B5D">
            <w:pPr>
              <w:jc w:val="both"/>
              <w:rPr>
                <w:sz w:val="16"/>
                <w:szCs w:val="16"/>
              </w:rPr>
            </w:pPr>
            <w:r w:rsidRPr="00791B5D">
              <w:rPr>
                <w:sz w:val="16"/>
                <w:szCs w:val="16"/>
              </w:rPr>
              <w:t>0.000</w:t>
            </w:r>
          </w:p>
        </w:tc>
      </w:tr>
      <w:tr w:rsidR="00791B5D" w:rsidRPr="00816CC7" w14:paraId="2BAEC219" w14:textId="77777777" w:rsidTr="00F865B1">
        <w:trPr>
          <w:trHeight w:val="300"/>
        </w:trPr>
        <w:tc>
          <w:tcPr>
            <w:tcW w:w="4945" w:type="dxa"/>
            <w:gridSpan w:val="5"/>
          </w:tcPr>
          <w:p w14:paraId="12965104" w14:textId="77777777" w:rsidR="00791B5D" w:rsidRPr="00300E25" w:rsidRDefault="00791B5D" w:rsidP="00F865B1">
            <w:pPr>
              <w:jc w:val="both"/>
              <w:rPr>
                <w:b/>
                <w:bCs/>
                <w:sz w:val="16"/>
                <w:szCs w:val="16"/>
              </w:rPr>
            </w:pPr>
          </w:p>
        </w:tc>
      </w:tr>
      <w:tr w:rsidR="00791B5D" w:rsidRPr="00816CC7" w14:paraId="0080F35B" w14:textId="77777777" w:rsidTr="00F865B1">
        <w:trPr>
          <w:trHeight w:val="300"/>
        </w:trPr>
        <w:tc>
          <w:tcPr>
            <w:tcW w:w="1615" w:type="dxa"/>
          </w:tcPr>
          <w:p w14:paraId="6A590309" w14:textId="6A14DF74" w:rsidR="00791B5D" w:rsidRPr="00791B5D" w:rsidRDefault="00791B5D" w:rsidP="00791B5D">
            <w:pPr>
              <w:jc w:val="both"/>
              <w:rPr>
                <w:b/>
                <w:bCs/>
                <w:sz w:val="16"/>
                <w:szCs w:val="16"/>
              </w:rPr>
            </w:pPr>
            <w:proofErr w:type="spellStart"/>
            <w:r w:rsidRPr="00791B5D">
              <w:rPr>
                <w:b/>
                <w:bCs/>
                <w:sz w:val="16"/>
                <w:szCs w:val="16"/>
              </w:rPr>
              <w:t>Ljung</w:t>
            </w:r>
            <w:proofErr w:type="spellEnd"/>
            <w:r w:rsidRPr="00791B5D">
              <w:rPr>
                <w:b/>
                <w:bCs/>
                <w:sz w:val="16"/>
                <w:szCs w:val="16"/>
              </w:rPr>
              <w:t xml:space="preserve">-Box (L1) (Q): </w:t>
            </w:r>
          </w:p>
        </w:tc>
        <w:tc>
          <w:tcPr>
            <w:tcW w:w="3330" w:type="dxa"/>
            <w:gridSpan w:val="4"/>
          </w:tcPr>
          <w:p w14:paraId="73D654D2" w14:textId="0A7980DF" w:rsidR="00791B5D" w:rsidRPr="00791B5D" w:rsidRDefault="00791B5D" w:rsidP="00791B5D">
            <w:pPr>
              <w:jc w:val="both"/>
              <w:rPr>
                <w:sz w:val="16"/>
                <w:szCs w:val="16"/>
              </w:rPr>
            </w:pPr>
            <w:r w:rsidRPr="00791B5D">
              <w:rPr>
                <w:sz w:val="16"/>
                <w:szCs w:val="16"/>
              </w:rPr>
              <w:t xml:space="preserve">0.02 </w:t>
            </w:r>
          </w:p>
        </w:tc>
      </w:tr>
      <w:tr w:rsidR="00791B5D" w:rsidRPr="00816CC7" w14:paraId="7DB6D6C0" w14:textId="77777777" w:rsidTr="00F865B1">
        <w:trPr>
          <w:trHeight w:val="300"/>
        </w:trPr>
        <w:tc>
          <w:tcPr>
            <w:tcW w:w="1615" w:type="dxa"/>
            <w:noWrap/>
            <w:hideMark/>
          </w:tcPr>
          <w:p w14:paraId="6E048F4C" w14:textId="3F1A8004" w:rsidR="00791B5D" w:rsidRPr="00791B5D" w:rsidRDefault="00791B5D" w:rsidP="00791B5D">
            <w:pPr>
              <w:jc w:val="both"/>
              <w:rPr>
                <w:b/>
                <w:bCs/>
                <w:sz w:val="16"/>
                <w:szCs w:val="16"/>
              </w:rPr>
            </w:pPr>
            <w:r w:rsidRPr="00791B5D">
              <w:rPr>
                <w:b/>
                <w:bCs/>
                <w:sz w:val="16"/>
                <w:szCs w:val="16"/>
              </w:rPr>
              <w:t xml:space="preserve">Prob(Q): </w:t>
            </w:r>
          </w:p>
        </w:tc>
        <w:tc>
          <w:tcPr>
            <w:tcW w:w="3330" w:type="dxa"/>
            <w:gridSpan w:val="4"/>
          </w:tcPr>
          <w:p w14:paraId="3FFA3B04" w14:textId="08D46783" w:rsidR="00791B5D" w:rsidRPr="00791B5D" w:rsidRDefault="00791B5D" w:rsidP="00791B5D">
            <w:pPr>
              <w:jc w:val="both"/>
              <w:rPr>
                <w:sz w:val="16"/>
                <w:szCs w:val="16"/>
              </w:rPr>
            </w:pPr>
            <w:r w:rsidRPr="00791B5D">
              <w:rPr>
                <w:sz w:val="16"/>
                <w:szCs w:val="16"/>
              </w:rPr>
              <w:t xml:space="preserve">0.88 </w:t>
            </w:r>
          </w:p>
        </w:tc>
      </w:tr>
    </w:tbl>
    <w:p w14:paraId="6A597CD5" w14:textId="6955E1A7" w:rsidR="00791B5D" w:rsidRDefault="00791B5D" w:rsidP="00791B5D">
      <w:pPr>
        <w:jc w:val="both"/>
      </w:pPr>
    </w:p>
    <w:p w14:paraId="1EBEA1A1" w14:textId="124B6ECA" w:rsidR="00CC4C44" w:rsidRDefault="00CC4C44" w:rsidP="00CC4C44">
      <w:pPr>
        <w:pStyle w:val="BodyText"/>
      </w:pPr>
      <w:r>
        <w:t>T</w:t>
      </w:r>
      <w:r w:rsidRPr="009E1A7D">
        <w:t xml:space="preserve">he </w:t>
      </w:r>
      <w:proofErr w:type="spellStart"/>
      <w:r w:rsidRPr="009E1A7D">
        <w:t>Ljung</w:t>
      </w:r>
      <w:proofErr w:type="spellEnd"/>
      <w:r w:rsidRPr="009E1A7D">
        <w:t xml:space="preserve">-Box test accepts the null hypothesis indicating good fit. </w:t>
      </w:r>
      <w:r>
        <w:rPr>
          <w:lang w:val="en-US"/>
        </w:rPr>
        <w:t xml:space="preserve">The MA terms in the model are statistically significant. </w:t>
      </w:r>
      <w:r w:rsidRPr="00A24463">
        <w:t>The residual diagnostics reveals a mean nearing zero, a normal distribution, and non</w:t>
      </w:r>
      <w:r>
        <w:rPr>
          <w:lang w:val="en-US"/>
        </w:rPr>
        <w:t>-</w:t>
      </w:r>
      <w:r w:rsidRPr="00A24463">
        <w:t>significant autocorrelations. By all indications in the study, ARIMA(</w:t>
      </w:r>
      <w:r>
        <w:rPr>
          <w:lang w:val="en-US"/>
        </w:rPr>
        <w:t>0</w:t>
      </w:r>
      <w:r w:rsidRPr="00A24463">
        <w:t>,</w:t>
      </w:r>
      <w:r>
        <w:rPr>
          <w:lang w:val="en-US"/>
        </w:rPr>
        <w:t>1</w:t>
      </w:r>
      <w:r w:rsidRPr="00A24463">
        <w:t>,</w:t>
      </w:r>
      <w:r>
        <w:rPr>
          <w:lang w:val="en-US"/>
        </w:rPr>
        <w:t>2</w:t>
      </w:r>
      <w:r w:rsidRPr="00A24463">
        <w:t>) is a good fit for the time series.</w:t>
      </w:r>
    </w:p>
    <w:p w14:paraId="6E6F1E2E" w14:textId="52F67BF1" w:rsidR="00232158" w:rsidRDefault="00232158" w:rsidP="00232158">
      <w:pPr>
        <w:pStyle w:val="Heading2"/>
        <w:numPr>
          <w:ilvl w:val="0"/>
          <w:numId w:val="0"/>
        </w:numPr>
      </w:pPr>
      <w:r>
        <w:t>Local Round Scad</w:t>
      </w:r>
      <w:r>
        <w:t xml:space="preserve"> Forecast Fitting and Evaluation</w:t>
      </w:r>
    </w:p>
    <w:p w14:paraId="3A7283D8" w14:textId="6B194480" w:rsidR="00242261" w:rsidRDefault="00242261" w:rsidP="00242261">
      <w:pPr>
        <w:pStyle w:val="BodyText"/>
      </w:pPr>
      <w:r>
        <w:t>After determining that the ARIMA(0,1,</w:t>
      </w:r>
      <w:r>
        <w:rPr>
          <w:lang w:val="en-US"/>
        </w:rPr>
        <w:t>2</w:t>
      </w:r>
      <w:r>
        <w:t xml:space="preserve">) is a good fit for the time series, the researcher fitted the model and forecasted the prices until January 24, 2022. Figure </w:t>
      </w:r>
      <w:r>
        <w:rPr>
          <w:lang w:val="en-US"/>
        </w:rPr>
        <w:t>12</w:t>
      </w:r>
      <w:r>
        <w:t xml:space="preserve"> shows a visualization of the forecasting.</w:t>
      </w:r>
    </w:p>
    <w:p w14:paraId="2B1DF4B2" w14:textId="78FB85E3" w:rsidR="004441A3" w:rsidRDefault="004441A3" w:rsidP="004441A3">
      <w:pPr>
        <w:pStyle w:val="Heading1"/>
      </w:pPr>
      <w:r>
        <w:t>Conclusions</w:t>
      </w:r>
    </w:p>
    <w:p w14:paraId="67552BDF" w14:textId="0767A1E2" w:rsidR="002E579C" w:rsidRPr="00171896" w:rsidRDefault="00FA07FC" w:rsidP="007D4A97">
      <w:pPr>
        <w:pStyle w:val="BodyText"/>
        <w:rPr>
          <w:lang w:val="en-US"/>
        </w:rPr>
      </w:pPr>
      <w:r>
        <w:rPr>
          <w:lang w:val="en-US"/>
        </w:rPr>
        <w:t>Adopting the ARIMA model in analyzing the impact of the pandemic lockdowns proved to be effective in the case of fish commodity prices.</w:t>
      </w:r>
      <w:r w:rsidR="0036264C">
        <w:rPr>
          <w:lang w:val="en-US"/>
        </w:rPr>
        <w:t xml:space="preserve"> The study concludes that there are impacts on the fish prices in specific months of the pandemic and the entirety of the pandemic in the case</w:t>
      </w:r>
      <w:r>
        <w:rPr>
          <w:lang w:val="en-US"/>
        </w:rPr>
        <w:t xml:space="preserve"> </w:t>
      </w:r>
      <w:r w:rsidR="0036264C">
        <w:rPr>
          <w:lang w:val="en-US"/>
        </w:rPr>
        <w:t xml:space="preserve">of the Local Round </w:t>
      </w:r>
      <w:proofErr w:type="spellStart"/>
      <w:r w:rsidR="0036264C">
        <w:rPr>
          <w:lang w:val="en-US"/>
        </w:rPr>
        <w:t>Scad</w:t>
      </w:r>
      <w:proofErr w:type="spellEnd"/>
      <w:r w:rsidR="0036264C">
        <w:rPr>
          <w:lang w:val="en-US"/>
        </w:rPr>
        <w:t xml:space="preserve">. </w:t>
      </w:r>
      <w:r w:rsidR="0036686F">
        <w:rPr>
          <w:lang w:val="en-US"/>
        </w:rPr>
        <w:t xml:space="preserve">Each developed model </w:t>
      </w:r>
      <w:r w:rsidR="004526B0">
        <w:rPr>
          <w:lang w:val="en-US"/>
        </w:rPr>
        <w:t>was</w:t>
      </w:r>
      <w:r w:rsidR="0036686F">
        <w:rPr>
          <w:lang w:val="en-US"/>
        </w:rPr>
        <w:t xml:space="preserve"> also effective in </w:t>
      </w:r>
      <w:r w:rsidR="006F03A1">
        <w:rPr>
          <w:lang w:val="en-US"/>
        </w:rPr>
        <w:t>fore</w:t>
      </w:r>
      <w:r w:rsidR="00970E8A">
        <w:rPr>
          <w:lang w:val="en-US"/>
        </w:rPr>
        <w:t>casting the fish prices given the amount a moderate amount of data points</w:t>
      </w:r>
      <w:r w:rsidR="004526B0">
        <w:rPr>
          <w:lang w:val="en-US"/>
        </w:rPr>
        <w:t xml:space="preserve">. </w:t>
      </w:r>
      <w:r w:rsidR="00B00729">
        <w:rPr>
          <w:lang w:val="en-US"/>
        </w:rPr>
        <w:t xml:space="preserve">Using the RMSE as the main evaluation criteria of accuracy for the both the forecasting and ITS analysis, the </w:t>
      </w:r>
      <w:r w:rsidR="00B00729">
        <w:rPr>
          <w:lang w:val="en-US"/>
        </w:rPr>
        <w:lastRenderedPageBreak/>
        <w:t>error is minimal and helps reinforce the validity of the model.</w:t>
      </w:r>
      <w:r w:rsidR="003C5EEE">
        <w:rPr>
          <w:lang w:val="en-US"/>
        </w:rPr>
        <w:t xml:space="preserve"> Overall, </w:t>
      </w:r>
      <w:r w:rsidR="00731B5B">
        <w:rPr>
          <w:lang w:val="en-US"/>
        </w:rPr>
        <w:t>t</w:t>
      </w:r>
      <w:r w:rsidR="003C5EEE">
        <w:rPr>
          <w:lang w:val="en-US"/>
        </w:rPr>
        <w:t xml:space="preserve">he findings imply that from October 1, 2019 to August 31, 2021, </w:t>
      </w:r>
      <w:r w:rsidR="004C6A33">
        <w:rPr>
          <w:lang w:val="en-US"/>
        </w:rPr>
        <w:t>the lockdowns have</w:t>
      </w:r>
      <w:r w:rsidR="003C5EEE">
        <w:rPr>
          <w:lang w:val="en-US"/>
        </w:rPr>
        <w:t xml:space="preserve"> a statistically significant effect on the prices per kilogram of </w:t>
      </w:r>
      <w:proofErr w:type="spellStart"/>
      <w:r w:rsidR="003C5EEE">
        <w:rPr>
          <w:lang w:val="en-US"/>
        </w:rPr>
        <w:t>Bangus</w:t>
      </w:r>
      <w:proofErr w:type="spellEnd"/>
      <w:r w:rsidR="003C5EEE">
        <w:rPr>
          <w:lang w:val="en-US"/>
        </w:rPr>
        <w:t xml:space="preserve">, Tilapia, and Round </w:t>
      </w:r>
      <w:proofErr w:type="spellStart"/>
      <w:r w:rsidR="003C5EEE">
        <w:rPr>
          <w:lang w:val="en-US"/>
        </w:rPr>
        <w:t>Scad</w:t>
      </w:r>
      <w:proofErr w:type="spellEnd"/>
      <w:r w:rsidR="003C5EEE">
        <w:rPr>
          <w:lang w:val="en-US"/>
        </w:rPr>
        <w:t xml:space="preserve"> in Metro Manila.</w:t>
      </w:r>
    </w:p>
    <w:p w14:paraId="0669EB75" w14:textId="227C9D9F" w:rsidR="00254457" w:rsidRDefault="00254457" w:rsidP="00254457">
      <w:pPr>
        <w:pStyle w:val="Heading5"/>
      </w:pPr>
      <w:r>
        <w:t>Refrences</w:t>
      </w:r>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506"/>
      </w:tblGrid>
      <w:tr w:rsidR="00254457" w:rsidRPr="00254457" w14:paraId="3C7F71D4" w14:textId="77777777" w:rsidTr="00254457">
        <w:trPr>
          <w:divId w:val="1683817992"/>
          <w:tblCellSpacing w:w="15" w:type="dxa"/>
        </w:trPr>
        <w:tc>
          <w:tcPr>
            <w:tcW w:w="324" w:type="pct"/>
            <w:hideMark/>
          </w:tcPr>
          <w:p w14:paraId="6057F7DF" w14:textId="3F24EB76" w:rsidR="00254457" w:rsidRPr="00254457" w:rsidRDefault="00254457">
            <w:pPr>
              <w:pStyle w:val="Bibliography"/>
              <w:rPr>
                <w:noProof/>
                <w:sz w:val="16"/>
                <w:szCs w:val="16"/>
              </w:rPr>
            </w:pPr>
            <w:r w:rsidRPr="00254457">
              <w:rPr>
                <w:noProof/>
                <w:sz w:val="16"/>
                <w:szCs w:val="16"/>
              </w:rPr>
              <w:t xml:space="preserve">[1] </w:t>
            </w:r>
          </w:p>
        </w:tc>
        <w:tc>
          <w:tcPr>
            <w:tcW w:w="4584" w:type="pct"/>
            <w:hideMark/>
          </w:tcPr>
          <w:p w14:paraId="29CD1A87" w14:textId="77777777" w:rsidR="00254457" w:rsidRPr="00254457" w:rsidRDefault="00254457" w:rsidP="00254457">
            <w:pPr>
              <w:pStyle w:val="Bibliography"/>
              <w:jc w:val="both"/>
              <w:rPr>
                <w:noProof/>
                <w:sz w:val="16"/>
                <w:szCs w:val="16"/>
              </w:rPr>
            </w:pPr>
            <w:r w:rsidRPr="00254457">
              <w:rPr>
                <w:noProof/>
                <w:sz w:val="16"/>
                <w:szCs w:val="16"/>
              </w:rPr>
              <w:t>WHO Headquarters (HQ), "Report of the WHO-China Joint Mission on Coronavirus Disease 2019 (COVID-19)," World Health Organization, Geneva, 2020.</w:t>
            </w:r>
          </w:p>
        </w:tc>
      </w:tr>
      <w:tr w:rsidR="00254457" w:rsidRPr="00254457" w14:paraId="4B8D650A" w14:textId="77777777" w:rsidTr="00254457">
        <w:trPr>
          <w:divId w:val="1683817992"/>
          <w:tblCellSpacing w:w="15" w:type="dxa"/>
        </w:trPr>
        <w:tc>
          <w:tcPr>
            <w:tcW w:w="324" w:type="pct"/>
            <w:hideMark/>
          </w:tcPr>
          <w:p w14:paraId="003EA21E" w14:textId="77777777" w:rsidR="00254457" w:rsidRPr="00254457" w:rsidRDefault="00254457">
            <w:pPr>
              <w:pStyle w:val="Bibliography"/>
              <w:rPr>
                <w:noProof/>
                <w:sz w:val="16"/>
                <w:szCs w:val="16"/>
              </w:rPr>
            </w:pPr>
            <w:r w:rsidRPr="00254457">
              <w:rPr>
                <w:noProof/>
                <w:sz w:val="16"/>
                <w:szCs w:val="16"/>
              </w:rPr>
              <w:t xml:space="preserve">[2] </w:t>
            </w:r>
          </w:p>
        </w:tc>
        <w:tc>
          <w:tcPr>
            <w:tcW w:w="4584" w:type="pct"/>
            <w:hideMark/>
          </w:tcPr>
          <w:p w14:paraId="7DDE130A" w14:textId="77777777" w:rsidR="00254457" w:rsidRPr="00254457" w:rsidRDefault="00254457" w:rsidP="00254457">
            <w:pPr>
              <w:pStyle w:val="Bibliography"/>
              <w:jc w:val="both"/>
              <w:rPr>
                <w:noProof/>
                <w:sz w:val="16"/>
                <w:szCs w:val="16"/>
              </w:rPr>
            </w:pPr>
            <w:r w:rsidRPr="00254457">
              <w:rPr>
                <w:noProof/>
                <w:sz w:val="16"/>
                <w:szCs w:val="16"/>
              </w:rPr>
              <w:t>Department of Health , "COVID-19 CASE TRACKER," Department of Health, Manila, 2022.</w:t>
            </w:r>
          </w:p>
        </w:tc>
      </w:tr>
      <w:tr w:rsidR="00254457" w:rsidRPr="00254457" w14:paraId="6697BDCF" w14:textId="77777777" w:rsidTr="00254457">
        <w:trPr>
          <w:divId w:val="1683817992"/>
          <w:tblCellSpacing w:w="15" w:type="dxa"/>
        </w:trPr>
        <w:tc>
          <w:tcPr>
            <w:tcW w:w="324" w:type="pct"/>
            <w:hideMark/>
          </w:tcPr>
          <w:p w14:paraId="0A6A02FC" w14:textId="77777777" w:rsidR="00254457" w:rsidRPr="00254457" w:rsidRDefault="00254457">
            <w:pPr>
              <w:pStyle w:val="Bibliography"/>
              <w:rPr>
                <w:noProof/>
                <w:sz w:val="16"/>
                <w:szCs w:val="16"/>
              </w:rPr>
            </w:pPr>
            <w:r w:rsidRPr="00254457">
              <w:rPr>
                <w:noProof/>
                <w:sz w:val="16"/>
                <w:szCs w:val="16"/>
              </w:rPr>
              <w:t xml:space="preserve">[3] </w:t>
            </w:r>
          </w:p>
        </w:tc>
        <w:tc>
          <w:tcPr>
            <w:tcW w:w="4584" w:type="pct"/>
            <w:hideMark/>
          </w:tcPr>
          <w:p w14:paraId="20012290" w14:textId="77777777" w:rsidR="00254457" w:rsidRPr="00254457" w:rsidRDefault="00254457" w:rsidP="00254457">
            <w:pPr>
              <w:pStyle w:val="Bibliography"/>
              <w:jc w:val="both"/>
              <w:rPr>
                <w:noProof/>
                <w:sz w:val="16"/>
                <w:szCs w:val="16"/>
              </w:rPr>
            </w:pPr>
            <w:r w:rsidRPr="00254457">
              <w:rPr>
                <w:noProof/>
                <w:sz w:val="16"/>
                <w:szCs w:val="16"/>
              </w:rPr>
              <w:t>FutureLearn, "The Philippines Economy and the Impact of COVID-19," 18 August 2021. [Online]. Available: https://www.futurelearn.com/info/futurelearn-international/philippines-economy-covid-19. [Accessed 5 February 2022].</w:t>
            </w:r>
          </w:p>
        </w:tc>
      </w:tr>
      <w:tr w:rsidR="00254457" w:rsidRPr="00254457" w14:paraId="70846061" w14:textId="77777777" w:rsidTr="00254457">
        <w:trPr>
          <w:divId w:val="1683817992"/>
          <w:tblCellSpacing w:w="15" w:type="dxa"/>
        </w:trPr>
        <w:tc>
          <w:tcPr>
            <w:tcW w:w="324" w:type="pct"/>
            <w:hideMark/>
          </w:tcPr>
          <w:p w14:paraId="6659A3AF" w14:textId="77777777" w:rsidR="00254457" w:rsidRPr="00254457" w:rsidRDefault="00254457">
            <w:pPr>
              <w:pStyle w:val="Bibliography"/>
              <w:rPr>
                <w:noProof/>
                <w:sz w:val="16"/>
                <w:szCs w:val="16"/>
              </w:rPr>
            </w:pPr>
            <w:r w:rsidRPr="00254457">
              <w:rPr>
                <w:noProof/>
                <w:sz w:val="16"/>
                <w:szCs w:val="16"/>
              </w:rPr>
              <w:t xml:space="preserve">[4] </w:t>
            </w:r>
          </w:p>
        </w:tc>
        <w:tc>
          <w:tcPr>
            <w:tcW w:w="4584" w:type="pct"/>
            <w:hideMark/>
          </w:tcPr>
          <w:p w14:paraId="17E96996" w14:textId="77777777" w:rsidR="00254457" w:rsidRPr="00254457" w:rsidRDefault="00254457" w:rsidP="00254457">
            <w:pPr>
              <w:pStyle w:val="Bibliography"/>
              <w:jc w:val="both"/>
              <w:rPr>
                <w:noProof/>
                <w:sz w:val="16"/>
                <w:szCs w:val="16"/>
              </w:rPr>
            </w:pPr>
            <w:r w:rsidRPr="00254457">
              <w:rPr>
                <w:noProof/>
                <w:sz w:val="16"/>
                <w:szCs w:val="16"/>
              </w:rPr>
              <w:t>Food and Agriculture Organization of the United Nations, "Q&amp;A: COVID-19 pandemic – impact on food and agriculture," 2022. [Online]. Available: https://www.fao.org/2019-ncov/q-and-a/impact-on-food-and-agriculture/en/. [Accessed 5 February 2022].</w:t>
            </w:r>
          </w:p>
        </w:tc>
      </w:tr>
      <w:tr w:rsidR="00254457" w:rsidRPr="00254457" w14:paraId="3A5B8E9C" w14:textId="77777777" w:rsidTr="00254457">
        <w:trPr>
          <w:divId w:val="1683817992"/>
          <w:tblCellSpacing w:w="15" w:type="dxa"/>
        </w:trPr>
        <w:tc>
          <w:tcPr>
            <w:tcW w:w="324" w:type="pct"/>
            <w:hideMark/>
          </w:tcPr>
          <w:p w14:paraId="21724E9E" w14:textId="77777777" w:rsidR="00254457" w:rsidRPr="00254457" w:rsidRDefault="00254457">
            <w:pPr>
              <w:pStyle w:val="Bibliography"/>
              <w:rPr>
                <w:noProof/>
                <w:sz w:val="16"/>
                <w:szCs w:val="16"/>
              </w:rPr>
            </w:pPr>
            <w:r w:rsidRPr="00254457">
              <w:rPr>
                <w:noProof/>
                <w:sz w:val="16"/>
                <w:szCs w:val="16"/>
              </w:rPr>
              <w:t xml:space="preserve">[5] </w:t>
            </w:r>
          </w:p>
        </w:tc>
        <w:tc>
          <w:tcPr>
            <w:tcW w:w="4584" w:type="pct"/>
            <w:hideMark/>
          </w:tcPr>
          <w:p w14:paraId="393ED419" w14:textId="77777777" w:rsidR="00254457" w:rsidRPr="00254457" w:rsidRDefault="00254457" w:rsidP="00254457">
            <w:pPr>
              <w:pStyle w:val="Bibliography"/>
              <w:jc w:val="both"/>
              <w:rPr>
                <w:noProof/>
                <w:sz w:val="16"/>
                <w:szCs w:val="16"/>
              </w:rPr>
            </w:pPr>
            <w:r w:rsidRPr="00254457">
              <w:rPr>
                <w:noProof/>
                <w:sz w:val="16"/>
                <w:szCs w:val="16"/>
              </w:rPr>
              <w:t>A. S. M. Palo, M. A. Rosetes and D. P. Cariño, "COVID-19 and food systems in the Indo-Pacific: An assessment of vulnerabilities, impacts and opportunities for action," Australian Center for International Agricultural Research, Bruce ACT, 2020.</w:t>
            </w:r>
          </w:p>
        </w:tc>
      </w:tr>
      <w:tr w:rsidR="00254457" w:rsidRPr="00254457" w14:paraId="7D23D57A" w14:textId="77777777" w:rsidTr="00254457">
        <w:trPr>
          <w:divId w:val="1683817992"/>
          <w:tblCellSpacing w:w="15" w:type="dxa"/>
        </w:trPr>
        <w:tc>
          <w:tcPr>
            <w:tcW w:w="324" w:type="pct"/>
            <w:hideMark/>
          </w:tcPr>
          <w:p w14:paraId="657AD41B" w14:textId="77777777" w:rsidR="00254457" w:rsidRPr="00254457" w:rsidRDefault="00254457">
            <w:pPr>
              <w:pStyle w:val="Bibliography"/>
              <w:rPr>
                <w:noProof/>
                <w:sz w:val="16"/>
                <w:szCs w:val="16"/>
              </w:rPr>
            </w:pPr>
            <w:r w:rsidRPr="00254457">
              <w:rPr>
                <w:noProof/>
                <w:sz w:val="16"/>
                <w:szCs w:val="16"/>
              </w:rPr>
              <w:t xml:space="preserve">[6] </w:t>
            </w:r>
          </w:p>
        </w:tc>
        <w:tc>
          <w:tcPr>
            <w:tcW w:w="4584" w:type="pct"/>
            <w:hideMark/>
          </w:tcPr>
          <w:p w14:paraId="3427FD0E" w14:textId="77777777" w:rsidR="00254457" w:rsidRPr="00254457" w:rsidRDefault="00254457" w:rsidP="00254457">
            <w:pPr>
              <w:pStyle w:val="Bibliography"/>
              <w:jc w:val="both"/>
              <w:rPr>
                <w:noProof/>
                <w:sz w:val="16"/>
                <w:szCs w:val="16"/>
              </w:rPr>
            </w:pPr>
            <w:r w:rsidRPr="00254457">
              <w:rPr>
                <w:noProof/>
                <w:sz w:val="16"/>
                <w:szCs w:val="16"/>
              </w:rPr>
              <w:t>B. Beverly, "The continuing toll of the COVID-19 pandemic on farmers in the Philippines.," 19 May 2021. [Online]. Available: https://grameenfoundation.org/stories/blog/the-continuing-toll-of-the-covid-19-pandemic-on-farmers-in-the-philippines. [Accessed 5 February 2022].</w:t>
            </w:r>
          </w:p>
        </w:tc>
      </w:tr>
      <w:tr w:rsidR="00254457" w:rsidRPr="00254457" w14:paraId="1065BDCB" w14:textId="77777777" w:rsidTr="00254457">
        <w:trPr>
          <w:divId w:val="1683817992"/>
          <w:tblCellSpacing w:w="15" w:type="dxa"/>
        </w:trPr>
        <w:tc>
          <w:tcPr>
            <w:tcW w:w="324" w:type="pct"/>
            <w:hideMark/>
          </w:tcPr>
          <w:p w14:paraId="62C1AFE4" w14:textId="77777777" w:rsidR="00254457" w:rsidRPr="00254457" w:rsidRDefault="00254457">
            <w:pPr>
              <w:pStyle w:val="Bibliography"/>
              <w:rPr>
                <w:noProof/>
                <w:sz w:val="16"/>
                <w:szCs w:val="16"/>
              </w:rPr>
            </w:pPr>
            <w:r w:rsidRPr="00254457">
              <w:rPr>
                <w:noProof/>
                <w:sz w:val="16"/>
                <w:szCs w:val="16"/>
              </w:rPr>
              <w:t xml:space="preserve">[7] </w:t>
            </w:r>
          </w:p>
        </w:tc>
        <w:tc>
          <w:tcPr>
            <w:tcW w:w="4584" w:type="pct"/>
            <w:hideMark/>
          </w:tcPr>
          <w:p w14:paraId="3B85A05C" w14:textId="77777777" w:rsidR="00254457" w:rsidRPr="00254457" w:rsidRDefault="00254457" w:rsidP="00254457">
            <w:pPr>
              <w:pStyle w:val="Bibliography"/>
              <w:jc w:val="both"/>
              <w:rPr>
                <w:noProof/>
                <w:sz w:val="16"/>
                <w:szCs w:val="16"/>
              </w:rPr>
            </w:pPr>
            <w:r w:rsidRPr="00254457">
              <w:rPr>
                <w:noProof/>
                <w:sz w:val="16"/>
                <w:szCs w:val="16"/>
              </w:rPr>
              <w:t>Department of Agriculture - Agriculture and Fisheries Information Division, "DA-ACPC lends initial P246 M under ‘Expanded SURE Aid’ loan program," 17 April 2020. [Online]. Available: https://www.da.gov.ph/da-acpc-lends-initial-p246-m-under-expanded-sure-aid-loan-program/. [Accessed 5 February 2022].</w:t>
            </w:r>
          </w:p>
        </w:tc>
      </w:tr>
      <w:tr w:rsidR="00254457" w:rsidRPr="00254457" w14:paraId="4C2C851B" w14:textId="77777777" w:rsidTr="00254457">
        <w:trPr>
          <w:divId w:val="1683817992"/>
          <w:tblCellSpacing w:w="15" w:type="dxa"/>
        </w:trPr>
        <w:tc>
          <w:tcPr>
            <w:tcW w:w="324" w:type="pct"/>
            <w:hideMark/>
          </w:tcPr>
          <w:p w14:paraId="2A2EDC74" w14:textId="77777777" w:rsidR="00254457" w:rsidRPr="00254457" w:rsidRDefault="00254457">
            <w:pPr>
              <w:pStyle w:val="Bibliography"/>
              <w:rPr>
                <w:noProof/>
                <w:sz w:val="16"/>
                <w:szCs w:val="16"/>
              </w:rPr>
            </w:pPr>
            <w:r w:rsidRPr="00254457">
              <w:rPr>
                <w:noProof/>
                <w:sz w:val="16"/>
                <w:szCs w:val="16"/>
              </w:rPr>
              <w:t xml:space="preserve">[8] </w:t>
            </w:r>
          </w:p>
        </w:tc>
        <w:tc>
          <w:tcPr>
            <w:tcW w:w="4584" w:type="pct"/>
            <w:hideMark/>
          </w:tcPr>
          <w:p w14:paraId="62CC2176" w14:textId="77777777" w:rsidR="00254457" w:rsidRPr="00254457" w:rsidRDefault="00254457" w:rsidP="00254457">
            <w:pPr>
              <w:pStyle w:val="Bibliography"/>
              <w:jc w:val="both"/>
              <w:rPr>
                <w:noProof/>
                <w:sz w:val="16"/>
                <w:szCs w:val="16"/>
              </w:rPr>
            </w:pPr>
            <w:r w:rsidRPr="00254457">
              <w:rPr>
                <w:noProof/>
                <w:sz w:val="16"/>
                <w:szCs w:val="16"/>
              </w:rPr>
              <w:t>Department of Agriculture - Agirbusiness and marketing Services Assistance, "Implementation Guide for Issuance of “Food Pass” Cards," 22 March 2020. [Online]. Available: http://agribusiness.da.gov.ph/2020/03/22/online-applications-for-food-pass-may-be-sent-thru-foodpass-agrigmail-com/. [Accessed 5 February 2022].</w:t>
            </w:r>
          </w:p>
        </w:tc>
      </w:tr>
      <w:tr w:rsidR="00254457" w:rsidRPr="00254457" w14:paraId="314DBE84" w14:textId="77777777" w:rsidTr="00254457">
        <w:trPr>
          <w:divId w:val="1683817992"/>
          <w:tblCellSpacing w:w="15" w:type="dxa"/>
        </w:trPr>
        <w:tc>
          <w:tcPr>
            <w:tcW w:w="324" w:type="pct"/>
            <w:hideMark/>
          </w:tcPr>
          <w:p w14:paraId="62FB4375" w14:textId="77777777" w:rsidR="00254457" w:rsidRPr="00254457" w:rsidRDefault="00254457">
            <w:pPr>
              <w:pStyle w:val="Bibliography"/>
              <w:rPr>
                <w:noProof/>
                <w:sz w:val="16"/>
                <w:szCs w:val="16"/>
              </w:rPr>
            </w:pPr>
            <w:r w:rsidRPr="00254457">
              <w:rPr>
                <w:noProof/>
                <w:sz w:val="16"/>
                <w:szCs w:val="16"/>
              </w:rPr>
              <w:t xml:space="preserve">[9] </w:t>
            </w:r>
          </w:p>
        </w:tc>
        <w:tc>
          <w:tcPr>
            <w:tcW w:w="4584" w:type="pct"/>
            <w:hideMark/>
          </w:tcPr>
          <w:p w14:paraId="5C57D9DC" w14:textId="77777777" w:rsidR="00254457" w:rsidRPr="00254457" w:rsidRDefault="00254457" w:rsidP="00254457">
            <w:pPr>
              <w:pStyle w:val="Bibliography"/>
              <w:jc w:val="both"/>
              <w:rPr>
                <w:noProof/>
                <w:sz w:val="16"/>
                <w:szCs w:val="16"/>
              </w:rPr>
            </w:pPr>
            <w:r w:rsidRPr="00254457">
              <w:rPr>
                <w:noProof/>
                <w:sz w:val="16"/>
                <w:szCs w:val="16"/>
              </w:rPr>
              <w:t>Food and Agriculture Organization of the United Nations, "Rapid assessment of the impact of COVID-19 on food supply chains in the Philippines," FAO, Manila, 2021.</w:t>
            </w:r>
          </w:p>
        </w:tc>
      </w:tr>
      <w:tr w:rsidR="00254457" w:rsidRPr="00254457" w14:paraId="233225B0" w14:textId="77777777" w:rsidTr="00254457">
        <w:trPr>
          <w:divId w:val="1683817992"/>
          <w:tblCellSpacing w:w="15" w:type="dxa"/>
        </w:trPr>
        <w:tc>
          <w:tcPr>
            <w:tcW w:w="324" w:type="pct"/>
            <w:hideMark/>
          </w:tcPr>
          <w:p w14:paraId="0E928F85" w14:textId="77777777" w:rsidR="00254457" w:rsidRPr="00254457" w:rsidRDefault="00254457">
            <w:pPr>
              <w:pStyle w:val="Bibliography"/>
              <w:rPr>
                <w:noProof/>
                <w:sz w:val="16"/>
                <w:szCs w:val="16"/>
              </w:rPr>
            </w:pPr>
            <w:r w:rsidRPr="00254457">
              <w:rPr>
                <w:noProof/>
                <w:sz w:val="16"/>
                <w:szCs w:val="16"/>
              </w:rPr>
              <w:t xml:space="preserve">[10] </w:t>
            </w:r>
          </w:p>
        </w:tc>
        <w:tc>
          <w:tcPr>
            <w:tcW w:w="4584" w:type="pct"/>
            <w:hideMark/>
          </w:tcPr>
          <w:p w14:paraId="27989252" w14:textId="77777777" w:rsidR="00254457" w:rsidRPr="00254457" w:rsidRDefault="00254457" w:rsidP="00254457">
            <w:pPr>
              <w:pStyle w:val="Bibliography"/>
              <w:jc w:val="both"/>
              <w:rPr>
                <w:noProof/>
                <w:sz w:val="16"/>
                <w:szCs w:val="16"/>
              </w:rPr>
            </w:pPr>
            <w:r w:rsidRPr="00254457">
              <w:rPr>
                <w:noProof/>
                <w:sz w:val="16"/>
                <w:szCs w:val="16"/>
              </w:rPr>
              <w:t>E. Bobeica and B. Hartwig, "The COVID-19 shock and challenges for time series models," European Central Bank, Frankfurt, 2021.</w:t>
            </w:r>
          </w:p>
        </w:tc>
      </w:tr>
      <w:tr w:rsidR="00254457" w:rsidRPr="00254457" w14:paraId="03E7B241" w14:textId="77777777" w:rsidTr="00254457">
        <w:trPr>
          <w:divId w:val="1683817992"/>
          <w:tblCellSpacing w:w="15" w:type="dxa"/>
        </w:trPr>
        <w:tc>
          <w:tcPr>
            <w:tcW w:w="324" w:type="pct"/>
            <w:hideMark/>
          </w:tcPr>
          <w:p w14:paraId="55DC98DE" w14:textId="77777777" w:rsidR="00254457" w:rsidRPr="00254457" w:rsidRDefault="00254457">
            <w:pPr>
              <w:pStyle w:val="Bibliography"/>
              <w:rPr>
                <w:noProof/>
                <w:sz w:val="16"/>
                <w:szCs w:val="16"/>
              </w:rPr>
            </w:pPr>
            <w:r w:rsidRPr="00254457">
              <w:rPr>
                <w:noProof/>
                <w:sz w:val="16"/>
                <w:szCs w:val="16"/>
              </w:rPr>
              <w:t xml:space="preserve">[11] </w:t>
            </w:r>
          </w:p>
        </w:tc>
        <w:tc>
          <w:tcPr>
            <w:tcW w:w="4584" w:type="pct"/>
            <w:hideMark/>
          </w:tcPr>
          <w:p w14:paraId="0AE164E1" w14:textId="77777777" w:rsidR="00254457" w:rsidRPr="00254457" w:rsidRDefault="00254457" w:rsidP="00254457">
            <w:pPr>
              <w:pStyle w:val="Bibliography"/>
              <w:jc w:val="both"/>
              <w:rPr>
                <w:noProof/>
                <w:sz w:val="16"/>
                <w:szCs w:val="16"/>
              </w:rPr>
            </w:pPr>
            <w:r w:rsidRPr="00254457">
              <w:rPr>
                <w:noProof/>
                <w:sz w:val="16"/>
                <w:szCs w:val="16"/>
              </w:rPr>
              <w:t xml:space="preserve">T. Daglis, K. N. Konstantakis and P. G. Michaelides, "The impact of Covid-19 on agriculture: evidence from oats and wheat markets," </w:t>
            </w:r>
            <w:r w:rsidRPr="00254457">
              <w:rPr>
                <w:i/>
                <w:iCs/>
                <w:noProof/>
                <w:sz w:val="16"/>
                <w:szCs w:val="16"/>
              </w:rPr>
              <w:t xml:space="preserve">Studies in Agricultural Economics, </w:t>
            </w:r>
            <w:r w:rsidRPr="00254457">
              <w:rPr>
                <w:noProof/>
                <w:sz w:val="16"/>
                <w:szCs w:val="16"/>
              </w:rPr>
              <w:t xml:space="preserve">vol. 122, no. 3, pp. 132-139, 2020. </w:t>
            </w:r>
          </w:p>
        </w:tc>
      </w:tr>
      <w:tr w:rsidR="00254457" w:rsidRPr="00254457" w14:paraId="6AD9BC98" w14:textId="77777777" w:rsidTr="00254457">
        <w:trPr>
          <w:divId w:val="1683817992"/>
          <w:tblCellSpacing w:w="15" w:type="dxa"/>
        </w:trPr>
        <w:tc>
          <w:tcPr>
            <w:tcW w:w="324" w:type="pct"/>
            <w:hideMark/>
          </w:tcPr>
          <w:p w14:paraId="6AAE2906" w14:textId="77777777" w:rsidR="00254457" w:rsidRPr="00254457" w:rsidRDefault="00254457">
            <w:pPr>
              <w:pStyle w:val="Bibliography"/>
              <w:rPr>
                <w:noProof/>
                <w:sz w:val="16"/>
                <w:szCs w:val="16"/>
              </w:rPr>
            </w:pPr>
            <w:r w:rsidRPr="00254457">
              <w:rPr>
                <w:noProof/>
                <w:sz w:val="16"/>
                <w:szCs w:val="16"/>
              </w:rPr>
              <w:t xml:space="preserve">[12] </w:t>
            </w:r>
          </w:p>
        </w:tc>
        <w:tc>
          <w:tcPr>
            <w:tcW w:w="4584" w:type="pct"/>
            <w:hideMark/>
          </w:tcPr>
          <w:p w14:paraId="3668BAF9" w14:textId="77777777" w:rsidR="00254457" w:rsidRPr="00254457" w:rsidRDefault="00254457" w:rsidP="00254457">
            <w:pPr>
              <w:pStyle w:val="Bibliography"/>
              <w:jc w:val="both"/>
              <w:rPr>
                <w:noProof/>
                <w:sz w:val="16"/>
                <w:szCs w:val="16"/>
              </w:rPr>
            </w:pPr>
            <w:r w:rsidRPr="00254457">
              <w:rPr>
                <w:noProof/>
                <w:sz w:val="16"/>
                <w:szCs w:val="16"/>
              </w:rPr>
              <w:t xml:space="preserve">N. T. Hung, "Oil prices and agricultural commodity markets: Evidence from pre and during COVID-19 outbreak," </w:t>
            </w:r>
            <w:r w:rsidRPr="00254457">
              <w:rPr>
                <w:i/>
                <w:iCs/>
                <w:noProof/>
                <w:sz w:val="16"/>
                <w:szCs w:val="16"/>
              </w:rPr>
              <w:t xml:space="preserve">Resources Policy, </w:t>
            </w:r>
            <w:r w:rsidRPr="00254457">
              <w:rPr>
                <w:noProof/>
                <w:sz w:val="16"/>
                <w:szCs w:val="16"/>
              </w:rPr>
              <w:t xml:space="preserve">vol. 73, no. 102236, pp. 1-10, 2021. </w:t>
            </w:r>
          </w:p>
        </w:tc>
      </w:tr>
      <w:tr w:rsidR="00254457" w:rsidRPr="00254457" w14:paraId="576449A3" w14:textId="77777777" w:rsidTr="00254457">
        <w:trPr>
          <w:divId w:val="1683817992"/>
          <w:tblCellSpacing w:w="15" w:type="dxa"/>
        </w:trPr>
        <w:tc>
          <w:tcPr>
            <w:tcW w:w="324" w:type="pct"/>
            <w:hideMark/>
          </w:tcPr>
          <w:p w14:paraId="3E2500C4" w14:textId="77777777" w:rsidR="00254457" w:rsidRPr="00254457" w:rsidRDefault="00254457">
            <w:pPr>
              <w:pStyle w:val="Bibliography"/>
              <w:rPr>
                <w:noProof/>
                <w:sz w:val="16"/>
                <w:szCs w:val="16"/>
              </w:rPr>
            </w:pPr>
            <w:r w:rsidRPr="00254457">
              <w:rPr>
                <w:noProof/>
                <w:sz w:val="16"/>
                <w:szCs w:val="16"/>
              </w:rPr>
              <w:t xml:space="preserve">[13] </w:t>
            </w:r>
          </w:p>
        </w:tc>
        <w:tc>
          <w:tcPr>
            <w:tcW w:w="4584" w:type="pct"/>
            <w:hideMark/>
          </w:tcPr>
          <w:p w14:paraId="2C9B2842" w14:textId="77777777" w:rsidR="00254457" w:rsidRPr="00254457" w:rsidRDefault="00254457" w:rsidP="00254457">
            <w:pPr>
              <w:pStyle w:val="Bibliography"/>
              <w:jc w:val="both"/>
              <w:rPr>
                <w:noProof/>
                <w:sz w:val="16"/>
                <w:szCs w:val="16"/>
              </w:rPr>
            </w:pPr>
            <w:r w:rsidRPr="00254457">
              <w:rPr>
                <w:noProof/>
                <w:sz w:val="16"/>
                <w:szCs w:val="16"/>
              </w:rPr>
              <w:t xml:space="preserve">M. Hamulczuk and M. Skrzypczyk, "COVID-19, spatial market integration and producer prices: A case study of EU agri-food markets," </w:t>
            </w:r>
            <w:r w:rsidRPr="00254457">
              <w:rPr>
                <w:i/>
                <w:iCs/>
                <w:noProof/>
                <w:sz w:val="16"/>
                <w:szCs w:val="16"/>
              </w:rPr>
              <w:t xml:space="preserve">Studies in Agricultural Economics, </w:t>
            </w:r>
            <w:r w:rsidRPr="00254457">
              <w:rPr>
                <w:noProof/>
                <w:sz w:val="16"/>
                <w:szCs w:val="16"/>
              </w:rPr>
              <w:t xml:space="preserve">vol. 123, no. 2, pp. 53-61, 2021. </w:t>
            </w:r>
          </w:p>
        </w:tc>
      </w:tr>
      <w:tr w:rsidR="00254457" w:rsidRPr="00254457" w14:paraId="6124DB06" w14:textId="77777777" w:rsidTr="00254457">
        <w:trPr>
          <w:divId w:val="1683817992"/>
          <w:tblCellSpacing w:w="15" w:type="dxa"/>
        </w:trPr>
        <w:tc>
          <w:tcPr>
            <w:tcW w:w="324" w:type="pct"/>
            <w:hideMark/>
          </w:tcPr>
          <w:p w14:paraId="3D69CE01" w14:textId="77777777" w:rsidR="00254457" w:rsidRPr="00254457" w:rsidRDefault="00254457">
            <w:pPr>
              <w:pStyle w:val="Bibliography"/>
              <w:rPr>
                <w:noProof/>
                <w:sz w:val="16"/>
                <w:szCs w:val="16"/>
              </w:rPr>
            </w:pPr>
            <w:r w:rsidRPr="00254457">
              <w:rPr>
                <w:noProof/>
                <w:sz w:val="16"/>
                <w:szCs w:val="16"/>
              </w:rPr>
              <w:t xml:space="preserve">[14] </w:t>
            </w:r>
          </w:p>
        </w:tc>
        <w:tc>
          <w:tcPr>
            <w:tcW w:w="4584" w:type="pct"/>
            <w:hideMark/>
          </w:tcPr>
          <w:p w14:paraId="1F10C366" w14:textId="77777777" w:rsidR="00254457" w:rsidRPr="00254457" w:rsidRDefault="00254457" w:rsidP="00254457">
            <w:pPr>
              <w:pStyle w:val="Bibliography"/>
              <w:jc w:val="both"/>
              <w:rPr>
                <w:noProof/>
                <w:sz w:val="16"/>
                <w:szCs w:val="16"/>
              </w:rPr>
            </w:pPr>
            <w:r w:rsidRPr="00254457">
              <w:rPr>
                <w:noProof/>
                <w:sz w:val="16"/>
                <w:szCs w:val="16"/>
              </w:rPr>
              <w:t xml:space="preserve">J. Goeb, P. Zone, N. Kham Synt, A. Zu, Y. Tang and B. Minten, "Food prices, processing, and shocks: Evidence from rice and COVID-19," </w:t>
            </w:r>
            <w:r w:rsidRPr="00254457">
              <w:rPr>
                <w:i/>
                <w:iCs/>
                <w:noProof/>
                <w:sz w:val="16"/>
                <w:szCs w:val="16"/>
              </w:rPr>
              <w:t xml:space="preserve">Journal of Agriculture Economics, </w:t>
            </w:r>
            <w:r w:rsidRPr="00254457">
              <w:rPr>
                <w:noProof/>
                <w:sz w:val="16"/>
                <w:szCs w:val="16"/>
              </w:rPr>
              <w:t xml:space="preserve">vol. 0, no. 0, p. 1–18, 2021. </w:t>
            </w:r>
          </w:p>
        </w:tc>
      </w:tr>
      <w:tr w:rsidR="00254457" w:rsidRPr="00254457" w14:paraId="040EF189" w14:textId="77777777" w:rsidTr="00254457">
        <w:trPr>
          <w:divId w:val="1683817992"/>
          <w:tblCellSpacing w:w="15" w:type="dxa"/>
        </w:trPr>
        <w:tc>
          <w:tcPr>
            <w:tcW w:w="324" w:type="pct"/>
            <w:hideMark/>
          </w:tcPr>
          <w:p w14:paraId="5DF34D25" w14:textId="77777777" w:rsidR="00254457" w:rsidRPr="00254457" w:rsidRDefault="00254457">
            <w:pPr>
              <w:pStyle w:val="Bibliography"/>
              <w:rPr>
                <w:noProof/>
                <w:sz w:val="16"/>
                <w:szCs w:val="16"/>
              </w:rPr>
            </w:pPr>
            <w:r w:rsidRPr="00254457">
              <w:rPr>
                <w:noProof/>
                <w:sz w:val="16"/>
                <w:szCs w:val="16"/>
              </w:rPr>
              <w:t xml:space="preserve">[15] </w:t>
            </w:r>
          </w:p>
        </w:tc>
        <w:tc>
          <w:tcPr>
            <w:tcW w:w="4584" w:type="pct"/>
            <w:hideMark/>
          </w:tcPr>
          <w:p w14:paraId="59E367B8" w14:textId="77777777" w:rsidR="00254457" w:rsidRPr="00254457" w:rsidRDefault="00254457" w:rsidP="00254457">
            <w:pPr>
              <w:pStyle w:val="Bibliography"/>
              <w:jc w:val="both"/>
              <w:rPr>
                <w:noProof/>
                <w:sz w:val="16"/>
                <w:szCs w:val="16"/>
              </w:rPr>
            </w:pPr>
            <w:r w:rsidRPr="00254457">
              <w:rPr>
                <w:noProof/>
                <w:sz w:val="16"/>
                <w:szCs w:val="16"/>
              </w:rPr>
              <w:t xml:space="preserve">G. Chitikela, M. Admala, V. Ramalingareddy, N. Bandumula, G. Ondrasek, R. Sundaram and S. Rathod, "Artificial-Intelligence-Based Time-Series Intervention Models to Assess the Impact of the COVID-19 Pandemic on Tomato Supply and Prices in Hyderabad, India," </w:t>
            </w:r>
            <w:r w:rsidRPr="00254457">
              <w:rPr>
                <w:i/>
                <w:iCs/>
                <w:noProof/>
                <w:sz w:val="16"/>
                <w:szCs w:val="16"/>
              </w:rPr>
              <w:t xml:space="preserve">Agronomy, </w:t>
            </w:r>
            <w:r w:rsidRPr="00254457">
              <w:rPr>
                <w:noProof/>
                <w:sz w:val="16"/>
                <w:szCs w:val="16"/>
              </w:rPr>
              <w:t xml:space="preserve">vol. 11, no. 1878, pp. 1-16, 2021. </w:t>
            </w:r>
          </w:p>
        </w:tc>
      </w:tr>
      <w:tr w:rsidR="00254457" w:rsidRPr="00254457" w14:paraId="6E0D3FF8" w14:textId="77777777" w:rsidTr="00254457">
        <w:trPr>
          <w:divId w:val="1683817992"/>
          <w:tblCellSpacing w:w="15" w:type="dxa"/>
        </w:trPr>
        <w:tc>
          <w:tcPr>
            <w:tcW w:w="324" w:type="pct"/>
            <w:hideMark/>
          </w:tcPr>
          <w:p w14:paraId="4C54D9A1" w14:textId="77777777" w:rsidR="00254457" w:rsidRPr="00254457" w:rsidRDefault="00254457">
            <w:pPr>
              <w:pStyle w:val="Bibliography"/>
              <w:rPr>
                <w:noProof/>
                <w:sz w:val="16"/>
                <w:szCs w:val="16"/>
              </w:rPr>
            </w:pPr>
            <w:r w:rsidRPr="00254457">
              <w:rPr>
                <w:noProof/>
                <w:sz w:val="16"/>
                <w:szCs w:val="16"/>
              </w:rPr>
              <w:t xml:space="preserve">[16] </w:t>
            </w:r>
          </w:p>
        </w:tc>
        <w:tc>
          <w:tcPr>
            <w:tcW w:w="4584" w:type="pct"/>
            <w:hideMark/>
          </w:tcPr>
          <w:p w14:paraId="6E2DCC8D" w14:textId="77777777" w:rsidR="00254457" w:rsidRPr="00254457" w:rsidRDefault="00254457" w:rsidP="00254457">
            <w:pPr>
              <w:pStyle w:val="Bibliography"/>
              <w:jc w:val="both"/>
              <w:rPr>
                <w:noProof/>
                <w:sz w:val="16"/>
                <w:szCs w:val="16"/>
              </w:rPr>
            </w:pPr>
            <w:r w:rsidRPr="00254457">
              <w:rPr>
                <w:noProof/>
                <w:sz w:val="16"/>
                <w:szCs w:val="16"/>
              </w:rPr>
              <w:t>Department of Agriculture, "Price Monitoring," 2022. [Online]. Available: https://www.da.gov.ph/price-monitoring/. [Accessed 5 February 2022].</w:t>
            </w:r>
          </w:p>
        </w:tc>
      </w:tr>
      <w:tr w:rsidR="00254457" w:rsidRPr="00254457" w14:paraId="6FAF8762" w14:textId="77777777" w:rsidTr="00254457">
        <w:trPr>
          <w:divId w:val="1683817992"/>
          <w:tblCellSpacing w:w="15" w:type="dxa"/>
        </w:trPr>
        <w:tc>
          <w:tcPr>
            <w:tcW w:w="324" w:type="pct"/>
            <w:hideMark/>
          </w:tcPr>
          <w:p w14:paraId="0D5C0BF3" w14:textId="77777777" w:rsidR="00254457" w:rsidRPr="00254457" w:rsidRDefault="00254457">
            <w:pPr>
              <w:pStyle w:val="Bibliography"/>
              <w:rPr>
                <w:noProof/>
                <w:sz w:val="16"/>
                <w:szCs w:val="16"/>
              </w:rPr>
            </w:pPr>
            <w:r w:rsidRPr="00254457">
              <w:rPr>
                <w:noProof/>
                <w:sz w:val="16"/>
                <w:szCs w:val="16"/>
              </w:rPr>
              <w:t xml:space="preserve">[17] </w:t>
            </w:r>
          </w:p>
        </w:tc>
        <w:tc>
          <w:tcPr>
            <w:tcW w:w="4584" w:type="pct"/>
            <w:hideMark/>
          </w:tcPr>
          <w:p w14:paraId="1F4330B0" w14:textId="77777777" w:rsidR="00254457" w:rsidRPr="00254457" w:rsidRDefault="00254457" w:rsidP="00254457">
            <w:pPr>
              <w:pStyle w:val="Bibliography"/>
              <w:jc w:val="both"/>
              <w:rPr>
                <w:noProof/>
                <w:sz w:val="16"/>
                <w:szCs w:val="16"/>
              </w:rPr>
            </w:pPr>
            <w:r w:rsidRPr="00254457">
              <w:rPr>
                <w:noProof/>
                <w:sz w:val="16"/>
                <w:szCs w:val="16"/>
              </w:rPr>
              <w:t xml:space="preserve">Y. Dong and C. Peng, "Principled missing data methods for researchers," </w:t>
            </w:r>
            <w:r w:rsidRPr="00254457">
              <w:rPr>
                <w:i/>
                <w:iCs/>
                <w:noProof/>
                <w:sz w:val="16"/>
                <w:szCs w:val="16"/>
              </w:rPr>
              <w:t xml:space="preserve">Springerplus, </w:t>
            </w:r>
            <w:r w:rsidRPr="00254457">
              <w:rPr>
                <w:noProof/>
                <w:sz w:val="16"/>
                <w:szCs w:val="16"/>
              </w:rPr>
              <w:t xml:space="preserve">vol. 2, no. 1, p. 222, 2013. </w:t>
            </w:r>
          </w:p>
        </w:tc>
      </w:tr>
      <w:tr w:rsidR="00254457" w:rsidRPr="00254457" w14:paraId="1A73174A" w14:textId="77777777" w:rsidTr="00254457">
        <w:trPr>
          <w:divId w:val="1683817992"/>
          <w:tblCellSpacing w:w="15" w:type="dxa"/>
        </w:trPr>
        <w:tc>
          <w:tcPr>
            <w:tcW w:w="324" w:type="pct"/>
            <w:hideMark/>
          </w:tcPr>
          <w:p w14:paraId="3BE9A453" w14:textId="77777777" w:rsidR="00254457" w:rsidRPr="00254457" w:rsidRDefault="00254457">
            <w:pPr>
              <w:pStyle w:val="Bibliography"/>
              <w:rPr>
                <w:noProof/>
                <w:sz w:val="16"/>
                <w:szCs w:val="16"/>
              </w:rPr>
            </w:pPr>
            <w:r w:rsidRPr="00254457">
              <w:rPr>
                <w:noProof/>
                <w:sz w:val="16"/>
                <w:szCs w:val="16"/>
              </w:rPr>
              <w:t xml:space="preserve">[18] </w:t>
            </w:r>
          </w:p>
        </w:tc>
        <w:tc>
          <w:tcPr>
            <w:tcW w:w="4584" w:type="pct"/>
            <w:hideMark/>
          </w:tcPr>
          <w:p w14:paraId="0D51E962" w14:textId="77777777" w:rsidR="00254457" w:rsidRPr="00254457" w:rsidRDefault="00254457" w:rsidP="00254457">
            <w:pPr>
              <w:pStyle w:val="Bibliography"/>
              <w:jc w:val="both"/>
              <w:rPr>
                <w:noProof/>
                <w:sz w:val="16"/>
                <w:szCs w:val="16"/>
              </w:rPr>
            </w:pPr>
            <w:r w:rsidRPr="00254457">
              <w:rPr>
                <w:noProof/>
                <w:sz w:val="16"/>
                <w:szCs w:val="16"/>
              </w:rPr>
              <w:t>Labour Force Statistics, "Definitions," 5 September 2001. [Online]. Available: https://stats.oecd.org/glossary/detail.asp?ID=340. [Accessed 5 February 2022].</w:t>
            </w:r>
          </w:p>
        </w:tc>
      </w:tr>
      <w:tr w:rsidR="00254457" w:rsidRPr="00254457" w14:paraId="6EBB9D26" w14:textId="77777777" w:rsidTr="00254457">
        <w:trPr>
          <w:divId w:val="1683817992"/>
          <w:tblCellSpacing w:w="15" w:type="dxa"/>
        </w:trPr>
        <w:tc>
          <w:tcPr>
            <w:tcW w:w="324" w:type="pct"/>
            <w:hideMark/>
          </w:tcPr>
          <w:p w14:paraId="4C513EAF" w14:textId="77777777" w:rsidR="00254457" w:rsidRPr="00254457" w:rsidRDefault="00254457">
            <w:pPr>
              <w:pStyle w:val="Bibliography"/>
              <w:rPr>
                <w:noProof/>
                <w:sz w:val="16"/>
                <w:szCs w:val="16"/>
              </w:rPr>
            </w:pPr>
            <w:r w:rsidRPr="00254457">
              <w:rPr>
                <w:noProof/>
                <w:sz w:val="16"/>
                <w:szCs w:val="16"/>
              </w:rPr>
              <w:t xml:space="preserve">[19] </w:t>
            </w:r>
          </w:p>
        </w:tc>
        <w:tc>
          <w:tcPr>
            <w:tcW w:w="4584" w:type="pct"/>
            <w:hideMark/>
          </w:tcPr>
          <w:p w14:paraId="63DEA061" w14:textId="77777777" w:rsidR="00254457" w:rsidRPr="00254457" w:rsidRDefault="00254457" w:rsidP="00254457">
            <w:pPr>
              <w:pStyle w:val="Bibliography"/>
              <w:jc w:val="both"/>
              <w:rPr>
                <w:noProof/>
                <w:sz w:val="16"/>
                <w:szCs w:val="16"/>
              </w:rPr>
            </w:pPr>
            <w:r w:rsidRPr="00254457">
              <w:rPr>
                <w:noProof/>
                <w:sz w:val="16"/>
                <w:szCs w:val="16"/>
              </w:rPr>
              <w:t xml:space="preserve">S. JL and G. JW, "Missing data: our view of the state of the art," </w:t>
            </w:r>
            <w:r w:rsidRPr="00254457">
              <w:rPr>
                <w:i/>
                <w:iCs/>
                <w:noProof/>
                <w:sz w:val="16"/>
                <w:szCs w:val="16"/>
              </w:rPr>
              <w:t xml:space="preserve">Psychol Methods, </w:t>
            </w:r>
            <w:r w:rsidRPr="00254457">
              <w:rPr>
                <w:noProof/>
                <w:sz w:val="16"/>
                <w:szCs w:val="16"/>
              </w:rPr>
              <w:t xml:space="preserve">vol. 7, no. 2, pp. 147-177, 2002. </w:t>
            </w:r>
          </w:p>
        </w:tc>
      </w:tr>
      <w:tr w:rsidR="00254457" w:rsidRPr="00254457" w14:paraId="737D314B" w14:textId="77777777" w:rsidTr="00254457">
        <w:trPr>
          <w:divId w:val="1683817992"/>
          <w:tblCellSpacing w:w="15" w:type="dxa"/>
        </w:trPr>
        <w:tc>
          <w:tcPr>
            <w:tcW w:w="324" w:type="pct"/>
            <w:hideMark/>
          </w:tcPr>
          <w:p w14:paraId="2E88BAEF" w14:textId="77777777" w:rsidR="00254457" w:rsidRPr="00254457" w:rsidRDefault="00254457">
            <w:pPr>
              <w:pStyle w:val="Bibliography"/>
              <w:rPr>
                <w:noProof/>
                <w:sz w:val="16"/>
                <w:szCs w:val="16"/>
              </w:rPr>
            </w:pPr>
            <w:r w:rsidRPr="00254457">
              <w:rPr>
                <w:noProof/>
                <w:sz w:val="16"/>
                <w:szCs w:val="16"/>
              </w:rPr>
              <w:t xml:space="preserve">[20] </w:t>
            </w:r>
          </w:p>
        </w:tc>
        <w:tc>
          <w:tcPr>
            <w:tcW w:w="4584" w:type="pct"/>
            <w:hideMark/>
          </w:tcPr>
          <w:p w14:paraId="4E782DAD" w14:textId="77777777" w:rsidR="00254457" w:rsidRPr="00254457" w:rsidRDefault="00254457" w:rsidP="00254457">
            <w:pPr>
              <w:pStyle w:val="Bibliography"/>
              <w:jc w:val="both"/>
              <w:rPr>
                <w:noProof/>
                <w:sz w:val="16"/>
                <w:szCs w:val="16"/>
              </w:rPr>
            </w:pPr>
            <w:r w:rsidRPr="00254457">
              <w:rPr>
                <w:noProof/>
                <w:sz w:val="16"/>
                <w:szCs w:val="16"/>
              </w:rPr>
              <w:t>the pandas development team, "pandas.DataFrame.interpolate," 2022. [Online]. Available: https://pandas.pydata.org/docs/reference/api/pandas.DataFrame.interpolate.html. [Accessed 5 February 2022].</w:t>
            </w:r>
          </w:p>
        </w:tc>
      </w:tr>
      <w:tr w:rsidR="00254457" w:rsidRPr="00254457" w14:paraId="3D80D98F" w14:textId="77777777" w:rsidTr="00254457">
        <w:trPr>
          <w:divId w:val="1683817992"/>
          <w:tblCellSpacing w:w="15" w:type="dxa"/>
        </w:trPr>
        <w:tc>
          <w:tcPr>
            <w:tcW w:w="324" w:type="pct"/>
            <w:hideMark/>
          </w:tcPr>
          <w:p w14:paraId="24D8F638" w14:textId="77777777" w:rsidR="00254457" w:rsidRPr="00254457" w:rsidRDefault="00254457">
            <w:pPr>
              <w:pStyle w:val="Bibliography"/>
              <w:rPr>
                <w:noProof/>
                <w:sz w:val="16"/>
                <w:szCs w:val="16"/>
              </w:rPr>
            </w:pPr>
            <w:r w:rsidRPr="00254457">
              <w:rPr>
                <w:noProof/>
                <w:sz w:val="16"/>
                <w:szCs w:val="16"/>
              </w:rPr>
              <w:t xml:space="preserve">[21] </w:t>
            </w:r>
          </w:p>
        </w:tc>
        <w:tc>
          <w:tcPr>
            <w:tcW w:w="4584" w:type="pct"/>
            <w:hideMark/>
          </w:tcPr>
          <w:p w14:paraId="326A9271" w14:textId="77777777" w:rsidR="00254457" w:rsidRPr="00254457" w:rsidRDefault="00254457" w:rsidP="00254457">
            <w:pPr>
              <w:pStyle w:val="Bibliography"/>
              <w:jc w:val="both"/>
              <w:rPr>
                <w:noProof/>
                <w:sz w:val="16"/>
                <w:szCs w:val="16"/>
              </w:rPr>
            </w:pPr>
            <w:r w:rsidRPr="00254457">
              <w:rPr>
                <w:noProof/>
                <w:sz w:val="16"/>
                <w:szCs w:val="16"/>
              </w:rPr>
              <w:t xml:space="preserve">G. E. P. Box, G. M. Jenkins, G. C. Reinsel and G. M. Ljung, Time series analysis: Forecasting and control, Nashville, TN: John Wiley &amp; Sons, 2015. </w:t>
            </w:r>
          </w:p>
        </w:tc>
      </w:tr>
      <w:tr w:rsidR="00254457" w:rsidRPr="00254457" w14:paraId="55E75C19" w14:textId="77777777" w:rsidTr="00254457">
        <w:trPr>
          <w:divId w:val="1683817992"/>
          <w:tblCellSpacing w:w="15" w:type="dxa"/>
        </w:trPr>
        <w:tc>
          <w:tcPr>
            <w:tcW w:w="324" w:type="pct"/>
            <w:hideMark/>
          </w:tcPr>
          <w:p w14:paraId="13271AFE" w14:textId="77777777" w:rsidR="00254457" w:rsidRPr="00254457" w:rsidRDefault="00254457">
            <w:pPr>
              <w:pStyle w:val="Bibliography"/>
              <w:rPr>
                <w:noProof/>
                <w:sz w:val="16"/>
                <w:szCs w:val="16"/>
              </w:rPr>
            </w:pPr>
            <w:r w:rsidRPr="00254457">
              <w:rPr>
                <w:noProof/>
                <w:sz w:val="16"/>
                <w:szCs w:val="16"/>
              </w:rPr>
              <w:t xml:space="preserve">[22] </w:t>
            </w:r>
          </w:p>
        </w:tc>
        <w:tc>
          <w:tcPr>
            <w:tcW w:w="4584" w:type="pct"/>
            <w:hideMark/>
          </w:tcPr>
          <w:p w14:paraId="5E434628" w14:textId="77777777" w:rsidR="00254457" w:rsidRPr="00254457" w:rsidRDefault="00254457" w:rsidP="00254457">
            <w:pPr>
              <w:pStyle w:val="Bibliography"/>
              <w:jc w:val="both"/>
              <w:rPr>
                <w:noProof/>
                <w:sz w:val="16"/>
                <w:szCs w:val="16"/>
              </w:rPr>
            </w:pPr>
            <w:r w:rsidRPr="00254457">
              <w:rPr>
                <w:noProof/>
                <w:sz w:val="16"/>
                <w:szCs w:val="16"/>
              </w:rPr>
              <w:t>R. Nau, "Statistical forecasting: notes on regression and time series analysis," 18 August 2020. [Online]. Available: https://people.duke.edu/~rnau/411arim.htm. [Accessed 5 February 2022].</w:t>
            </w:r>
          </w:p>
        </w:tc>
      </w:tr>
      <w:tr w:rsidR="00254457" w:rsidRPr="00254457" w14:paraId="636BAE42" w14:textId="77777777" w:rsidTr="00254457">
        <w:trPr>
          <w:divId w:val="1683817992"/>
          <w:tblCellSpacing w:w="15" w:type="dxa"/>
        </w:trPr>
        <w:tc>
          <w:tcPr>
            <w:tcW w:w="324" w:type="pct"/>
            <w:hideMark/>
          </w:tcPr>
          <w:p w14:paraId="27C516AE" w14:textId="77777777" w:rsidR="00254457" w:rsidRPr="00254457" w:rsidRDefault="00254457">
            <w:pPr>
              <w:pStyle w:val="Bibliography"/>
              <w:rPr>
                <w:noProof/>
                <w:sz w:val="16"/>
                <w:szCs w:val="16"/>
              </w:rPr>
            </w:pPr>
            <w:r w:rsidRPr="00254457">
              <w:rPr>
                <w:noProof/>
                <w:sz w:val="16"/>
                <w:szCs w:val="16"/>
              </w:rPr>
              <w:t xml:space="preserve">[23] </w:t>
            </w:r>
          </w:p>
        </w:tc>
        <w:tc>
          <w:tcPr>
            <w:tcW w:w="4584" w:type="pct"/>
            <w:hideMark/>
          </w:tcPr>
          <w:p w14:paraId="4F03E4C1" w14:textId="77777777" w:rsidR="00254457" w:rsidRPr="00254457" w:rsidRDefault="00254457" w:rsidP="00254457">
            <w:pPr>
              <w:pStyle w:val="Bibliography"/>
              <w:jc w:val="both"/>
              <w:rPr>
                <w:noProof/>
                <w:sz w:val="16"/>
                <w:szCs w:val="16"/>
              </w:rPr>
            </w:pPr>
            <w:r w:rsidRPr="00254457">
              <w:rPr>
                <w:noProof/>
                <w:sz w:val="16"/>
                <w:szCs w:val="16"/>
              </w:rPr>
              <w:t xml:space="preserve">R. Hyndman and G. Athanasopoulos, Forecasting: Principles and Practice, Melbourne: OTexts, 2021. </w:t>
            </w:r>
          </w:p>
        </w:tc>
      </w:tr>
      <w:tr w:rsidR="00254457" w:rsidRPr="00254457" w14:paraId="2972C451" w14:textId="77777777" w:rsidTr="00254457">
        <w:trPr>
          <w:divId w:val="1683817992"/>
          <w:tblCellSpacing w:w="15" w:type="dxa"/>
        </w:trPr>
        <w:tc>
          <w:tcPr>
            <w:tcW w:w="324" w:type="pct"/>
            <w:hideMark/>
          </w:tcPr>
          <w:p w14:paraId="3508F444" w14:textId="77777777" w:rsidR="00254457" w:rsidRPr="00254457" w:rsidRDefault="00254457">
            <w:pPr>
              <w:pStyle w:val="Bibliography"/>
              <w:rPr>
                <w:noProof/>
                <w:sz w:val="16"/>
                <w:szCs w:val="16"/>
              </w:rPr>
            </w:pPr>
            <w:r w:rsidRPr="00254457">
              <w:rPr>
                <w:noProof/>
                <w:sz w:val="16"/>
                <w:szCs w:val="16"/>
              </w:rPr>
              <w:t xml:space="preserve">[24] </w:t>
            </w:r>
          </w:p>
        </w:tc>
        <w:tc>
          <w:tcPr>
            <w:tcW w:w="4584" w:type="pct"/>
            <w:hideMark/>
          </w:tcPr>
          <w:p w14:paraId="338FA9D3" w14:textId="77777777" w:rsidR="00254457" w:rsidRPr="00254457" w:rsidRDefault="00254457" w:rsidP="00254457">
            <w:pPr>
              <w:pStyle w:val="Bibliography"/>
              <w:jc w:val="both"/>
              <w:rPr>
                <w:noProof/>
                <w:sz w:val="16"/>
                <w:szCs w:val="16"/>
              </w:rPr>
            </w:pPr>
            <w:r w:rsidRPr="00254457">
              <w:rPr>
                <w:noProof/>
                <w:sz w:val="16"/>
                <w:szCs w:val="16"/>
              </w:rPr>
              <w:t xml:space="preserve">W. Enders, Applied Econometric Time Series, 4th ed., Nashville, TN: John Wiley &amp; Sons, 2014. </w:t>
            </w:r>
          </w:p>
        </w:tc>
      </w:tr>
      <w:tr w:rsidR="00254457" w:rsidRPr="00254457" w14:paraId="0526BAEF" w14:textId="77777777" w:rsidTr="00254457">
        <w:trPr>
          <w:divId w:val="1683817992"/>
          <w:tblCellSpacing w:w="15" w:type="dxa"/>
        </w:trPr>
        <w:tc>
          <w:tcPr>
            <w:tcW w:w="324" w:type="pct"/>
            <w:hideMark/>
          </w:tcPr>
          <w:p w14:paraId="32E227E6" w14:textId="77777777" w:rsidR="00254457" w:rsidRPr="00254457" w:rsidRDefault="00254457">
            <w:pPr>
              <w:pStyle w:val="Bibliography"/>
              <w:rPr>
                <w:noProof/>
                <w:sz w:val="16"/>
                <w:szCs w:val="16"/>
              </w:rPr>
            </w:pPr>
            <w:r w:rsidRPr="00254457">
              <w:rPr>
                <w:noProof/>
                <w:sz w:val="16"/>
                <w:szCs w:val="16"/>
              </w:rPr>
              <w:t xml:space="preserve">[25] </w:t>
            </w:r>
          </w:p>
        </w:tc>
        <w:tc>
          <w:tcPr>
            <w:tcW w:w="4584" w:type="pct"/>
            <w:hideMark/>
          </w:tcPr>
          <w:p w14:paraId="29217F8B" w14:textId="77777777" w:rsidR="00254457" w:rsidRPr="00254457" w:rsidRDefault="00254457" w:rsidP="00254457">
            <w:pPr>
              <w:pStyle w:val="Bibliography"/>
              <w:jc w:val="both"/>
              <w:rPr>
                <w:noProof/>
                <w:sz w:val="16"/>
                <w:szCs w:val="16"/>
              </w:rPr>
            </w:pPr>
            <w:r w:rsidRPr="00254457">
              <w:rPr>
                <w:noProof/>
                <w:sz w:val="16"/>
                <w:szCs w:val="16"/>
              </w:rPr>
              <w:t>American Psychological Association, "APA Dictionary of Psychology - Interrupted Time Series Design," 2022. [Online]. Available: https://dictionary.apa.org/interrupted-time-series-design. [Accessed 5 February 2022].</w:t>
            </w:r>
          </w:p>
        </w:tc>
      </w:tr>
      <w:tr w:rsidR="00254457" w:rsidRPr="00254457" w14:paraId="7B3AD5A6" w14:textId="77777777" w:rsidTr="00254457">
        <w:trPr>
          <w:divId w:val="1683817992"/>
          <w:tblCellSpacing w:w="15" w:type="dxa"/>
        </w:trPr>
        <w:tc>
          <w:tcPr>
            <w:tcW w:w="324" w:type="pct"/>
            <w:hideMark/>
          </w:tcPr>
          <w:p w14:paraId="39DE2895" w14:textId="77777777" w:rsidR="00254457" w:rsidRPr="00254457" w:rsidRDefault="00254457">
            <w:pPr>
              <w:pStyle w:val="Bibliography"/>
              <w:rPr>
                <w:noProof/>
                <w:sz w:val="16"/>
                <w:szCs w:val="16"/>
              </w:rPr>
            </w:pPr>
            <w:r w:rsidRPr="00254457">
              <w:rPr>
                <w:noProof/>
                <w:sz w:val="16"/>
                <w:szCs w:val="16"/>
              </w:rPr>
              <w:t xml:space="preserve">[26] </w:t>
            </w:r>
          </w:p>
        </w:tc>
        <w:tc>
          <w:tcPr>
            <w:tcW w:w="4584" w:type="pct"/>
            <w:hideMark/>
          </w:tcPr>
          <w:p w14:paraId="1AC7BA17" w14:textId="77777777" w:rsidR="00254457" w:rsidRPr="00254457" w:rsidRDefault="00254457" w:rsidP="00254457">
            <w:pPr>
              <w:pStyle w:val="Bibliography"/>
              <w:jc w:val="both"/>
              <w:rPr>
                <w:noProof/>
                <w:sz w:val="16"/>
                <w:szCs w:val="16"/>
              </w:rPr>
            </w:pPr>
            <w:r w:rsidRPr="00254457">
              <w:rPr>
                <w:noProof/>
                <w:sz w:val="16"/>
                <w:szCs w:val="16"/>
              </w:rPr>
              <w:t xml:space="preserve">J. Ruan, Q. Cai and S. Jin, " Impact of COVID-19 and Nationwide Lockdowns on Vegetable Prices: Evidence from Wholesale Markets in China," </w:t>
            </w:r>
            <w:r w:rsidRPr="00254457">
              <w:rPr>
                <w:i/>
                <w:iCs/>
                <w:noProof/>
                <w:sz w:val="16"/>
                <w:szCs w:val="16"/>
              </w:rPr>
              <w:t xml:space="preserve">American Journal of Agricultural Economics, </w:t>
            </w:r>
            <w:r w:rsidRPr="00254457">
              <w:rPr>
                <w:noProof/>
                <w:sz w:val="16"/>
                <w:szCs w:val="16"/>
              </w:rPr>
              <w:t xml:space="preserve">vol. 103, no. 5, p. 1574–1594, 2021. </w:t>
            </w:r>
          </w:p>
        </w:tc>
      </w:tr>
    </w:tbl>
    <w:p w14:paraId="1B234495" w14:textId="77777777" w:rsidR="00254457" w:rsidRDefault="00254457">
      <w:pPr>
        <w:divId w:val="1683817992"/>
        <w:rPr>
          <w:rFonts w:eastAsia="Times New Roman"/>
          <w:noProof/>
        </w:rPr>
      </w:pPr>
    </w:p>
    <w:p w14:paraId="27DBE716" w14:textId="330AC499" w:rsidR="002665FE" w:rsidRDefault="00254457" w:rsidP="002665FE">
      <w:pPr>
        <w:pStyle w:val="references"/>
        <w:numPr>
          <w:ilvl w:val="0"/>
          <w:numId w:val="0"/>
        </w:numPr>
        <w:ind w:left="360" w:hanging="360"/>
      </w:pPr>
      <w:r>
        <w:fldChar w:fldCharType="end"/>
      </w:r>
    </w:p>
    <w:p w14:paraId="74EDC94D" w14:textId="77777777" w:rsidR="002665FE" w:rsidRDefault="002665FE"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69C84C25" w14:textId="77777777" w:rsidR="00413546" w:rsidRDefault="00413546"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55F08A7" w14:textId="77777777" w:rsidR="00CF2232" w:rsidRDefault="00CF2232"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37BF8FAF"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2665F5D7"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5E168CD9"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3304035C" w14:textId="7EC0A544" w:rsidR="00DB3A1A" w:rsidRPr="00AA2D8A" w:rsidRDefault="00AA2D8A" w:rsidP="002665FE">
      <w:pPr>
        <w:pStyle w:val="references"/>
        <w:numPr>
          <w:ilvl w:val="0"/>
          <w:numId w:val="0"/>
        </w:numPr>
        <w:ind w:left="360" w:hanging="360"/>
        <w:jc w:val="center"/>
        <w:rPr>
          <w:rFonts w:eastAsia="SimSun"/>
          <w:b/>
          <w:noProof w:val="0"/>
          <w:color w:val="FFFFFF" w:themeColor="background1"/>
          <w:spacing w:val="-1"/>
          <w:sz w:val="20"/>
          <w:szCs w:val="20"/>
          <w:lang w:eastAsia="x-none"/>
        </w:rPr>
      </w:pPr>
      <w:r w:rsidRPr="00AA2D8A">
        <w:rPr>
          <w:rFonts w:eastAsia="SimSun"/>
          <w:b/>
          <w:noProof w:val="0"/>
          <w:color w:val="FFFFFF" w:themeColor="background1"/>
          <w:spacing w:val="-1"/>
          <w:sz w:val="20"/>
          <w:szCs w:val="20"/>
          <w:lang w:eastAsia="x-none"/>
        </w:rPr>
        <w:t xml:space="preserve">This study is not finished lmao tinamid </w:t>
      </w:r>
      <w:proofErr w:type="spellStart"/>
      <w:r w:rsidRPr="00AA2D8A">
        <w:rPr>
          <w:rFonts w:eastAsia="SimSun"/>
          <w:b/>
          <w:noProof w:val="0"/>
          <w:color w:val="FFFFFF" w:themeColor="background1"/>
          <w:spacing w:val="-1"/>
          <w:sz w:val="20"/>
          <w:szCs w:val="20"/>
          <w:lang w:eastAsia="x-none"/>
        </w:rPr>
        <w:t>ako</w:t>
      </w:r>
      <w:proofErr w:type="spellEnd"/>
      <w:r w:rsidRPr="00AA2D8A">
        <w:rPr>
          <w:rFonts w:eastAsia="SimSun"/>
          <w:b/>
          <w:noProof w:val="0"/>
          <w:color w:val="FFFFFF" w:themeColor="background1"/>
          <w:spacing w:val="-1"/>
          <w:sz w:val="20"/>
          <w:szCs w:val="20"/>
          <w:lang w:eastAsia="x-none"/>
        </w:rPr>
        <w:t xml:space="preserve"> </w:t>
      </w:r>
      <w:proofErr w:type="spellStart"/>
      <w:r w:rsidRPr="00AA2D8A">
        <w:rPr>
          <w:rFonts w:eastAsia="SimSun"/>
          <w:b/>
          <w:noProof w:val="0"/>
          <w:color w:val="FFFFFF" w:themeColor="background1"/>
          <w:spacing w:val="-1"/>
          <w:sz w:val="20"/>
          <w:szCs w:val="20"/>
          <w:lang w:eastAsia="x-none"/>
        </w:rPr>
        <w:t>magcheck</w:t>
      </w:r>
      <w:proofErr w:type="spellEnd"/>
    </w:p>
    <w:p w14:paraId="27F4BDCB"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7294FE2B"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B927643"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5A75C394"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205CFA93"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351F4133"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3437CC5"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69BBCB1B"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15834D56"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064C5BA8"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FB7C3B4"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2465C558"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002221F7"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87A324F" w14:textId="61447366"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1A0BED58" w14:textId="569D01EA" w:rsidR="002C50D9" w:rsidRDefault="002C50D9"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605F49A5" w14:textId="42991E66" w:rsidR="002C50D9" w:rsidRDefault="002C50D9"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073018A2" w14:textId="5B2DAFB4" w:rsidR="002C50D9" w:rsidRDefault="002C50D9"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4BC7F938" w14:textId="77777777" w:rsidR="002C50D9" w:rsidRDefault="002C50D9"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09067DF7"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012DDD3D"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5DAB0D8F"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1370FE2C"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7EE7D464"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116B881B"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78A7274C" w14:textId="77777777" w:rsidR="00DB3A1A"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pPr>
    </w:p>
    <w:p w14:paraId="3A3D0EF5" w14:textId="7A1FFF26" w:rsidR="00DB3A1A" w:rsidRPr="00F96569" w:rsidRDefault="00DB3A1A" w:rsidP="002665FE">
      <w:pPr>
        <w:pStyle w:val="references"/>
        <w:numPr>
          <w:ilvl w:val="0"/>
          <w:numId w:val="0"/>
        </w:numPr>
        <w:ind w:left="360" w:hanging="360"/>
        <w:jc w:val="center"/>
        <w:rPr>
          <w:rFonts w:eastAsia="SimSun"/>
          <w:b/>
          <w:noProof w:val="0"/>
          <w:color w:val="FF0000"/>
          <w:spacing w:val="-1"/>
          <w:sz w:val="20"/>
          <w:szCs w:val="20"/>
          <w:lang w:val="x-none" w:eastAsia="x-none"/>
        </w:rPr>
        <w:sectPr w:rsidR="00DB3A1A" w:rsidRPr="00F96569" w:rsidSect="003B4E04">
          <w:type w:val="continuous"/>
          <w:pgSz w:w="11906" w:h="16838" w:code="9"/>
          <w:pgMar w:top="1080" w:right="907" w:bottom="1440" w:left="907" w:header="720" w:footer="720" w:gutter="0"/>
          <w:cols w:num="2" w:space="360"/>
          <w:docGrid w:linePitch="360"/>
        </w:sectPr>
      </w:pPr>
    </w:p>
    <w:p w14:paraId="2F120282" w14:textId="0E35C72D" w:rsidR="009303D9" w:rsidRPr="002665FE" w:rsidRDefault="009303D9" w:rsidP="002665FE"/>
    <w:sectPr w:rsidR="009303D9" w:rsidRPr="002665FE" w:rsidSect="003B4E04">
      <w:footerReference w:type="first" r:id="rId2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64B8" w14:textId="77777777" w:rsidR="008A04C7" w:rsidRDefault="008A04C7" w:rsidP="001A3B3D">
      <w:r>
        <w:separator/>
      </w:r>
    </w:p>
  </w:endnote>
  <w:endnote w:type="continuationSeparator" w:id="0">
    <w:p w14:paraId="4CC4C328" w14:textId="77777777" w:rsidR="008A04C7" w:rsidRDefault="008A04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ADD9" w14:textId="6E770519" w:rsidR="002665FE" w:rsidRPr="006F6D3D" w:rsidRDefault="002665FE"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F6C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F1C48" w14:textId="77777777" w:rsidR="008A04C7" w:rsidRDefault="008A04C7" w:rsidP="001A3B3D">
      <w:r>
        <w:separator/>
      </w:r>
    </w:p>
  </w:footnote>
  <w:footnote w:type="continuationSeparator" w:id="0">
    <w:p w14:paraId="6A692366" w14:textId="77777777" w:rsidR="008A04C7" w:rsidRDefault="008A04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0CCA3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36485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41EBF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0D049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F12A43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9CE26A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7E2E6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D382A4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AAE50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53CE1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C4B"/>
    <w:rsid w:val="00007ACC"/>
    <w:rsid w:val="00015C51"/>
    <w:rsid w:val="00023477"/>
    <w:rsid w:val="00026F00"/>
    <w:rsid w:val="00027B01"/>
    <w:rsid w:val="00032338"/>
    <w:rsid w:val="00037C83"/>
    <w:rsid w:val="00043AA2"/>
    <w:rsid w:val="000459C2"/>
    <w:rsid w:val="0004707E"/>
    <w:rsid w:val="0004781E"/>
    <w:rsid w:val="00047BE8"/>
    <w:rsid w:val="00056B10"/>
    <w:rsid w:val="00066A24"/>
    <w:rsid w:val="0006784C"/>
    <w:rsid w:val="00085237"/>
    <w:rsid w:val="0008758A"/>
    <w:rsid w:val="00091B30"/>
    <w:rsid w:val="000962FA"/>
    <w:rsid w:val="000A0BB3"/>
    <w:rsid w:val="000B4020"/>
    <w:rsid w:val="000B45F6"/>
    <w:rsid w:val="000C1E68"/>
    <w:rsid w:val="000C5A64"/>
    <w:rsid w:val="000D66B2"/>
    <w:rsid w:val="000E0BB8"/>
    <w:rsid w:val="000E0EEA"/>
    <w:rsid w:val="000E28C4"/>
    <w:rsid w:val="000E4F37"/>
    <w:rsid w:val="001047A2"/>
    <w:rsid w:val="00117A2C"/>
    <w:rsid w:val="00117B82"/>
    <w:rsid w:val="00126FE5"/>
    <w:rsid w:val="001323D7"/>
    <w:rsid w:val="00140537"/>
    <w:rsid w:val="0014382E"/>
    <w:rsid w:val="0015238A"/>
    <w:rsid w:val="0015774F"/>
    <w:rsid w:val="00161B19"/>
    <w:rsid w:val="00171896"/>
    <w:rsid w:val="00177546"/>
    <w:rsid w:val="001871AE"/>
    <w:rsid w:val="001873F1"/>
    <w:rsid w:val="0019117E"/>
    <w:rsid w:val="00192C03"/>
    <w:rsid w:val="00197555"/>
    <w:rsid w:val="00197D39"/>
    <w:rsid w:val="001A0290"/>
    <w:rsid w:val="001A2EFD"/>
    <w:rsid w:val="001A3B3D"/>
    <w:rsid w:val="001A46C1"/>
    <w:rsid w:val="001A4A3B"/>
    <w:rsid w:val="001A5803"/>
    <w:rsid w:val="001A7BB5"/>
    <w:rsid w:val="001A7C1B"/>
    <w:rsid w:val="001B28C9"/>
    <w:rsid w:val="001B2EF7"/>
    <w:rsid w:val="001B3A4C"/>
    <w:rsid w:val="001B67DC"/>
    <w:rsid w:val="001B7C6B"/>
    <w:rsid w:val="001D0DFD"/>
    <w:rsid w:val="001D189B"/>
    <w:rsid w:val="001D57C3"/>
    <w:rsid w:val="001E1CFE"/>
    <w:rsid w:val="001E2320"/>
    <w:rsid w:val="001E509F"/>
    <w:rsid w:val="001F20F8"/>
    <w:rsid w:val="00204455"/>
    <w:rsid w:val="002073C4"/>
    <w:rsid w:val="00210343"/>
    <w:rsid w:val="00212EE3"/>
    <w:rsid w:val="00214681"/>
    <w:rsid w:val="002254A9"/>
    <w:rsid w:val="00227D23"/>
    <w:rsid w:val="00230337"/>
    <w:rsid w:val="002308A0"/>
    <w:rsid w:val="00232158"/>
    <w:rsid w:val="00233D97"/>
    <w:rsid w:val="002347A2"/>
    <w:rsid w:val="00242261"/>
    <w:rsid w:val="00254457"/>
    <w:rsid w:val="002665FE"/>
    <w:rsid w:val="00273CA9"/>
    <w:rsid w:val="00274269"/>
    <w:rsid w:val="00276877"/>
    <w:rsid w:val="00283A86"/>
    <w:rsid w:val="002850E3"/>
    <w:rsid w:val="002B7400"/>
    <w:rsid w:val="002B77E0"/>
    <w:rsid w:val="002C50D9"/>
    <w:rsid w:val="002C7C8B"/>
    <w:rsid w:val="002D1DAD"/>
    <w:rsid w:val="002D7A3B"/>
    <w:rsid w:val="002E0B59"/>
    <w:rsid w:val="002E1620"/>
    <w:rsid w:val="002E579C"/>
    <w:rsid w:val="002E5D0F"/>
    <w:rsid w:val="002F4BB9"/>
    <w:rsid w:val="002F4FE1"/>
    <w:rsid w:val="002F69D8"/>
    <w:rsid w:val="00300E25"/>
    <w:rsid w:val="00315142"/>
    <w:rsid w:val="00323155"/>
    <w:rsid w:val="003332E2"/>
    <w:rsid w:val="00336810"/>
    <w:rsid w:val="0035498D"/>
    <w:rsid w:val="00354FCF"/>
    <w:rsid w:val="00356577"/>
    <w:rsid w:val="00360813"/>
    <w:rsid w:val="0036264C"/>
    <w:rsid w:val="00364F40"/>
    <w:rsid w:val="0036686F"/>
    <w:rsid w:val="0037723A"/>
    <w:rsid w:val="0038380D"/>
    <w:rsid w:val="00386B01"/>
    <w:rsid w:val="003A19E2"/>
    <w:rsid w:val="003A2E70"/>
    <w:rsid w:val="003B3B9B"/>
    <w:rsid w:val="003B4E04"/>
    <w:rsid w:val="003C5EEE"/>
    <w:rsid w:val="003C5F23"/>
    <w:rsid w:val="003D37FC"/>
    <w:rsid w:val="003E15BF"/>
    <w:rsid w:val="003E2519"/>
    <w:rsid w:val="003E49C6"/>
    <w:rsid w:val="003E4F95"/>
    <w:rsid w:val="003F1A5B"/>
    <w:rsid w:val="003F5A08"/>
    <w:rsid w:val="003F6865"/>
    <w:rsid w:val="00400C24"/>
    <w:rsid w:val="0041014B"/>
    <w:rsid w:val="00413546"/>
    <w:rsid w:val="00415508"/>
    <w:rsid w:val="00420716"/>
    <w:rsid w:val="004244FD"/>
    <w:rsid w:val="004325FB"/>
    <w:rsid w:val="004432BA"/>
    <w:rsid w:val="0044407E"/>
    <w:rsid w:val="004441A3"/>
    <w:rsid w:val="00444B9D"/>
    <w:rsid w:val="00445C45"/>
    <w:rsid w:val="00446A3F"/>
    <w:rsid w:val="00447833"/>
    <w:rsid w:val="00447BB9"/>
    <w:rsid w:val="004526B0"/>
    <w:rsid w:val="00453FA8"/>
    <w:rsid w:val="004557DC"/>
    <w:rsid w:val="0046031D"/>
    <w:rsid w:val="00464C95"/>
    <w:rsid w:val="00473E7E"/>
    <w:rsid w:val="00482D48"/>
    <w:rsid w:val="004866F4"/>
    <w:rsid w:val="0048793B"/>
    <w:rsid w:val="00493A1B"/>
    <w:rsid w:val="00493DC4"/>
    <w:rsid w:val="004A6ADA"/>
    <w:rsid w:val="004B1225"/>
    <w:rsid w:val="004C6A33"/>
    <w:rsid w:val="004D4E83"/>
    <w:rsid w:val="004D60D8"/>
    <w:rsid w:val="004D60EE"/>
    <w:rsid w:val="004D701C"/>
    <w:rsid w:val="004D72B5"/>
    <w:rsid w:val="004E045C"/>
    <w:rsid w:val="004E2857"/>
    <w:rsid w:val="004F75D8"/>
    <w:rsid w:val="00500365"/>
    <w:rsid w:val="00501580"/>
    <w:rsid w:val="00511335"/>
    <w:rsid w:val="0053020F"/>
    <w:rsid w:val="00533C77"/>
    <w:rsid w:val="00533E04"/>
    <w:rsid w:val="00551B7F"/>
    <w:rsid w:val="00561837"/>
    <w:rsid w:val="005634D1"/>
    <w:rsid w:val="0056610F"/>
    <w:rsid w:val="00571828"/>
    <w:rsid w:val="00571B32"/>
    <w:rsid w:val="005752F5"/>
    <w:rsid w:val="00575BCA"/>
    <w:rsid w:val="00584DE6"/>
    <w:rsid w:val="005925DF"/>
    <w:rsid w:val="005A1308"/>
    <w:rsid w:val="005B0344"/>
    <w:rsid w:val="005B1AA4"/>
    <w:rsid w:val="005B520E"/>
    <w:rsid w:val="005C50E3"/>
    <w:rsid w:val="005D1034"/>
    <w:rsid w:val="005E2800"/>
    <w:rsid w:val="005E43B5"/>
    <w:rsid w:val="005E52EC"/>
    <w:rsid w:val="00605825"/>
    <w:rsid w:val="00605A9D"/>
    <w:rsid w:val="00606824"/>
    <w:rsid w:val="00614289"/>
    <w:rsid w:val="006217A6"/>
    <w:rsid w:val="00632268"/>
    <w:rsid w:val="00634EC1"/>
    <w:rsid w:val="00635C8B"/>
    <w:rsid w:val="00635E7C"/>
    <w:rsid w:val="006368A7"/>
    <w:rsid w:val="006371EC"/>
    <w:rsid w:val="0064061E"/>
    <w:rsid w:val="00645D22"/>
    <w:rsid w:val="00651A08"/>
    <w:rsid w:val="00651A56"/>
    <w:rsid w:val="00654204"/>
    <w:rsid w:val="00655BC9"/>
    <w:rsid w:val="0066560B"/>
    <w:rsid w:val="00670434"/>
    <w:rsid w:val="00673FA6"/>
    <w:rsid w:val="00682F53"/>
    <w:rsid w:val="00683C49"/>
    <w:rsid w:val="006900BF"/>
    <w:rsid w:val="006930CD"/>
    <w:rsid w:val="00696315"/>
    <w:rsid w:val="00697229"/>
    <w:rsid w:val="006A1E88"/>
    <w:rsid w:val="006A31C0"/>
    <w:rsid w:val="006B1D35"/>
    <w:rsid w:val="006B6B66"/>
    <w:rsid w:val="006C20CE"/>
    <w:rsid w:val="006C427B"/>
    <w:rsid w:val="006D07FD"/>
    <w:rsid w:val="006D6C1B"/>
    <w:rsid w:val="006E0BC7"/>
    <w:rsid w:val="006E3C37"/>
    <w:rsid w:val="006F03A1"/>
    <w:rsid w:val="006F4D0B"/>
    <w:rsid w:val="006F6D3D"/>
    <w:rsid w:val="00704B62"/>
    <w:rsid w:val="00710892"/>
    <w:rsid w:val="007108EE"/>
    <w:rsid w:val="00715BEA"/>
    <w:rsid w:val="00715D9D"/>
    <w:rsid w:val="00715FAD"/>
    <w:rsid w:val="00731B5B"/>
    <w:rsid w:val="00736E3D"/>
    <w:rsid w:val="00740EEA"/>
    <w:rsid w:val="00744BB9"/>
    <w:rsid w:val="007471CD"/>
    <w:rsid w:val="007548BD"/>
    <w:rsid w:val="00754DB8"/>
    <w:rsid w:val="007558DC"/>
    <w:rsid w:val="007864B1"/>
    <w:rsid w:val="0078757A"/>
    <w:rsid w:val="00791B5D"/>
    <w:rsid w:val="00794804"/>
    <w:rsid w:val="007B33F1"/>
    <w:rsid w:val="007B6DDA"/>
    <w:rsid w:val="007C0308"/>
    <w:rsid w:val="007C2FF2"/>
    <w:rsid w:val="007C35DC"/>
    <w:rsid w:val="007C555B"/>
    <w:rsid w:val="007C5C3E"/>
    <w:rsid w:val="007D4A97"/>
    <w:rsid w:val="007D6232"/>
    <w:rsid w:val="007E057F"/>
    <w:rsid w:val="007E47DD"/>
    <w:rsid w:val="007F1F99"/>
    <w:rsid w:val="007F768F"/>
    <w:rsid w:val="0080170B"/>
    <w:rsid w:val="0080791D"/>
    <w:rsid w:val="00816CC7"/>
    <w:rsid w:val="00821197"/>
    <w:rsid w:val="008219A7"/>
    <w:rsid w:val="00822F3A"/>
    <w:rsid w:val="00825209"/>
    <w:rsid w:val="00835E9C"/>
    <w:rsid w:val="00836367"/>
    <w:rsid w:val="00851A45"/>
    <w:rsid w:val="008563B1"/>
    <w:rsid w:val="00872B56"/>
    <w:rsid w:val="00873603"/>
    <w:rsid w:val="00875947"/>
    <w:rsid w:val="00886FA0"/>
    <w:rsid w:val="008916A9"/>
    <w:rsid w:val="00897E66"/>
    <w:rsid w:val="008A04C7"/>
    <w:rsid w:val="008A1C9B"/>
    <w:rsid w:val="008A2C7D"/>
    <w:rsid w:val="008A56E3"/>
    <w:rsid w:val="008B25BF"/>
    <w:rsid w:val="008C4B23"/>
    <w:rsid w:val="008C5DFE"/>
    <w:rsid w:val="008D235A"/>
    <w:rsid w:val="008D5493"/>
    <w:rsid w:val="008E2B05"/>
    <w:rsid w:val="008E59ED"/>
    <w:rsid w:val="008F0A6C"/>
    <w:rsid w:val="008F6E2C"/>
    <w:rsid w:val="009007B2"/>
    <w:rsid w:val="0090609E"/>
    <w:rsid w:val="00911D93"/>
    <w:rsid w:val="009159B2"/>
    <w:rsid w:val="009250DF"/>
    <w:rsid w:val="0092588B"/>
    <w:rsid w:val="00926877"/>
    <w:rsid w:val="009303D9"/>
    <w:rsid w:val="00933C64"/>
    <w:rsid w:val="009341D1"/>
    <w:rsid w:val="009536F4"/>
    <w:rsid w:val="00970E8A"/>
    <w:rsid w:val="00972203"/>
    <w:rsid w:val="0098080C"/>
    <w:rsid w:val="00984081"/>
    <w:rsid w:val="0098650D"/>
    <w:rsid w:val="009900B3"/>
    <w:rsid w:val="00994ECD"/>
    <w:rsid w:val="00996561"/>
    <w:rsid w:val="009A47FD"/>
    <w:rsid w:val="009A529D"/>
    <w:rsid w:val="009B2497"/>
    <w:rsid w:val="009B6EB6"/>
    <w:rsid w:val="009C0A71"/>
    <w:rsid w:val="009C32AB"/>
    <w:rsid w:val="009D7B73"/>
    <w:rsid w:val="009E0F0D"/>
    <w:rsid w:val="009E1A7D"/>
    <w:rsid w:val="009E6313"/>
    <w:rsid w:val="009F1D79"/>
    <w:rsid w:val="009F1DD0"/>
    <w:rsid w:val="009F2FF8"/>
    <w:rsid w:val="00A00070"/>
    <w:rsid w:val="00A059B3"/>
    <w:rsid w:val="00A0646C"/>
    <w:rsid w:val="00A13BF7"/>
    <w:rsid w:val="00A228D9"/>
    <w:rsid w:val="00A24463"/>
    <w:rsid w:val="00A260E1"/>
    <w:rsid w:val="00A30568"/>
    <w:rsid w:val="00A40D22"/>
    <w:rsid w:val="00A45A20"/>
    <w:rsid w:val="00A45E06"/>
    <w:rsid w:val="00A467CB"/>
    <w:rsid w:val="00A50724"/>
    <w:rsid w:val="00A5330D"/>
    <w:rsid w:val="00A81602"/>
    <w:rsid w:val="00A85820"/>
    <w:rsid w:val="00A85C59"/>
    <w:rsid w:val="00A92DCE"/>
    <w:rsid w:val="00A97332"/>
    <w:rsid w:val="00AA2D8A"/>
    <w:rsid w:val="00AA516F"/>
    <w:rsid w:val="00AA5818"/>
    <w:rsid w:val="00AB3949"/>
    <w:rsid w:val="00AB4AF1"/>
    <w:rsid w:val="00AC761E"/>
    <w:rsid w:val="00AD2907"/>
    <w:rsid w:val="00AE3409"/>
    <w:rsid w:val="00B003A3"/>
    <w:rsid w:val="00B00729"/>
    <w:rsid w:val="00B03BAC"/>
    <w:rsid w:val="00B11A60"/>
    <w:rsid w:val="00B12A61"/>
    <w:rsid w:val="00B12E1E"/>
    <w:rsid w:val="00B22613"/>
    <w:rsid w:val="00B332C4"/>
    <w:rsid w:val="00B34BA7"/>
    <w:rsid w:val="00B36650"/>
    <w:rsid w:val="00B41E00"/>
    <w:rsid w:val="00B4505D"/>
    <w:rsid w:val="00B46020"/>
    <w:rsid w:val="00B60E65"/>
    <w:rsid w:val="00B71F4B"/>
    <w:rsid w:val="00B7299E"/>
    <w:rsid w:val="00B768D1"/>
    <w:rsid w:val="00B82759"/>
    <w:rsid w:val="00B925E0"/>
    <w:rsid w:val="00B94170"/>
    <w:rsid w:val="00BA1025"/>
    <w:rsid w:val="00BA2701"/>
    <w:rsid w:val="00BC3420"/>
    <w:rsid w:val="00BD451D"/>
    <w:rsid w:val="00BD670B"/>
    <w:rsid w:val="00BE2ED8"/>
    <w:rsid w:val="00BE7D3C"/>
    <w:rsid w:val="00BF5FF6"/>
    <w:rsid w:val="00C0207F"/>
    <w:rsid w:val="00C04A0A"/>
    <w:rsid w:val="00C12894"/>
    <w:rsid w:val="00C16117"/>
    <w:rsid w:val="00C23C28"/>
    <w:rsid w:val="00C3075A"/>
    <w:rsid w:val="00C30B36"/>
    <w:rsid w:val="00C337DD"/>
    <w:rsid w:val="00C40B45"/>
    <w:rsid w:val="00C41933"/>
    <w:rsid w:val="00C42E9B"/>
    <w:rsid w:val="00C44A22"/>
    <w:rsid w:val="00C458FF"/>
    <w:rsid w:val="00C637E9"/>
    <w:rsid w:val="00C64ADA"/>
    <w:rsid w:val="00C756E9"/>
    <w:rsid w:val="00C803ED"/>
    <w:rsid w:val="00C83344"/>
    <w:rsid w:val="00C90107"/>
    <w:rsid w:val="00C919A4"/>
    <w:rsid w:val="00C977AD"/>
    <w:rsid w:val="00C97CA8"/>
    <w:rsid w:val="00CA4392"/>
    <w:rsid w:val="00CA7530"/>
    <w:rsid w:val="00CB2CEB"/>
    <w:rsid w:val="00CC0648"/>
    <w:rsid w:val="00CC393F"/>
    <w:rsid w:val="00CC4C44"/>
    <w:rsid w:val="00CC6AF6"/>
    <w:rsid w:val="00CD4E3F"/>
    <w:rsid w:val="00CE1649"/>
    <w:rsid w:val="00CE3185"/>
    <w:rsid w:val="00CE5F1F"/>
    <w:rsid w:val="00CF2232"/>
    <w:rsid w:val="00CF7A56"/>
    <w:rsid w:val="00D0131A"/>
    <w:rsid w:val="00D04D11"/>
    <w:rsid w:val="00D04F64"/>
    <w:rsid w:val="00D17585"/>
    <w:rsid w:val="00D2176E"/>
    <w:rsid w:val="00D21968"/>
    <w:rsid w:val="00D26072"/>
    <w:rsid w:val="00D35B40"/>
    <w:rsid w:val="00D43763"/>
    <w:rsid w:val="00D44C39"/>
    <w:rsid w:val="00D45928"/>
    <w:rsid w:val="00D501BF"/>
    <w:rsid w:val="00D52FBA"/>
    <w:rsid w:val="00D5678B"/>
    <w:rsid w:val="00D632BE"/>
    <w:rsid w:val="00D72D06"/>
    <w:rsid w:val="00D7522C"/>
    <w:rsid w:val="00D7536F"/>
    <w:rsid w:val="00D7659E"/>
    <w:rsid w:val="00D76668"/>
    <w:rsid w:val="00D93953"/>
    <w:rsid w:val="00D94592"/>
    <w:rsid w:val="00DA0844"/>
    <w:rsid w:val="00DA1172"/>
    <w:rsid w:val="00DB3A1A"/>
    <w:rsid w:val="00DB6BF9"/>
    <w:rsid w:val="00DC0C9D"/>
    <w:rsid w:val="00DC0CA7"/>
    <w:rsid w:val="00DC387B"/>
    <w:rsid w:val="00DC6E70"/>
    <w:rsid w:val="00DD18F5"/>
    <w:rsid w:val="00DD7A3D"/>
    <w:rsid w:val="00DE4EB4"/>
    <w:rsid w:val="00DE4EFE"/>
    <w:rsid w:val="00DE697A"/>
    <w:rsid w:val="00E02FE5"/>
    <w:rsid w:val="00E05DE6"/>
    <w:rsid w:val="00E07383"/>
    <w:rsid w:val="00E07D82"/>
    <w:rsid w:val="00E165BC"/>
    <w:rsid w:val="00E21219"/>
    <w:rsid w:val="00E278D4"/>
    <w:rsid w:val="00E329E5"/>
    <w:rsid w:val="00E423BC"/>
    <w:rsid w:val="00E437A0"/>
    <w:rsid w:val="00E44047"/>
    <w:rsid w:val="00E47AA5"/>
    <w:rsid w:val="00E61E12"/>
    <w:rsid w:val="00E6428D"/>
    <w:rsid w:val="00E652B7"/>
    <w:rsid w:val="00E70A1C"/>
    <w:rsid w:val="00E7147A"/>
    <w:rsid w:val="00E71DBF"/>
    <w:rsid w:val="00E753D4"/>
    <w:rsid w:val="00E7596C"/>
    <w:rsid w:val="00E76C99"/>
    <w:rsid w:val="00E87876"/>
    <w:rsid w:val="00E878F2"/>
    <w:rsid w:val="00E87E96"/>
    <w:rsid w:val="00E97D37"/>
    <w:rsid w:val="00EA1DDD"/>
    <w:rsid w:val="00EA6A48"/>
    <w:rsid w:val="00EC13D6"/>
    <w:rsid w:val="00EC3291"/>
    <w:rsid w:val="00EC3C2E"/>
    <w:rsid w:val="00EC56CA"/>
    <w:rsid w:val="00ED0149"/>
    <w:rsid w:val="00ED6939"/>
    <w:rsid w:val="00EE5D42"/>
    <w:rsid w:val="00EF54C2"/>
    <w:rsid w:val="00EF7DE3"/>
    <w:rsid w:val="00F020F4"/>
    <w:rsid w:val="00F03103"/>
    <w:rsid w:val="00F12A5D"/>
    <w:rsid w:val="00F161BF"/>
    <w:rsid w:val="00F271DE"/>
    <w:rsid w:val="00F33F38"/>
    <w:rsid w:val="00F45AAE"/>
    <w:rsid w:val="00F45B10"/>
    <w:rsid w:val="00F4741D"/>
    <w:rsid w:val="00F5661F"/>
    <w:rsid w:val="00F627DA"/>
    <w:rsid w:val="00F72571"/>
    <w:rsid w:val="00F7288F"/>
    <w:rsid w:val="00F7344A"/>
    <w:rsid w:val="00F76443"/>
    <w:rsid w:val="00F80018"/>
    <w:rsid w:val="00F8112D"/>
    <w:rsid w:val="00F847A6"/>
    <w:rsid w:val="00F9441B"/>
    <w:rsid w:val="00FA07FC"/>
    <w:rsid w:val="00FA4C32"/>
    <w:rsid w:val="00FB1759"/>
    <w:rsid w:val="00FB20C3"/>
    <w:rsid w:val="00FD58CA"/>
    <w:rsid w:val="00FD6C54"/>
    <w:rsid w:val="00FE7114"/>
    <w:rsid w:val="00FF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5338F"/>
  <w15:chartTrackingRefBased/>
  <w15:docId w15:val="{08C27549-B9DC-430C-AF06-0E5BCF9C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B5D"/>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0B4020"/>
    <w:rPr>
      <w:smallCaps/>
      <w:noProof/>
    </w:rPr>
  </w:style>
  <w:style w:type="paragraph" w:styleId="Bibliography">
    <w:name w:val="Bibliography"/>
    <w:basedOn w:val="Normal"/>
    <w:next w:val="Normal"/>
    <w:uiPriority w:val="37"/>
    <w:unhideWhenUsed/>
    <w:rsid w:val="000B4020"/>
  </w:style>
  <w:style w:type="character" w:customStyle="1" w:styleId="Heading5Char">
    <w:name w:val="Heading 5 Char"/>
    <w:link w:val="Heading5"/>
    <w:rsid w:val="00EC3291"/>
    <w:rPr>
      <w:smallCaps/>
      <w:noProof/>
    </w:rPr>
  </w:style>
  <w:style w:type="character" w:customStyle="1" w:styleId="Heading2Char">
    <w:name w:val="Heading 2 Char"/>
    <w:link w:val="Heading2"/>
    <w:rsid w:val="002665FE"/>
    <w:rPr>
      <w:i/>
      <w:iCs/>
      <w:noProof/>
    </w:rPr>
  </w:style>
  <w:style w:type="character" w:customStyle="1" w:styleId="Heading3Char">
    <w:name w:val="Heading 3 Char"/>
    <w:link w:val="Heading3"/>
    <w:rsid w:val="002665FE"/>
    <w:rPr>
      <w:i/>
      <w:iCs/>
      <w:noProof/>
    </w:rPr>
  </w:style>
  <w:style w:type="character" w:customStyle="1" w:styleId="Heading4Char">
    <w:name w:val="Heading 4 Char"/>
    <w:link w:val="Heading4"/>
    <w:rsid w:val="002665FE"/>
    <w:rPr>
      <w:i/>
      <w:iCs/>
      <w:noProof/>
    </w:rPr>
  </w:style>
  <w:style w:type="character" w:styleId="CommentReference">
    <w:name w:val="annotation reference"/>
    <w:basedOn w:val="DefaultParagraphFont"/>
    <w:rsid w:val="0006784C"/>
    <w:rPr>
      <w:sz w:val="16"/>
      <w:szCs w:val="16"/>
    </w:rPr>
  </w:style>
  <w:style w:type="paragraph" w:styleId="CommentText">
    <w:name w:val="annotation text"/>
    <w:basedOn w:val="Normal"/>
    <w:link w:val="CommentTextChar"/>
    <w:rsid w:val="0006784C"/>
  </w:style>
  <w:style w:type="character" w:customStyle="1" w:styleId="CommentTextChar">
    <w:name w:val="Comment Text Char"/>
    <w:basedOn w:val="DefaultParagraphFont"/>
    <w:link w:val="CommentText"/>
    <w:rsid w:val="0006784C"/>
  </w:style>
  <w:style w:type="paragraph" w:styleId="CommentSubject">
    <w:name w:val="annotation subject"/>
    <w:basedOn w:val="CommentText"/>
    <w:next w:val="CommentText"/>
    <w:link w:val="CommentSubjectChar"/>
    <w:rsid w:val="0006784C"/>
    <w:rPr>
      <w:b/>
      <w:bCs/>
    </w:rPr>
  </w:style>
  <w:style w:type="character" w:customStyle="1" w:styleId="CommentSubjectChar">
    <w:name w:val="Comment Subject Char"/>
    <w:basedOn w:val="CommentTextChar"/>
    <w:link w:val="CommentSubject"/>
    <w:rsid w:val="0006784C"/>
    <w:rPr>
      <w:b/>
      <w:bCs/>
    </w:rPr>
  </w:style>
  <w:style w:type="paragraph" w:styleId="BlockText">
    <w:name w:val="Block Text"/>
    <w:basedOn w:val="Normal"/>
    <w:rsid w:val="001B3A4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B3A4C"/>
    <w:pPr>
      <w:spacing w:after="120" w:line="480" w:lineRule="auto"/>
    </w:pPr>
  </w:style>
  <w:style w:type="character" w:customStyle="1" w:styleId="BodyText2Char">
    <w:name w:val="Body Text 2 Char"/>
    <w:basedOn w:val="DefaultParagraphFont"/>
    <w:link w:val="BodyText2"/>
    <w:rsid w:val="001B3A4C"/>
  </w:style>
  <w:style w:type="paragraph" w:styleId="BodyText3">
    <w:name w:val="Body Text 3"/>
    <w:basedOn w:val="Normal"/>
    <w:link w:val="BodyText3Char"/>
    <w:rsid w:val="001B3A4C"/>
    <w:pPr>
      <w:spacing w:after="120"/>
    </w:pPr>
    <w:rPr>
      <w:sz w:val="16"/>
      <w:szCs w:val="16"/>
    </w:rPr>
  </w:style>
  <w:style w:type="character" w:customStyle="1" w:styleId="BodyText3Char">
    <w:name w:val="Body Text 3 Char"/>
    <w:basedOn w:val="DefaultParagraphFont"/>
    <w:link w:val="BodyText3"/>
    <w:rsid w:val="001B3A4C"/>
    <w:rPr>
      <w:sz w:val="16"/>
      <w:szCs w:val="16"/>
    </w:rPr>
  </w:style>
  <w:style w:type="character" w:styleId="PlaceholderText">
    <w:name w:val="Placeholder Text"/>
    <w:basedOn w:val="DefaultParagraphFont"/>
    <w:uiPriority w:val="99"/>
    <w:semiHidden/>
    <w:rsid w:val="008A56E3"/>
    <w:rPr>
      <w:color w:val="808080"/>
    </w:rPr>
  </w:style>
  <w:style w:type="paragraph" w:styleId="Caption">
    <w:name w:val="caption"/>
    <w:basedOn w:val="Normal"/>
    <w:next w:val="Normal"/>
    <w:unhideWhenUsed/>
    <w:qFormat/>
    <w:rsid w:val="00634EC1"/>
    <w:pPr>
      <w:spacing w:after="200"/>
    </w:pPr>
    <w:rPr>
      <w:i/>
      <w:iCs/>
      <w:color w:val="44546A" w:themeColor="text2"/>
      <w:sz w:val="18"/>
      <w:szCs w:val="18"/>
    </w:rPr>
  </w:style>
  <w:style w:type="table" w:styleId="TableGrid">
    <w:name w:val="Table Grid"/>
    <w:basedOn w:val="TableNormal"/>
    <w:rsid w:val="0081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23">
      <w:bodyDiv w:val="1"/>
      <w:marLeft w:val="0"/>
      <w:marRight w:val="0"/>
      <w:marTop w:val="0"/>
      <w:marBottom w:val="0"/>
      <w:divBdr>
        <w:top w:val="none" w:sz="0" w:space="0" w:color="auto"/>
        <w:left w:val="none" w:sz="0" w:space="0" w:color="auto"/>
        <w:bottom w:val="none" w:sz="0" w:space="0" w:color="auto"/>
        <w:right w:val="none" w:sz="0" w:space="0" w:color="auto"/>
      </w:divBdr>
    </w:div>
    <w:div w:id="24183443">
      <w:bodyDiv w:val="1"/>
      <w:marLeft w:val="0"/>
      <w:marRight w:val="0"/>
      <w:marTop w:val="0"/>
      <w:marBottom w:val="0"/>
      <w:divBdr>
        <w:top w:val="none" w:sz="0" w:space="0" w:color="auto"/>
        <w:left w:val="none" w:sz="0" w:space="0" w:color="auto"/>
        <w:bottom w:val="none" w:sz="0" w:space="0" w:color="auto"/>
        <w:right w:val="none" w:sz="0" w:space="0" w:color="auto"/>
      </w:divBdr>
    </w:div>
    <w:div w:id="76876211">
      <w:bodyDiv w:val="1"/>
      <w:marLeft w:val="0"/>
      <w:marRight w:val="0"/>
      <w:marTop w:val="0"/>
      <w:marBottom w:val="0"/>
      <w:divBdr>
        <w:top w:val="none" w:sz="0" w:space="0" w:color="auto"/>
        <w:left w:val="none" w:sz="0" w:space="0" w:color="auto"/>
        <w:bottom w:val="none" w:sz="0" w:space="0" w:color="auto"/>
        <w:right w:val="none" w:sz="0" w:space="0" w:color="auto"/>
      </w:divBdr>
    </w:div>
    <w:div w:id="123621053">
      <w:bodyDiv w:val="1"/>
      <w:marLeft w:val="0"/>
      <w:marRight w:val="0"/>
      <w:marTop w:val="0"/>
      <w:marBottom w:val="0"/>
      <w:divBdr>
        <w:top w:val="none" w:sz="0" w:space="0" w:color="auto"/>
        <w:left w:val="none" w:sz="0" w:space="0" w:color="auto"/>
        <w:bottom w:val="none" w:sz="0" w:space="0" w:color="auto"/>
        <w:right w:val="none" w:sz="0" w:space="0" w:color="auto"/>
      </w:divBdr>
    </w:div>
    <w:div w:id="139735059">
      <w:bodyDiv w:val="1"/>
      <w:marLeft w:val="0"/>
      <w:marRight w:val="0"/>
      <w:marTop w:val="0"/>
      <w:marBottom w:val="0"/>
      <w:divBdr>
        <w:top w:val="none" w:sz="0" w:space="0" w:color="auto"/>
        <w:left w:val="none" w:sz="0" w:space="0" w:color="auto"/>
        <w:bottom w:val="none" w:sz="0" w:space="0" w:color="auto"/>
        <w:right w:val="none" w:sz="0" w:space="0" w:color="auto"/>
      </w:divBdr>
    </w:div>
    <w:div w:id="165095396">
      <w:bodyDiv w:val="1"/>
      <w:marLeft w:val="0"/>
      <w:marRight w:val="0"/>
      <w:marTop w:val="0"/>
      <w:marBottom w:val="0"/>
      <w:divBdr>
        <w:top w:val="none" w:sz="0" w:space="0" w:color="auto"/>
        <w:left w:val="none" w:sz="0" w:space="0" w:color="auto"/>
        <w:bottom w:val="none" w:sz="0" w:space="0" w:color="auto"/>
        <w:right w:val="none" w:sz="0" w:space="0" w:color="auto"/>
      </w:divBdr>
    </w:div>
    <w:div w:id="202449226">
      <w:bodyDiv w:val="1"/>
      <w:marLeft w:val="0"/>
      <w:marRight w:val="0"/>
      <w:marTop w:val="0"/>
      <w:marBottom w:val="0"/>
      <w:divBdr>
        <w:top w:val="none" w:sz="0" w:space="0" w:color="auto"/>
        <w:left w:val="none" w:sz="0" w:space="0" w:color="auto"/>
        <w:bottom w:val="none" w:sz="0" w:space="0" w:color="auto"/>
        <w:right w:val="none" w:sz="0" w:space="0" w:color="auto"/>
      </w:divBdr>
    </w:div>
    <w:div w:id="249654719">
      <w:bodyDiv w:val="1"/>
      <w:marLeft w:val="0"/>
      <w:marRight w:val="0"/>
      <w:marTop w:val="0"/>
      <w:marBottom w:val="0"/>
      <w:divBdr>
        <w:top w:val="none" w:sz="0" w:space="0" w:color="auto"/>
        <w:left w:val="none" w:sz="0" w:space="0" w:color="auto"/>
        <w:bottom w:val="none" w:sz="0" w:space="0" w:color="auto"/>
        <w:right w:val="none" w:sz="0" w:space="0" w:color="auto"/>
      </w:divBdr>
    </w:div>
    <w:div w:id="263611421">
      <w:bodyDiv w:val="1"/>
      <w:marLeft w:val="0"/>
      <w:marRight w:val="0"/>
      <w:marTop w:val="0"/>
      <w:marBottom w:val="0"/>
      <w:divBdr>
        <w:top w:val="none" w:sz="0" w:space="0" w:color="auto"/>
        <w:left w:val="none" w:sz="0" w:space="0" w:color="auto"/>
        <w:bottom w:val="none" w:sz="0" w:space="0" w:color="auto"/>
        <w:right w:val="none" w:sz="0" w:space="0" w:color="auto"/>
      </w:divBdr>
    </w:div>
    <w:div w:id="264189592">
      <w:bodyDiv w:val="1"/>
      <w:marLeft w:val="0"/>
      <w:marRight w:val="0"/>
      <w:marTop w:val="0"/>
      <w:marBottom w:val="0"/>
      <w:divBdr>
        <w:top w:val="none" w:sz="0" w:space="0" w:color="auto"/>
        <w:left w:val="none" w:sz="0" w:space="0" w:color="auto"/>
        <w:bottom w:val="none" w:sz="0" w:space="0" w:color="auto"/>
        <w:right w:val="none" w:sz="0" w:space="0" w:color="auto"/>
      </w:divBdr>
    </w:div>
    <w:div w:id="286283767">
      <w:bodyDiv w:val="1"/>
      <w:marLeft w:val="0"/>
      <w:marRight w:val="0"/>
      <w:marTop w:val="0"/>
      <w:marBottom w:val="0"/>
      <w:divBdr>
        <w:top w:val="none" w:sz="0" w:space="0" w:color="auto"/>
        <w:left w:val="none" w:sz="0" w:space="0" w:color="auto"/>
        <w:bottom w:val="none" w:sz="0" w:space="0" w:color="auto"/>
        <w:right w:val="none" w:sz="0" w:space="0" w:color="auto"/>
      </w:divBdr>
    </w:div>
    <w:div w:id="299045104">
      <w:bodyDiv w:val="1"/>
      <w:marLeft w:val="0"/>
      <w:marRight w:val="0"/>
      <w:marTop w:val="0"/>
      <w:marBottom w:val="0"/>
      <w:divBdr>
        <w:top w:val="none" w:sz="0" w:space="0" w:color="auto"/>
        <w:left w:val="none" w:sz="0" w:space="0" w:color="auto"/>
        <w:bottom w:val="none" w:sz="0" w:space="0" w:color="auto"/>
        <w:right w:val="none" w:sz="0" w:space="0" w:color="auto"/>
      </w:divBdr>
    </w:div>
    <w:div w:id="332030404">
      <w:bodyDiv w:val="1"/>
      <w:marLeft w:val="0"/>
      <w:marRight w:val="0"/>
      <w:marTop w:val="0"/>
      <w:marBottom w:val="0"/>
      <w:divBdr>
        <w:top w:val="none" w:sz="0" w:space="0" w:color="auto"/>
        <w:left w:val="none" w:sz="0" w:space="0" w:color="auto"/>
        <w:bottom w:val="none" w:sz="0" w:space="0" w:color="auto"/>
        <w:right w:val="none" w:sz="0" w:space="0" w:color="auto"/>
      </w:divBdr>
    </w:div>
    <w:div w:id="345136080">
      <w:bodyDiv w:val="1"/>
      <w:marLeft w:val="0"/>
      <w:marRight w:val="0"/>
      <w:marTop w:val="0"/>
      <w:marBottom w:val="0"/>
      <w:divBdr>
        <w:top w:val="none" w:sz="0" w:space="0" w:color="auto"/>
        <w:left w:val="none" w:sz="0" w:space="0" w:color="auto"/>
        <w:bottom w:val="none" w:sz="0" w:space="0" w:color="auto"/>
        <w:right w:val="none" w:sz="0" w:space="0" w:color="auto"/>
      </w:divBdr>
    </w:div>
    <w:div w:id="345911148">
      <w:bodyDiv w:val="1"/>
      <w:marLeft w:val="0"/>
      <w:marRight w:val="0"/>
      <w:marTop w:val="0"/>
      <w:marBottom w:val="0"/>
      <w:divBdr>
        <w:top w:val="none" w:sz="0" w:space="0" w:color="auto"/>
        <w:left w:val="none" w:sz="0" w:space="0" w:color="auto"/>
        <w:bottom w:val="none" w:sz="0" w:space="0" w:color="auto"/>
        <w:right w:val="none" w:sz="0" w:space="0" w:color="auto"/>
      </w:divBdr>
    </w:div>
    <w:div w:id="382409939">
      <w:bodyDiv w:val="1"/>
      <w:marLeft w:val="0"/>
      <w:marRight w:val="0"/>
      <w:marTop w:val="0"/>
      <w:marBottom w:val="0"/>
      <w:divBdr>
        <w:top w:val="none" w:sz="0" w:space="0" w:color="auto"/>
        <w:left w:val="none" w:sz="0" w:space="0" w:color="auto"/>
        <w:bottom w:val="none" w:sz="0" w:space="0" w:color="auto"/>
        <w:right w:val="none" w:sz="0" w:space="0" w:color="auto"/>
      </w:divBdr>
    </w:div>
    <w:div w:id="392001469">
      <w:bodyDiv w:val="1"/>
      <w:marLeft w:val="0"/>
      <w:marRight w:val="0"/>
      <w:marTop w:val="0"/>
      <w:marBottom w:val="0"/>
      <w:divBdr>
        <w:top w:val="none" w:sz="0" w:space="0" w:color="auto"/>
        <w:left w:val="none" w:sz="0" w:space="0" w:color="auto"/>
        <w:bottom w:val="none" w:sz="0" w:space="0" w:color="auto"/>
        <w:right w:val="none" w:sz="0" w:space="0" w:color="auto"/>
      </w:divBdr>
    </w:div>
    <w:div w:id="411439075">
      <w:bodyDiv w:val="1"/>
      <w:marLeft w:val="0"/>
      <w:marRight w:val="0"/>
      <w:marTop w:val="0"/>
      <w:marBottom w:val="0"/>
      <w:divBdr>
        <w:top w:val="none" w:sz="0" w:space="0" w:color="auto"/>
        <w:left w:val="none" w:sz="0" w:space="0" w:color="auto"/>
        <w:bottom w:val="none" w:sz="0" w:space="0" w:color="auto"/>
        <w:right w:val="none" w:sz="0" w:space="0" w:color="auto"/>
      </w:divBdr>
    </w:div>
    <w:div w:id="446117750">
      <w:bodyDiv w:val="1"/>
      <w:marLeft w:val="0"/>
      <w:marRight w:val="0"/>
      <w:marTop w:val="0"/>
      <w:marBottom w:val="0"/>
      <w:divBdr>
        <w:top w:val="none" w:sz="0" w:space="0" w:color="auto"/>
        <w:left w:val="none" w:sz="0" w:space="0" w:color="auto"/>
        <w:bottom w:val="none" w:sz="0" w:space="0" w:color="auto"/>
        <w:right w:val="none" w:sz="0" w:space="0" w:color="auto"/>
      </w:divBdr>
    </w:div>
    <w:div w:id="470758699">
      <w:bodyDiv w:val="1"/>
      <w:marLeft w:val="0"/>
      <w:marRight w:val="0"/>
      <w:marTop w:val="0"/>
      <w:marBottom w:val="0"/>
      <w:divBdr>
        <w:top w:val="none" w:sz="0" w:space="0" w:color="auto"/>
        <w:left w:val="none" w:sz="0" w:space="0" w:color="auto"/>
        <w:bottom w:val="none" w:sz="0" w:space="0" w:color="auto"/>
        <w:right w:val="none" w:sz="0" w:space="0" w:color="auto"/>
      </w:divBdr>
    </w:div>
    <w:div w:id="493449135">
      <w:bodyDiv w:val="1"/>
      <w:marLeft w:val="0"/>
      <w:marRight w:val="0"/>
      <w:marTop w:val="0"/>
      <w:marBottom w:val="0"/>
      <w:divBdr>
        <w:top w:val="none" w:sz="0" w:space="0" w:color="auto"/>
        <w:left w:val="none" w:sz="0" w:space="0" w:color="auto"/>
        <w:bottom w:val="none" w:sz="0" w:space="0" w:color="auto"/>
        <w:right w:val="none" w:sz="0" w:space="0" w:color="auto"/>
      </w:divBdr>
    </w:div>
    <w:div w:id="495849511">
      <w:bodyDiv w:val="1"/>
      <w:marLeft w:val="0"/>
      <w:marRight w:val="0"/>
      <w:marTop w:val="0"/>
      <w:marBottom w:val="0"/>
      <w:divBdr>
        <w:top w:val="none" w:sz="0" w:space="0" w:color="auto"/>
        <w:left w:val="none" w:sz="0" w:space="0" w:color="auto"/>
        <w:bottom w:val="none" w:sz="0" w:space="0" w:color="auto"/>
        <w:right w:val="none" w:sz="0" w:space="0" w:color="auto"/>
      </w:divBdr>
    </w:div>
    <w:div w:id="576595916">
      <w:bodyDiv w:val="1"/>
      <w:marLeft w:val="0"/>
      <w:marRight w:val="0"/>
      <w:marTop w:val="0"/>
      <w:marBottom w:val="0"/>
      <w:divBdr>
        <w:top w:val="none" w:sz="0" w:space="0" w:color="auto"/>
        <w:left w:val="none" w:sz="0" w:space="0" w:color="auto"/>
        <w:bottom w:val="none" w:sz="0" w:space="0" w:color="auto"/>
        <w:right w:val="none" w:sz="0" w:space="0" w:color="auto"/>
      </w:divBdr>
    </w:div>
    <w:div w:id="584918134">
      <w:bodyDiv w:val="1"/>
      <w:marLeft w:val="0"/>
      <w:marRight w:val="0"/>
      <w:marTop w:val="0"/>
      <w:marBottom w:val="0"/>
      <w:divBdr>
        <w:top w:val="none" w:sz="0" w:space="0" w:color="auto"/>
        <w:left w:val="none" w:sz="0" w:space="0" w:color="auto"/>
        <w:bottom w:val="none" w:sz="0" w:space="0" w:color="auto"/>
        <w:right w:val="none" w:sz="0" w:space="0" w:color="auto"/>
      </w:divBdr>
    </w:div>
    <w:div w:id="601452924">
      <w:bodyDiv w:val="1"/>
      <w:marLeft w:val="0"/>
      <w:marRight w:val="0"/>
      <w:marTop w:val="0"/>
      <w:marBottom w:val="0"/>
      <w:divBdr>
        <w:top w:val="none" w:sz="0" w:space="0" w:color="auto"/>
        <w:left w:val="none" w:sz="0" w:space="0" w:color="auto"/>
        <w:bottom w:val="none" w:sz="0" w:space="0" w:color="auto"/>
        <w:right w:val="none" w:sz="0" w:space="0" w:color="auto"/>
      </w:divBdr>
    </w:div>
    <w:div w:id="652411789">
      <w:bodyDiv w:val="1"/>
      <w:marLeft w:val="0"/>
      <w:marRight w:val="0"/>
      <w:marTop w:val="0"/>
      <w:marBottom w:val="0"/>
      <w:divBdr>
        <w:top w:val="none" w:sz="0" w:space="0" w:color="auto"/>
        <w:left w:val="none" w:sz="0" w:space="0" w:color="auto"/>
        <w:bottom w:val="none" w:sz="0" w:space="0" w:color="auto"/>
        <w:right w:val="none" w:sz="0" w:space="0" w:color="auto"/>
      </w:divBdr>
    </w:div>
    <w:div w:id="676274500">
      <w:bodyDiv w:val="1"/>
      <w:marLeft w:val="0"/>
      <w:marRight w:val="0"/>
      <w:marTop w:val="0"/>
      <w:marBottom w:val="0"/>
      <w:divBdr>
        <w:top w:val="none" w:sz="0" w:space="0" w:color="auto"/>
        <w:left w:val="none" w:sz="0" w:space="0" w:color="auto"/>
        <w:bottom w:val="none" w:sz="0" w:space="0" w:color="auto"/>
        <w:right w:val="none" w:sz="0" w:space="0" w:color="auto"/>
      </w:divBdr>
    </w:div>
    <w:div w:id="684986514">
      <w:bodyDiv w:val="1"/>
      <w:marLeft w:val="0"/>
      <w:marRight w:val="0"/>
      <w:marTop w:val="0"/>
      <w:marBottom w:val="0"/>
      <w:divBdr>
        <w:top w:val="none" w:sz="0" w:space="0" w:color="auto"/>
        <w:left w:val="none" w:sz="0" w:space="0" w:color="auto"/>
        <w:bottom w:val="none" w:sz="0" w:space="0" w:color="auto"/>
        <w:right w:val="none" w:sz="0" w:space="0" w:color="auto"/>
      </w:divBdr>
    </w:div>
    <w:div w:id="698359150">
      <w:bodyDiv w:val="1"/>
      <w:marLeft w:val="0"/>
      <w:marRight w:val="0"/>
      <w:marTop w:val="0"/>
      <w:marBottom w:val="0"/>
      <w:divBdr>
        <w:top w:val="none" w:sz="0" w:space="0" w:color="auto"/>
        <w:left w:val="none" w:sz="0" w:space="0" w:color="auto"/>
        <w:bottom w:val="none" w:sz="0" w:space="0" w:color="auto"/>
        <w:right w:val="none" w:sz="0" w:space="0" w:color="auto"/>
      </w:divBdr>
    </w:div>
    <w:div w:id="725179351">
      <w:bodyDiv w:val="1"/>
      <w:marLeft w:val="0"/>
      <w:marRight w:val="0"/>
      <w:marTop w:val="0"/>
      <w:marBottom w:val="0"/>
      <w:divBdr>
        <w:top w:val="none" w:sz="0" w:space="0" w:color="auto"/>
        <w:left w:val="none" w:sz="0" w:space="0" w:color="auto"/>
        <w:bottom w:val="none" w:sz="0" w:space="0" w:color="auto"/>
        <w:right w:val="none" w:sz="0" w:space="0" w:color="auto"/>
      </w:divBdr>
    </w:div>
    <w:div w:id="758908327">
      <w:bodyDiv w:val="1"/>
      <w:marLeft w:val="0"/>
      <w:marRight w:val="0"/>
      <w:marTop w:val="0"/>
      <w:marBottom w:val="0"/>
      <w:divBdr>
        <w:top w:val="none" w:sz="0" w:space="0" w:color="auto"/>
        <w:left w:val="none" w:sz="0" w:space="0" w:color="auto"/>
        <w:bottom w:val="none" w:sz="0" w:space="0" w:color="auto"/>
        <w:right w:val="none" w:sz="0" w:space="0" w:color="auto"/>
      </w:divBdr>
    </w:div>
    <w:div w:id="788744669">
      <w:bodyDiv w:val="1"/>
      <w:marLeft w:val="0"/>
      <w:marRight w:val="0"/>
      <w:marTop w:val="0"/>
      <w:marBottom w:val="0"/>
      <w:divBdr>
        <w:top w:val="none" w:sz="0" w:space="0" w:color="auto"/>
        <w:left w:val="none" w:sz="0" w:space="0" w:color="auto"/>
        <w:bottom w:val="none" w:sz="0" w:space="0" w:color="auto"/>
        <w:right w:val="none" w:sz="0" w:space="0" w:color="auto"/>
      </w:divBdr>
    </w:div>
    <w:div w:id="800225590">
      <w:bodyDiv w:val="1"/>
      <w:marLeft w:val="0"/>
      <w:marRight w:val="0"/>
      <w:marTop w:val="0"/>
      <w:marBottom w:val="0"/>
      <w:divBdr>
        <w:top w:val="none" w:sz="0" w:space="0" w:color="auto"/>
        <w:left w:val="none" w:sz="0" w:space="0" w:color="auto"/>
        <w:bottom w:val="none" w:sz="0" w:space="0" w:color="auto"/>
        <w:right w:val="none" w:sz="0" w:space="0" w:color="auto"/>
      </w:divBdr>
    </w:div>
    <w:div w:id="857501656">
      <w:bodyDiv w:val="1"/>
      <w:marLeft w:val="0"/>
      <w:marRight w:val="0"/>
      <w:marTop w:val="0"/>
      <w:marBottom w:val="0"/>
      <w:divBdr>
        <w:top w:val="none" w:sz="0" w:space="0" w:color="auto"/>
        <w:left w:val="none" w:sz="0" w:space="0" w:color="auto"/>
        <w:bottom w:val="none" w:sz="0" w:space="0" w:color="auto"/>
        <w:right w:val="none" w:sz="0" w:space="0" w:color="auto"/>
      </w:divBdr>
    </w:div>
    <w:div w:id="858010451">
      <w:bodyDiv w:val="1"/>
      <w:marLeft w:val="0"/>
      <w:marRight w:val="0"/>
      <w:marTop w:val="0"/>
      <w:marBottom w:val="0"/>
      <w:divBdr>
        <w:top w:val="none" w:sz="0" w:space="0" w:color="auto"/>
        <w:left w:val="none" w:sz="0" w:space="0" w:color="auto"/>
        <w:bottom w:val="none" w:sz="0" w:space="0" w:color="auto"/>
        <w:right w:val="none" w:sz="0" w:space="0" w:color="auto"/>
      </w:divBdr>
    </w:div>
    <w:div w:id="859662250">
      <w:bodyDiv w:val="1"/>
      <w:marLeft w:val="0"/>
      <w:marRight w:val="0"/>
      <w:marTop w:val="0"/>
      <w:marBottom w:val="0"/>
      <w:divBdr>
        <w:top w:val="none" w:sz="0" w:space="0" w:color="auto"/>
        <w:left w:val="none" w:sz="0" w:space="0" w:color="auto"/>
        <w:bottom w:val="none" w:sz="0" w:space="0" w:color="auto"/>
        <w:right w:val="none" w:sz="0" w:space="0" w:color="auto"/>
      </w:divBdr>
    </w:div>
    <w:div w:id="891186588">
      <w:bodyDiv w:val="1"/>
      <w:marLeft w:val="0"/>
      <w:marRight w:val="0"/>
      <w:marTop w:val="0"/>
      <w:marBottom w:val="0"/>
      <w:divBdr>
        <w:top w:val="none" w:sz="0" w:space="0" w:color="auto"/>
        <w:left w:val="none" w:sz="0" w:space="0" w:color="auto"/>
        <w:bottom w:val="none" w:sz="0" w:space="0" w:color="auto"/>
        <w:right w:val="none" w:sz="0" w:space="0" w:color="auto"/>
      </w:divBdr>
    </w:div>
    <w:div w:id="895239866">
      <w:bodyDiv w:val="1"/>
      <w:marLeft w:val="0"/>
      <w:marRight w:val="0"/>
      <w:marTop w:val="0"/>
      <w:marBottom w:val="0"/>
      <w:divBdr>
        <w:top w:val="none" w:sz="0" w:space="0" w:color="auto"/>
        <w:left w:val="none" w:sz="0" w:space="0" w:color="auto"/>
        <w:bottom w:val="none" w:sz="0" w:space="0" w:color="auto"/>
        <w:right w:val="none" w:sz="0" w:space="0" w:color="auto"/>
      </w:divBdr>
    </w:div>
    <w:div w:id="912543521">
      <w:bodyDiv w:val="1"/>
      <w:marLeft w:val="0"/>
      <w:marRight w:val="0"/>
      <w:marTop w:val="0"/>
      <w:marBottom w:val="0"/>
      <w:divBdr>
        <w:top w:val="none" w:sz="0" w:space="0" w:color="auto"/>
        <w:left w:val="none" w:sz="0" w:space="0" w:color="auto"/>
        <w:bottom w:val="none" w:sz="0" w:space="0" w:color="auto"/>
        <w:right w:val="none" w:sz="0" w:space="0" w:color="auto"/>
      </w:divBdr>
    </w:div>
    <w:div w:id="923807158">
      <w:bodyDiv w:val="1"/>
      <w:marLeft w:val="0"/>
      <w:marRight w:val="0"/>
      <w:marTop w:val="0"/>
      <w:marBottom w:val="0"/>
      <w:divBdr>
        <w:top w:val="none" w:sz="0" w:space="0" w:color="auto"/>
        <w:left w:val="none" w:sz="0" w:space="0" w:color="auto"/>
        <w:bottom w:val="none" w:sz="0" w:space="0" w:color="auto"/>
        <w:right w:val="none" w:sz="0" w:space="0" w:color="auto"/>
      </w:divBdr>
    </w:div>
    <w:div w:id="952522184">
      <w:bodyDiv w:val="1"/>
      <w:marLeft w:val="0"/>
      <w:marRight w:val="0"/>
      <w:marTop w:val="0"/>
      <w:marBottom w:val="0"/>
      <w:divBdr>
        <w:top w:val="none" w:sz="0" w:space="0" w:color="auto"/>
        <w:left w:val="none" w:sz="0" w:space="0" w:color="auto"/>
        <w:bottom w:val="none" w:sz="0" w:space="0" w:color="auto"/>
        <w:right w:val="none" w:sz="0" w:space="0" w:color="auto"/>
      </w:divBdr>
    </w:div>
    <w:div w:id="955867381">
      <w:bodyDiv w:val="1"/>
      <w:marLeft w:val="0"/>
      <w:marRight w:val="0"/>
      <w:marTop w:val="0"/>
      <w:marBottom w:val="0"/>
      <w:divBdr>
        <w:top w:val="none" w:sz="0" w:space="0" w:color="auto"/>
        <w:left w:val="none" w:sz="0" w:space="0" w:color="auto"/>
        <w:bottom w:val="none" w:sz="0" w:space="0" w:color="auto"/>
        <w:right w:val="none" w:sz="0" w:space="0" w:color="auto"/>
      </w:divBdr>
    </w:div>
    <w:div w:id="975914243">
      <w:bodyDiv w:val="1"/>
      <w:marLeft w:val="0"/>
      <w:marRight w:val="0"/>
      <w:marTop w:val="0"/>
      <w:marBottom w:val="0"/>
      <w:divBdr>
        <w:top w:val="none" w:sz="0" w:space="0" w:color="auto"/>
        <w:left w:val="none" w:sz="0" w:space="0" w:color="auto"/>
        <w:bottom w:val="none" w:sz="0" w:space="0" w:color="auto"/>
        <w:right w:val="none" w:sz="0" w:space="0" w:color="auto"/>
      </w:divBdr>
    </w:div>
    <w:div w:id="991761494">
      <w:bodyDiv w:val="1"/>
      <w:marLeft w:val="0"/>
      <w:marRight w:val="0"/>
      <w:marTop w:val="0"/>
      <w:marBottom w:val="0"/>
      <w:divBdr>
        <w:top w:val="none" w:sz="0" w:space="0" w:color="auto"/>
        <w:left w:val="none" w:sz="0" w:space="0" w:color="auto"/>
        <w:bottom w:val="none" w:sz="0" w:space="0" w:color="auto"/>
        <w:right w:val="none" w:sz="0" w:space="0" w:color="auto"/>
      </w:divBdr>
    </w:div>
    <w:div w:id="1014113865">
      <w:bodyDiv w:val="1"/>
      <w:marLeft w:val="0"/>
      <w:marRight w:val="0"/>
      <w:marTop w:val="0"/>
      <w:marBottom w:val="0"/>
      <w:divBdr>
        <w:top w:val="none" w:sz="0" w:space="0" w:color="auto"/>
        <w:left w:val="none" w:sz="0" w:space="0" w:color="auto"/>
        <w:bottom w:val="none" w:sz="0" w:space="0" w:color="auto"/>
        <w:right w:val="none" w:sz="0" w:space="0" w:color="auto"/>
      </w:divBdr>
    </w:div>
    <w:div w:id="1080565742">
      <w:bodyDiv w:val="1"/>
      <w:marLeft w:val="0"/>
      <w:marRight w:val="0"/>
      <w:marTop w:val="0"/>
      <w:marBottom w:val="0"/>
      <w:divBdr>
        <w:top w:val="none" w:sz="0" w:space="0" w:color="auto"/>
        <w:left w:val="none" w:sz="0" w:space="0" w:color="auto"/>
        <w:bottom w:val="none" w:sz="0" w:space="0" w:color="auto"/>
        <w:right w:val="none" w:sz="0" w:space="0" w:color="auto"/>
      </w:divBdr>
    </w:div>
    <w:div w:id="1104690949">
      <w:bodyDiv w:val="1"/>
      <w:marLeft w:val="0"/>
      <w:marRight w:val="0"/>
      <w:marTop w:val="0"/>
      <w:marBottom w:val="0"/>
      <w:divBdr>
        <w:top w:val="none" w:sz="0" w:space="0" w:color="auto"/>
        <w:left w:val="none" w:sz="0" w:space="0" w:color="auto"/>
        <w:bottom w:val="none" w:sz="0" w:space="0" w:color="auto"/>
        <w:right w:val="none" w:sz="0" w:space="0" w:color="auto"/>
      </w:divBdr>
    </w:div>
    <w:div w:id="1104879997">
      <w:bodyDiv w:val="1"/>
      <w:marLeft w:val="0"/>
      <w:marRight w:val="0"/>
      <w:marTop w:val="0"/>
      <w:marBottom w:val="0"/>
      <w:divBdr>
        <w:top w:val="none" w:sz="0" w:space="0" w:color="auto"/>
        <w:left w:val="none" w:sz="0" w:space="0" w:color="auto"/>
        <w:bottom w:val="none" w:sz="0" w:space="0" w:color="auto"/>
        <w:right w:val="none" w:sz="0" w:space="0" w:color="auto"/>
      </w:divBdr>
    </w:div>
    <w:div w:id="1105421459">
      <w:bodyDiv w:val="1"/>
      <w:marLeft w:val="0"/>
      <w:marRight w:val="0"/>
      <w:marTop w:val="0"/>
      <w:marBottom w:val="0"/>
      <w:divBdr>
        <w:top w:val="none" w:sz="0" w:space="0" w:color="auto"/>
        <w:left w:val="none" w:sz="0" w:space="0" w:color="auto"/>
        <w:bottom w:val="none" w:sz="0" w:space="0" w:color="auto"/>
        <w:right w:val="none" w:sz="0" w:space="0" w:color="auto"/>
      </w:divBdr>
    </w:div>
    <w:div w:id="1110197932">
      <w:bodyDiv w:val="1"/>
      <w:marLeft w:val="0"/>
      <w:marRight w:val="0"/>
      <w:marTop w:val="0"/>
      <w:marBottom w:val="0"/>
      <w:divBdr>
        <w:top w:val="none" w:sz="0" w:space="0" w:color="auto"/>
        <w:left w:val="none" w:sz="0" w:space="0" w:color="auto"/>
        <w:bottom w:val="none" w:sz="0" w:space="0" w:color="auto"/>
        <w:right w:val="none" w:sz="0" w:space="0" w:color="auto"/>
      </w:divBdr>
    </w:div>
    <w:div w:id="1150901180">
      <w:bodyDiv w:val="1"/>
      <w:marLeft w:val="0"/>
      <w:marRight w:val="0"/>
      <w:marTop w:val="0"/>
      <w:marBottom w:val="0"/>
      <w:divBdr>
        <w:top w:val="none" w:sz="0" w:space="0" w:color="auto"/>
        <w:left w:val="none" w:sz="0" w:space="0" w:color="auto"/>
        <w:bottom w:val="none" w:sz="0" w:space="0" w:color="auto"/>
        <w:right w:val="none" w:sz="0" w:space="0" w:color="auto"/>
      </w:divBdr>
    </w:div>
    <w:div w:id="1190724283">
      <w:bodyDiv w:val="1"/>
      <w:marLeft w:val="0"/>
      <w:marRight w:val="0"/>
      <w:marTop w:val="0"/>
      <w:marBottom w:val="0"/>
      <w:divBdr>
        <w:top w:val="none" w:sz="0" w:space="0" w:color="auto"/>
        <w:left w:val="none" w:sz="0" w:space="0" w:color="auto"/>
        <w:bottom w:val="none" w:sz="0" w:space="0" w:color="auto"/>
        <w:right w:val="none" w:sz="0" w:space="0" w:color="auto"/>
      </w:divBdr>
    </w:div>
    <w:div w:id="1208835759">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51426383">
      <w:bodyDiv w:val="1"/>
      <w:marLeft w:val="0"/>
      <w:marRight w:val="0"/>
      <w:marTop w:val="0"/>
      <w:marBottom w:val="0"/>
      <w:divBdr>
        <w:top w:val="none" w:sz="0" w:space="0" w:color="auto"/>
        <w:left w:val="none" w:sz="0" w:space="0" w:color="auto"/>
        <w:bottom w:val="none" w:sz="0" w:space="0" w:color="auto"/>
        <w:right w:val="none" w:sz="0" w:space="0" w:color="auto"/>
      </w:divBdr>
    </w:div>
    <w:div w:id="1268269899">
      <w:bodyDiv w:val="1"/>
      <w:marLeft w:val="0"/>
      <w:marRight w:val="0"/>
      <w:marTop w:val="0"/>
      <w:marBottom w:val="0"/>
      <w:divBdr>
        <w:top w:val="none" w:sz="0" w:space="0" w:color="auto"/>
        <w:left w:val="none" w:sz="0" w:space="0" w:color="auto"/>
        <w:bottom w:val="none" w:sz="0" w:space="0" w:color="auto"/>
        <w:right w:val="none" w:sz="0" w:space="0" w:color="auto"/>
      </w:divBdr>
    </w:div>
    <w:div w:id="1302417285">
      <w:bodyDiv w:val="1"/>
      <w:marLeft w:val="0"/>
      <w:marRight w:val="0"/>
      <w:marTop w:val="0"/>
      <w:marBottom w:val="0"/>
      <w:divBdr>
        <w:top w:val="none" w:sz="0" w:space="0" w:color="auto"/>
        <w:left w:val="none" w:sz="0" w:space="0" w:color="auto"/>
        <w:bottom w:val="none" w:sz="0" w:space="0" w:color="auto"/>
        <w:right w:val="none" w:sz="0" w:space="0" w:color="auto"/>
      </w:divBdr>
    </w:div>
    <w:div w:id="1346982689">
      <w:bodyDiv w:val="1"/>
      <w:marLeft w:val="0"/>
      <w:marRight w:val="0"/>
      <w:marTop w:val="0"/>
      <w:marBottom w:val="0"/>
      <w:divBdr>
        <w:top w:val="none" w:sz="0" w:space="0" w:color="auto"/>
        <w:left w:val="none" w:sz="0" w:space="0" w:color="auto"/>
        <w:bottom w:val="none" w:sz="0" w:space="0" w:color="auto"/>
        <w:right w:val="none" w:sz="0" w:space="0" w:color="auto"/>
      </w:divBdr>
    </w:div>
    <w:div w:id="1347706841">
      <w:bodyDiv w:val="1"/>
      <w:marLeft w:val="0"/>
      <w:marRight w:val="0"/>
      <w:marTop w:val="0"/>
      <w:marBottom w:val="0"/>
      <w:divBdr>
        <w:top w:val="none" w:sz="0" w:space="0" w:color="auto"/>
        <w:left w:val="none" w:sz="0" w:space="0" w:color="auto"/>
        <w:bottom w:val="none" w:sz="0" w:space="0" w:color="auto"/>
        <w:right w:val="none" w:sz="0" w:space="0" w:color="auto"/>
      </w:divBdr>
    </w:div>
    <w:div w:id="1412700340">
      <w:bodyDiv w:val="1"/>
      <w:marLeft w:val="0"/>
      <w:marRight w:val="0"/>
      <w:marTop w:val="0"/>
      <w:marBottom w:val="0"/>
      <w:divBdr>
        <w:top w:val="none" w:sz="0" w:space="0" w:color="auto"/>
        <w:left w:val="none" w:sz="0" w:space="0" w:color="auto"/>
        <w:bottom w:val="none" w:sz="0" w:space="0" w:color="auto"/>
        <w:right w:val="none" w:sz="0" w:space="0" w:color="auto"/>
      </w:divBdr>
    </w:div>
    <w:div w:id="1487940657">
      <w:bodyDiv w:val="1"/>
      <w:marLeft w:val="0"/>
      <w:marRight w:val="0"/>
      <w:marTop w:val="0"/>
      <w:marBottom w:val="0"/>
      <w:divBdr>
        <w:top w:val="none" w:sz="0" w:space="0" w:color="auto"/>
        <w:left w:val="none" w:sz="0" w:space="0" w:color="auto"/>
        <w:bottom w:val="none" w:sz="0" w:space="0" w:color="auto"/>
        <w:right w:val="none" w:sz="0" w:space="0" w:color="auto"/>
      </w:divBdr>
    </w:div>
    <w:div w:id="1555236516">
      <w:bodyDiv w:val="1"/>
      <w:marLeft w:val="0"/>
      <w:marRight w:val="0"/>
      <w:marTop w:val="0"/>
      <w:marBottom w:val="0"/>
      <w:divBdr>
        <w:top w:val="none" w:sz="0" w:space="0" w:color="auto"/>
        <w:left w:val="none" w:sz="0" w:space="0" w:color="auto"/>
        <w:bottom w:val="none" w:sz="0" w:space="0" w:color="auto"/>
        <w:right w:val="none" w:sz="0" w:space="0" w:color="auto"/>
      </w:divBdr>
    </w:div>
    <w:div w:id="1590231356">
      <w:bodyDiv w:val="1"/>
      <w:marLeft w:val="0"/>
      <w:marRight w:val="0"/>
      <w:marTop w:val="0"/>
      <w:marBottom w:val="0"/>
      <w:divBdr>
        <w:top w:val="none" w:sz="0" w:space="0" w:color="auto"/>
        <w:left w:val="none" w:sz="0" w:space="0" w:color="auto"/>
        <w:bottom w:val="none" w:sz="0" w:space="0" w:color="auto"/>
        <w:right w:val="none" w:sz="0" w:space="0" w:color="auto"/>
      </w:divBdr>
    </w:div>
    <w:div w:id="1641573392">
      <w:bodyDiv w:val="1"/>
      <w:marLeft w:val="0"/>
      <w:marRight w:val="0"/>
      <w:marTop w:val="0"/>
      <w:marBottom w:val="0"/>
      <w:divBdr>
        <w:top w:val="none" w:sz="0" w:space="0" w:color="auto"/>
        <w:left w:val="none" w:sz="0" w:space="0" w:color="auto"/>
        <w:bottom w:val="none" w:sz="0" w:space="0" w:color="auto"/>
        <w:right w:val="none" w:sz="0" w:space="0" w:color="auto"/>
      </w:divBdr>
    </w:div>
    <w:div w:id="1643192863">
      <w:bodyDiv w:val="1"/>
      <w:marLeft w:val="0"/>
      <w:marRight w:val="0"/>
      <w:marTop w:val="0"/>
      <w:marBottom w:val="0"/>
      <w:divBdr>
        <w:top w:val="none" w:sz="0" w:space="0" w:color="auto"/>
        <w:left w:val="none" w:sz="0" w:space="0" w:color="auto"/>
        <w:bottom w:val="none" w:sz="0" w:space="0" w:color="auto"/>
        <w:right w:val="none" w:sz="0" w:space="0" w:color="auto"/>
      </w:divBdr>
    </w:div>
    <w:div w:id="1683817992">
      <w:bodyDiv w:val="1"/>
      <w:marLeft w:val="0"/>
      <w:marRight w:val="0"/>
      <w:marTop w:val="0"/>
      <w:marBottom w:val="0"/>
      <w:divBdr>
        <w:top w:val="none" w:sz="0" w:space="0" w:color="auto"/>
        <w:left w:val="none" w:sz="0" w:space="0" w:color="auto"/>
        <w:bottom w:val="none" w:sz="0" w:space="0" w:color="auto"/>
        <w:right w:val="none" w:sz="0" w:space="0" w:color="auto"/>
      </w:divBdr>
    </w:div>
    <w:div w:id="1688750013">
      <w:bodyDiv w:val="1"/>
      <w:marLeft w:val="0"/>
      <w:marRight w:val="0"/>
      <w:marTop w:val="0"/>
      <w:marBottom w:val="0"/>
      <w:divBdr>
        <w:top w:val="none" w:sz="0" w:space="0" w:color="auto"/>
        <w:left w:val="none" w:sz="0" w:space="0" w:color="auto"/>
        <w:bottom w:val="none" w:sz="0" w:space="0" w:color="auto"/>
        <w:right w:val="none" w:sz="0" w:space="0" w:color="auto"/>
      </w:divBdr>
    </w:div>
    <w:div w:id="1735469802">
      <w:bodyDiv w:val="1"/>
      <w:marLeft w:val="0"/>
      <w:marRight w:val="0"/>
      <w:marTop w:val="0"/>
      <w:marBottom w:val="0"/>
      <w:divBdr>
        <w:top w:val="none" w:sz="0" w:space="0" w:color="auto"/>
        <w:left w:val="none" w:sz="0" w:space="0" w:color="auto"/>
        <w:bottom w:val="none" w:sz="0" w:space="0" w:color="auto"/>
        <w:right w:val="none" w:sz="0" w:space="0" w:color="auto"/>
      </w:divBdr>
    </w:div>
    <w:div w:id="1739480316">
      <w:bodyDiv w:val="1"/>
      <w:marLeft w:val="0"/>
      <w:marRight w:val="0"/>
      <w:marTop w:val="0"/>
      <w:marBottom w:val="0"/>
      <w:divBdr>
        <w:top w:val="none" w:sz="0" w:space="0" w:color="auto"/>
        <w:left w:val="none" w:sz="0" w:space="0" w:color="auto"/>
        <w:bottom w:val="none" w:sz="0" w:space="0" w:color="auto"/>
        <w:right w:val="none" w:sz="0" w:space="0" w:color="auto"/>
      </w:divBdr>
    </w:div>
    <w:div w:id="1819300607">
      <w:bodyDiv w:val="1"/>
      <w:marLeft w:val="0"/>
      <w:marRight w:val="0"/>
      <w:marTop w:val="0"/>
      <w:marBottom w:val="0"/>
      <w:divBdr>
        <w:top w:val="none" w:sz="0" w:space="0" w:color="auto"/>
        <w:left w:val="none" w:sz="0" w:space="0" w:color="auto"/>
        <w:bottom w:val="none" w:sz="0" w:space="0" w:color="auto"/>
        <w:right w:val="none" w:sz="0" w:space="0" w:color="auto"/>
      </w:divBdr>
    </w:div>
    <w:div w:id="1829207777">
      <w:bodyDiv w:val="1"/>
      <w:marLeft w:val="0"/>
      <w:marRight w:val="0"/>
      <w:marTop w:val="0"/>
      <w:marBottom w:val="0"/>
      <w:divBdr>
        <w:top w:val="none" w:sz="0" w:space="0" w:color="auto"/>
        <w:left w:val="none" w:sz="0" w:space="0" w:color="auto"/>
        <w:bottom w:val="none" w:sz="0" w:space="0" w:color="auto"/>
        <w:right w:val="none" w:sz="0" w:space="0" w:color="auto"/>
      </w:divBdr>
    </w:div>
    <w:div w:id="1832140329">
      <w:bodyDiv w:val="1"/>
      <w:marLeft w:val="0"/>
      <w:marRight w:val="0"/>
      <w:marTop w:val="0"/>
      <w:marBottom w:val="0"/>
      <w:divBdr>
        <w:top w:val="none" w:sz="0" w:space="0" w:color="auto"/>
        <w:left w:val="none" w:sz="0" w:space="0" w:color="auto"/>
        <w:bottom w:val="none" w:sz="0" w:space="0" w:color="auto"/>
        <w:right w:val="none" w:sz="0" w:space="0" w:color="auto"/>
      </w:divBdr>
    </w:div>
    <w:div w:id="1835224167">
      <w:bodyDiv w:val="1"/>
      <w:marLeft w:val="0"/>
      <w:marRight w:val="0"/>
      <w:marTop w:val="0"/>
      <w:marBottom w:val="0"/>
      <w:divBdr>
        <w:top w:val="none" w:sz="0" w:space="0" w:color="auto"/>
        <w:left w:val="none" w:sz="0" w:space="0" w:color="auto"/>
        <w:bottom w:val="none" w:sz="0" w:space="0" w:color="auto"/>
        <w:right w:val="none" w:sz="0" w:space="0" w:color="auto"/>
      </w:divBdr>
    </w:div>
    <w:div w:id="1839924119">
      <w:bodyDiv w:val="1"/>
      <w:marLeft w:val="0"/>
      <w:marRight w:val="0"/>
      <w:marTop w:val="0"/>
      <w:marBottom w:val="0"/>
      <w:divBdr>
        <w:top w:val="none" w:sz="0" w:space="0" w:color="auto"/>
        <w:left w:val="none" w:sz="0" w:space="0" w:color="auto"/>
        <w:bottom w:val="none" w:sz="0" w:space="0" w:color="auto"/>
        <w:right w:val="none" w:sz="0" w:space="0" w:color="auto"/>
      </w:divBdr>
    </w:div>
    <w:div w:id="1854958757">
      <w:bodyDiv w:val="1"/>
      <w:marLeft w:val="0"/>
      <w:marRight w:val="0"/>
      <w:marTop w:val="0"/>
      <w:marBottom w:val="0"/>
      <w:divBdr>
        <w:top w:val="none" w:sz="0" w:space="0" w:color="auto"/>
        <w:left w:val="none" w:sz="0" w:space="0" w:color="auto"/>
        <w:bottom w:val="none" w:sz="0" w:space="0" w:color="auto"/>
        <w:right w:val="none" w:sz="0" w:space="0" w:color="auto"/>
      </w:divBdr>
    </w:div>
    <w:div w:id="1943804370">
      <w:bodyDiv w:val="1"/>
      <w:marLeft w:val="0"/>
      <w:marRight w:val="0"/>
      <w:marTop w:val="0"/>
      <w:marBottom w:val="0"/>
      <w:divBdr>
        <w:top w:val="none" w:sz="0" w:space="0" w:color="auto"/>
        <w:left w:val="none" w:sz="0" w:space="0" w:color="auto"/>
        <w:bottom w:val="none" w:sz="0" w:space="0" w:color="auto"/>
        <w:right w:val="none" w:sz="0" w:space="0" w:color="auto"/>
      </w:divBdr>
    </w:div>
    <w:div w:id="1999722958">
      <w:bodyDiv w:val="1"/>
      <w:marLeft w:val="0"/>
      <w:marRight w:val="0"/>
      <w:marTop w:val="0"/>
      <w:marBottom w:val="0"/>
      <w:divBdr>
        <w:top w:val="none" w:sz="0" w:space="0" w:color="auto"/>
        <w:left w:val="none" w:sz="0" w:space="0" w:color="auto"/>
        <w:bottom w:val="none" w:sz="0" w:space="0" w:color="auto"/>
        <w:right w:val="none" w:sz="0" w:space="0" w:color="auto"/>
      </w:divBdr>
    </w:div>
    <w:div w:id="2000881529">
      <w:bodyDiv w:val="1"/>
      <w:marLeft w:val="0"/>
      <w:marRight w:val="0"/>
      <w:marTop w:val="0"/>
      <w:marBottom w:val="0"/>
      <w:divBdr>
        <w:top w:val="none" w:sz="0" w:space="0" w:color="auto"/>
        <w:left w:val="none" w:sz="0" w:space="0" w:color="auto"/>
        <w:bottom w:val="none" w:sz="0" w:space="0" w:color="auto"/>
        <w:right w:val="none" w:sz="0" w:space="0" w:color="auto"/>
      </w:divBdr>
    </w:div>
    <w:div w:id="2006782484">
      <w:bodyDiv w:val="1"/>
      <w:marLeft w:val="0"/>
      <w:marRight w:val="0"/>
      <w:marTop w:val="0"/>
      <w:marBottom w:val="0"/>
      <w:divBdr>
        <w:top w:val="none" w:sz="0" w:space="0" w:color="auto"/>
        <w:left w:val="none" w:sz="0" w:space="0" w:color="auto"/>
        <w:bottom w:val="none" w:sz="0" w:space="0" w:color="auto"/>
        <w:right w:val="none" w:sz="0" w:space="0" w:color="auto"/>
      </w:divBdr>
    </w:div>
    <w:div w:id="2024159388">
      <w:bodyDiv w:val="1"/>
      <w:marLeft w:val="0"/>
      <w:marRight w:val="0"/>
      <w:marTop w:val="0"/>
      <w:marBottom w:val="0"/>
      <w:divBdr>
        <w:top w:val="none" w:sz="0" w:space="0" w:color="auto"/>
        <w:left w:val="none" w:sz="0" w:space="0" w:color="auto"/>
        <w:bottom w:val="none" w:sz="0" w:space="0" w:color="auto"/>
        <w:right w:val="none" w:sz="0" w:space="0" w:color="auto"/>
      </w:divBdr>
    </w:div>
    <w:div w:id="2025400199">
      <w:bodyDiv w:val="1"/>
      <w:marLeft w:val="0"/>
      <w:marRight w:val="0"/>
      <w:marTop w:val="0"/>
      <w:marBottom w:val="0"/>
      <w:divBdr>
        <w:top w:val="none" w:sz="0" w:space="0" w:color="auto"/>
        <w:left w:val="none" w:sz="0" w:space="0" w:color="auto"/>
        <w:bottom w:val="none" w:sz="0" w:space="0" w:color="auto"/>
        <w:right w:val="none" w:sz="0" w:space="0" w:color="auto"/>
      </w:divBdr>
    </w:div>
    <w:div w:id="2079982695">
      <w:bodyDiv w:val="1"/>
      <w:marLeft w:val="0"/>
      <w:marRight w:val="0"/>
      <w:marTop w:val="0"/>
      <w:marBottom w:val="0"/>
      <w:divBdr>
        <w:top w:val="none" w:sz="0" w:space="0" w:color="auto"/>
        <w:left w:val="none" w:sz="0" w:space="0" w:color="auto"/>
        <w:bottom w:val="none" w:sz="0" w:space="0" w:color="auto"/>
        <w:right w:val="none" w:sz="0" w:space="0" w:color="auto"/>
      </w:divBdr>
    </w:div>
    <w:div w:id="2081631492">
      <w:bodyDiv w:val="1"/>
      <w:marLeft w:val="0"/>
      <w:marRight w:val="0"/>
      <w:marTop w:val="0"/>
      <w:marBottom w:val="0"/>
      <w:divBdr>
        <w:top w:val="none" w:sz="0" w:space="0" w:color="auto"/>
        <w:left w:val="none" w:sz="0" w:space="0" w:color="auto"/>
        <w:bottom w:val="none" w:sz="0" w:space="0" w:color="auto"/>
        <w:right w:val="none" w:sz="0" w:space="0" w:color="auto"/>
      </w:divBdr>
    </w:div>
    <w:div w:id="2083210679">
      <w:bodyDiv w:val="1"/>
      <w:marLeft w:val="0"/>
      <w:marRight w:val="0"/>
      <w:marTop w:val="0"/>
      <w:marBottom w:val="0"/>
      <w:divBdr>
        <w:top w:val="none" w:sz="0" w:space="0" w:color="auto"/>
        <w:left w:val="none" w:sz="0" w:space="0" w:color="auto"/>
        <w:bottom w:val="none" w:sz="0" w:space="0" w:color="auto"/>
        <w:right w:val="none" w:sz="0" w:space="0" w:color="auto"/>
      </w:divBdr>
    </w:div>
    <w:div w:id="2125540078">
      <w:bodyDiv w:val="1"/>
      <w:marLeft w:val="0"/>
      <w:marRight w:val="0"/>
      <w:marTop w:val="0"/>
      <w:marBottom w:val="0"/>
      <w:divBdr>
        <w:top w:val="none" w:sz="0" w:space="0" w:color="auto"/>
        <w:left w:val="none" w:sz="0" w:space="0" w:color="auto"/>
        <w:bottom w:val="none" w:sz="0" w:space="0" w:color="auto"/>
        <w:right w:val="none" w:sz="0" w:space="0" w:color="auto"/>
      </w:divBdr>
    </w:div>
    <w:div w:id="213701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WHO20</b:Tag>
    <b:SourceType>Report</b:SourceType>
    <b:Guid>{C94B816D-FEF8-4C21-A3CB-5B0C09531BDD}</b:Guid>
    <b:Title>Report of the WHO-China Joint Mission on Coronavirus Disease 2019 (COVID-19)</b:Title>
    <b:Year>2020</b:Year>
    <b:Author>
      <b:Author>
        <b:Corporate>WHO Headquarters (HQ)</b:Corporate>
      </b:Author>
    </b:Author>
    <b:Publisher>World Health Organization</b:Publisher>
    <b:City>Geneva</b:City>
    <b:RefOrder>1</b:RefOrder>
  </b:Source>
  <b:Source>
    <b:Tag>Dep22</b:Tag>
    <b:SourceType>ElectronicSource</b:SourceType>
    <b:Guid>{0B344BF0-0D3B-40F0-9BB4-94BADD77D354}</b:Guid>
    <b:Title>COVID-19 CASE TRACKER</b:Title>
    <b:Year>2022</b:Year>
    <b:Publisher>Department of Health</b:Publisher>
    <b:City>Manila</b:City>
    <b:Author>
      <b:Author>
        <b:Corporate>Department of Health </b:Corporate>
      </b:Author>
    </b:Author>
    <b:RefOrder>2</b:RefOrder>
  </b:Source>
  <b:Source>
    <b:Tag>Fut21</b:Tag>
    <b:SourceType>DocumentFromInternetSite</b:SourceType>
    <b:Guid>{D13D822D-4AE9-495B-B4AF-BC84AEFE3A63}</b:Guid>
    <b:Author>
      <b:Author>
        <b:Corporate>FutureLearn</b:Corporate>
      </b:Author>
    </b:Author>
    <b:Title>The Philippines Economy and the Impact of COVID-19</b:Title>
    <b:Year>2021</b:Year>
    <b:Month>August </b:Month>
    <b:Day>18</b:Day>
    <b:YearAccessed>2022</b:YearAccessed>
    <b:MonthAccessed>February</b:MonthAccessed>
    <b:DayAccessed>5</b:DayAccessed>
    <b:URL>https://www.futurelearn.com/info/futurelearn-international/philippines-economy-covid-19</b:URL>
    <b:RefOrder>3</b:RefOrder>
  </b:Source>
  <b:Source>
    <b:Tag>Foo22</b:Tag>
    <b:SourceType>DocumentFromInternetSite</b:SourceType>
    <b:Guid>{9AF9B18A-B2CE-4159-8E23-ED8057D0AC05}</b:Guid>
    <b:Title>Q&amp;A: COVID-19 pandemic – impact on food and agriculture</b:Title>
    <b:Year>2022</b:Year>
    <b:YearAccessed>2022</b:YearAccessed>
    <b:MonthAccessed>February</b:MonthAccessed>
    <b:DayAccessed>5</b:DayAccessed>
    <b:URL>https://www.fao.org/2019-ncov/q-and-a/impact-on-food-and-agriculture/en/</b:URL>
    <b:Author>
      <b:Author>
        <b:Corporate>Food and Agriculture Organization of the United Nations</b:Corporate>
      </b:Author>
    </b:Author>
    <b:City>2022</b:City>
    <b:RefOrder>4</b:RefOrder>
  </b:Source>
  <b:Source>
    <b:Tag>Bev21</b:Tag>
    <b:SourceType>DocumentFromInternetSite</b:SourceType>
    <b:Guid>{9A0A1F02-835B-4CC4-A052-61E9A5589872}</b:Guid>
    <b:Title>The continuing toll of the COVID-19 pandemic on farmers in the Philippines.</b:Title>
    <b:Year>2021</b:Year>
    <b:Author>
      <b:Author>
        <b:NameList>
          <b:Person>
            <b:Last>Beverly</b:Last>
            <b:First>Brul</b:First>
          </b:Person>
        </b:NameList>
      </b:Author>
    </b:Author>
    <b:Month>May</b:Month>
    <b:Day>19</b:Day>
    <b:YearAccessed>2022</b:YearAccessed>
    <b:MonthAccessed>February</b:MonthAccessed>
    <b:DayAccessed>5</b:DayAccessed>
    <b:URL>https://grameenfoundation.org/stories/blog/the-continuing-toll-of-the-covid-19-pandemic-on-farmers-in-the-philippines</b:URL>
    <b:RefOrder>6</b:RefOrder>
  </b:Source>
  <b:Source>
    <b:Tag>Dep20</b:Tag>
    <b:SourceType>DocumentFromInternetSite</b:SourceType>
    <b:Guid>{ABD677C5-D5CD-49DE-A9B8-16F7439D6903}</b:Guid>
    <b:Author>
      <b:Author>
        <b:Corporate>Department of Agriculture - Agriculture and Fisheries Information Division</b:Corporate>
      </b:Author>
    </b:Author>
    <b:Title>DA-ACPC lends initial P246 M under ‘Expanded SURE Aid’ loan program</b:Title>
    <b:Year>2020</b:Year>
    <b:Month>April</b:Month>
    <b:Day>17</b:Day>
    <b:YearAccessed>2022</b:YearAccessed>
    <b:MonthAccessed>February </b:MonthAccessed>
    <b:DayAccessed>5</b:DayAccessed>
    <b:URL>https://www.da.gov.ph/da-acpc-lends-initial-p246-m-under-expanded-sure-aid-loan-program/</b:URL>
    <b:RefOrder>7</b:RefOrder>
  </b:Source>
  <b:Source>
    <b:Tag>Dep201</b:Tag>
    <b:SourceType>DocumentFromInternetSite</b:SourceType>
    <b:Guid>{AB33734C-E908-4199-8E0D-4BD0B25B3707}</b:Guid>
    <b:Author>
      <b:Author>
        <b:Corporate>Department of Agriculture - Agirbusiness and marketing Services Assistance</b:Corporate>
      </b:Author>
    </b:Author>
    <b:Title>Implementation Guide for Issuance of “Food Pass” Cards</b:Title>
    <b:Year>2020</b:Year>
    <b:Month>March</b:Month>
    <b:Day>22</b:Day>
    <b:YearAccessed>2022</b:YearAccessed>
    <b:MonthAccessed>February</b:MonthAccessed>
    <b:DayAccessed>5</b:DayAccessed>
    <b:URL>http://agribusiness.da.gov.ph/2020/03/22/online-applications-for-food-pass-may-be-sent-thru-foodpass-agrigmail-com/</b:URL>
    <b:RefOrder>8</b:RefOrder>
  </b:Source>
  <b:Source>
    <b:Tag>Foo21</b:Tag>
    <b:SourceType>Report</b:SourceType>
    <b:Guid>{0A085581-D7D3-483B-8CA0-6ECA8C1E526E}</b:Guid>
    <b:Title>Rapid assessment of the impact of COVID-19 on food supply chains in the Philippines</b:Title>
    <b:Year>2021</b:Year>
    <b:Author>
      <b:Author>
        <b:Corporate>Food and Agriculture Organization of the United Nations</b:Corporate>
      </b:Author>
    </b:Author>
    <b:Publisher>FAO</b:Publisher>
    <b:City>Manila</b:City>
    <b:RefOrder>9</b:RefOrder>
  </b:Source>
  <b:Source>
    <b:Tag>Bob21</b:Tag>
    <b:SourceType>Report</b:SourceType>
    <b:Guid>{1F7C010F-DB54-4E44-A985-B2E9AB096F0B}</b:Guid>
    <b:Author>
      <b:Author>
        <b:NameList>
          <b:Person>
            <b:Last>Bobeica</b:Last>
            <b:First>Elen</b:First>
          </b:Person>
          <b:Person>
            <b:Last>Hartwig</b:Last>
            <b:First>Benny</b:First>
          </b:Person>
        </b:NameList>
      </b:Author>
    </b:Author>
    <b:Title>The COVID-19 shock and challenges for time series models</b:Title>
    <b:Year>2021</b:Year>
    <b:Publisher>European Central Bank</b:Publisher>
    <b:City>Frankfurt</b:City>
    <b:RefOrder>10</b:RefOrder>
  </b:Source>
  <b:Source>
    <b:Tag>Pal20</b:Tag>
    <b:SourceType>Report</b:SourceType>
    <b:Guid>{45C0B51E-1B3A-484D-8704-E4E609F6D318}</b:Guid>
    <b:Title>COVID-19 and food systems in the Indo-Pacific: An assessment of vulnerabilities, impacts and opportunities for action</b:Title>
    <b:Year>2020</b:Year>
    <b:Author>
      <b:Author>
        <b:NameList>
          <b:Person>
            <b:Last>Palo</b:Last>
            <b:First>Anton</b:First>
            <b:Middle>Simon M</b:Middle>
          </b:Person>
          <b:Person>
            <b:Last>Rosetes</b:Last>
            <b:First>Mercedita</b:First>
            <b:Middle>A</b:Middle>
          </b:Person>
          <b:Person>
            <b:Last>Cariño</b:Last>
            <b:First>Donna</b:First>
            <b:Middle>P</b:Middle>
          </b:Person>
        </b:NameList>
      </b:Author>
    </b:Author>
    <b:JournalName>COVID-19 and food systems in the Indo-Pacific: An assessment of vulnerabilities, impacts and opportunities for action</b:JournalName>
    <b:Pages>165-194</b:Pages>
    <b:City>Bruce ACT</b:City>
    <b:Publisher>Australian Center for International Agricultural Research</b:Publisher>
    <b:RefOrder>5</b:RefOrder>
  </b:Source>
  <b:Source>
    <b:Tag>Dag20</b:Tag>
    <b:SourceType>JournalArticle</b:SourceType>
    <b:Guid>{A32076B6-B246-44EB-B918-EF487BB76AD6}</b:Guid>
    <b:Title>The impact of Covid-19 on agriculture: evidence from oats and wheat markets</b:Title>
    <b:Year>2020</b:Year>
    <b:Author>
      <b:Author>
        <b:NameList>
          <b:Person>
            <b:Last>Daglis</b:Last>
            <b:First>Theodoros</b:First>
          </b:Person>
          <b:Person>
            <b:Last>Konstantakis</b:Last>
            <b:First>Konstantinos</b:First>
            <b:Middle>N</b:Middle>
          </b:Person>
          <b:Person>
            <b:Last>Michaelides</b:Last>
            <b:First>Panayotis</b:First>
            <b:Middle>G</b:Middle>
          </b:Person>
        </b:NameList>
      </b:Author>
    </b:Author>
    <b:JournalName>Studies in Agricultural Economics</b:JournalName>
    <b:Pages>132-139</b:Pages>
    <b:Volume>122</b:Volume>
    <b:Issue>3</b:Issue>
    <b:RefOrder>11</b:RefOrder>
  </b:Source>
  <b:Source>
    <b:Tag>Hun21</b:Tag>
    <b:SourceType>JournalArticle</b:SourceType>
    <b:Guid>{925B9118-30AD-4A81-A579-8AF1A0EBB606}</b:Guid>
    <b:Author>
      <b:Author>
        <b:NameList>
          <b:Person>
            <b:Last>Hung</b:Last>
            <b:First>Ngo</b:First>
            <b:Middle>Thai</b:Middle>
          </b:Person>
        </b:NameList>
      </b:Author>
    </b:Author>
    <b:Title>Oil prices and agricultural commodity markets: Evidence from pre and during COVID-19 outbreak</b:Title>
    <b:JournalName>Resources Policy</b:JournalName>
    <b:Year>2021</b:Year>
    <b:Pages>1-10</b:Pages>
    <b:Volume>73</b:Volume>
    <b:Issue>102236</b:Issue>
    <b:RefOrder>12</b:RefOrder>
  </b:Source>
  <b:Source>
    <b:Tag>Ham21</b:Tag>
    <b:SourceType>JournalArticle</b:SourceType>
    <b:Guid>{1DD2F1E4-BD89-4C70-BB23-F656DBD35448}</b:Guid>
    <b:Author>
      <b:Author>
        <b:NameList>
          <b:Person>
            <b:Last>Hamulczuk</b:Last>
            <b:First>Mariusz</b:First>
          </b:Person>
          <b:Person>
            <b:Last>Skrzypczyk</b:Last>
            <b:First>Marta</b:First>
          </b:Person>
        </b:NameList>
      </b:Author>
    </b:Author>
    <b:Title>COVID-19, spatial market integration and producer prices: A case study of EU agri-food markets</b:Title>
    <b:JournalName>Studies in Agricultural Economics</b:JournalName>
    <b:Year>2021</b:Year>
    <b:Pages>53-61</b:Pages>
    <b:Volume>123</b:Volume>
    <b:Issue>2</b:Issue>
    <b:RefOrder>13</b:RefOrder>
  </b:Source>
  <b:Source>
    <b:Tag>Goe21</b:Tag>
    <b:SourceType>JournalArticle</b:SourceType>
    <b:Guid>{73D6570F-4D75-49B4-94B3-16168216F3C4}</b:Guid>
    <b:Author>
      <b:Author>
        <b:NameList>
          <b:Person>
            <b:Last>Goeb</b:Last>
            <b:First>J</b:First>
          </b:Person>
          <b:Person>
            <b:Last>Zone</b:Last>
            <b:First>PP</b:First>
          </b:Person>
          <b:Person>
            <b:Last>Kham Synt</b:Last>
            <b:First>NL</b:First>
          </b:Person>
          <b:Person>
            <b:Last>Zu</b:Last>
            <b:First>A.M</b:First>
          </b:Person>
          <b:Person>
            <b:Last>Tang</b:Last>
            <b:First>Y</b:First>
          </b:Person>
          <b:Person>
            <b:Last>Minten</b:Last>
            <b:First>B.</b:First>
          </b:Person>
        </b:NameList>
      </b:Author>
    </b:Author>
    <b:Title>Food prices, processing, and shocks: Evidence from rice and COVID-19</b:Title>
    <b:JournalName>Journal of Agriculture Economics</b:JournalName>
    <b:Year>2021</b:Year>
    <b:Pages>1–18</b:Pages>
    <b:Volume>0</b:Volume>
    <b:Issue>0</b:Issue>
    <b:RefOrder>14</b:RefOrder>
  </b:Source>
  <b:Source>
    <b:Tag>Chi21</b:Tag>
    <b:SourceType>JournalArticle</b:SourceType>
    <b:Guid>{E69D8D2D-BAB9-4373-A95E-2DF51EB0C1DE}</b:Guid>
    <b:Author>
      <b:Author>
        <b:NameList>
          <b:Person>
            <b:Last>Chitikela</b:Last>
            <b:First>G.</b:First>
          </b:Person>
          <b:Person>
            <b:Last>Admala</b:Last>
            <b:First>M.</b:First>
          </b:Person>
          <b:Person>
            <b:Last>Ramalingareddy</b:Last>
            <b:First>V.K.</b:First>
          </b:Person>
          <b:Person>
            <b:Last>Bandumula</b:Last>
            <b:First>N.</b:First>
          </b:Person>
          <b:Person>
            <b:Last>Ondrasek</b:Last>
            <b:First>G.</b:First>
          </b:Person>
          <b:Person>
            <b:Last>Sundaram</b:Last>
            <b:First>R.M.</b:First>
          </b:Person>
          <b:Person>
            <b:Last>Rathod</b:Last>
            <b:First>S</b:First>
          </b:Person>
        </b:NameList>
      </b:Author>
    </b:Author>
    <b:Title>Artificial-Intelligence-Based Time-Series Intervention Models to Assess the Impact of the COVID-19 Pandemic on Tomato Supply and Prices in Hyderabad, India </b:Title>
    <b:JournalName>Agronomy</b:JournalName>
    <b:Year>2021</b:Year>
    <b:Pages>1-16</b:Pages>
    <b:Volume>11</b:Volume>
    <b:Issue>1878</b:Issue>
    <b:RefOrder>15</b:RefOrder>
  </b:Source>
  <b:Source>
    <b:Tag>Rua21</b:Tag>
    <b:SourceType>JournalArticle</b:SourceType>
    <b:Guid>{5EB3E553-6F99-46F9-AED2-372804A61162}</b:Guid>
    <b:Author>
      <b:Author>
        <b:NameList>
          <b:Person>
            <b:Last>Ruan</b:Last>
            <b:First>J</b:First>
          </b:Person>
          <b:Person>
            <b:Last>Cai</b:Last>
            <b:First>Q</b:First>
          </b:Person>
          <b:Person>
            <b:Last>Jin</b:Last>
            <b:First>S</b:First>
          </b:Person>
        </b:NameList>
      </b:Author>
    </b:Author>
    <b:Title> Impact of COVID-19 and Nationwide Lockdowns on Vegetable Prices: Evidence from Wholesale Markets in China</b:Title>
    <b:JournalName>American Journal of Agricultural Economics</b:JournalName>
    <b:Year>2021</b:Year>
    <b:Pages>1574–1594</b:Pages>
    <b:Volume>103</b:Volume>
    <b:Issue>5</b:Issue>
    <b:RefOrder>26</b:RefOrder>
  </b:Source>
  <b:Source>
    <b:Tag>Dep221</b:Tag>
    <b:SourceType>DocumentFromInternetSite</b:SourceType>
    <b:Guid>{1B6CC102-72D2-40A5-B82A-C9A6E9FAAD2F}</b:Guid>
    <b:Title>Price Monitoring</b:Title>
    <b:Year>2022</b:Year>
    <b:YearAccessed>2022</b:YearAccessed>
    <b:MonthAccessed>February</b:MonthAccessed>
    <b:DayAccessed>5</b:DayAccessed>
    <b:URL>https://www.da.gov.ph/price-monitoring/</b:URL>
    <b:Author>
      <b:Author>
        <b:Corporate>Department of Agriculture</b:Corporate>
      </b:Author>
    </b:Author>
    <b:RefOrder>16</b:RefOrder>
  </b:Source>
  <b:Source>
    <b:Tag>Don13</b:Tag>
    <b:SourceType>JournalArticle</b:SourceType>
    <b:Guid>{E09A7668-D607-437A-90DB-8B49452B1A33}</b:Guid>
    <b:Title>Principled missing data methods for researchers</b:Title>
    <b:Year>2013</b:Year>
    <b:Author>
      <b:Author>
        <b:NameList>
          <b:Person>
            <b:Last>Dong</b:Last>
            <b:First>Y.</b:First>
          </b:Person>
          <b:Person>
            <b:Last>Peng</b:Last>
            <b:First>C.Y.</b:First>
          </b:Person>
        </b:NameList>
      </b:Author>
    </b:Author>
    <b:JournalName>Springerplus</b:JournalName>
    <b:Pages>222</b:Pages>
    <b:Volume>2</b:Volume>
    <b:Issue>1</b:Issue>
    <b:RefOrder>17</b:RefOrder>
  </b:Source>
  <b:Source>
    <b:Tag>Lab01</b:Tag>
    <b:SourceType>DocumentFromInternetSite</b:SourceType>
    <b:Guid>{07EB1228-09DE-493E-99F8-628516A0B075}</b:Guid>
    <b:Title>Definitions</b:Title>
    <b:Year>2001</b:Year>
    <b:Author>
      <b:Author>
        <b:Corporate>Labour Force Statistics</b:Corporate>
      </b:Author>
    </b:Author>
    <b:Month>September</b:Month>
    <b:Day>5</b:Day>
    <b:YearAccessed>2022</b:YearAccessed>
    <b:MonthAccessed>February</b:MonthAccessed>
    <b:DayAccessed>5</b:DayAccessed>
    <b:URL>https://stats.oecd.org/glossary/detail.asp?ID=340</b:URL>
    <b:RefOrder>18</b:RefOrder>
  </b:Source>
  <b:Source>
    <b:Tag>Sch02</b:Tag>
    <b:SourceType>JournalArticle</b:SourceType>
    <b:Guid>{FB236BDA-AEAA-4BCF-B2AF-F7047E95BBDF}</b:Guid>
    <b:Title>Missing data: our view of the state of the art</b:Title>
    <b:Year>2002</b:Year>
    <b:Author>
      <b:Author>
        <b:NameList>
          <b:Person>
            <b:Last>JL</b:Last>
            <b:First>Schafer</b:First>
          </b:Person>
          <b:Person>
            <b:Last>JW</b:Last>
            <b:First>Graham</b:First>
          </b:Person>
        </b:NameList>
      </b:Author>
    </b:Author>
    <b:JournalName>Psychol Methods</b:JournalName>
    <b:Pages>147-177</b:Pages>
    <b:Volume>7</b:Volume>
    <b:Issue>2</b:Issue>
    <b:RefOrder>19</b:RefOrder>
  </b:Source>
  <b:Source>
    <b:Tag>the22</b:Tag>
    <b:SourceType>DocumentFromInternetSite</b:SourceType>
    <b:Guid>{8736B27D-B401-483B-B013-D4FF2ED2CD49}</b:Guid>
    <b:Title>pandas.DataFrame.interpolate</b:Title>
    <b:Year>2022</b:Year>
    <b:Author>
      <b:Author>
        <b:Corporate>the pandas development team</b:Corporate>
      </b:Author>
    </b:Author>
    <b:YearAccessed>2022</b:YearAccessed>
    <b:MonthAccessed>February</b:MonthAccessed>
    <b:DayAccessed>5</b:DayAccessed>
    <b:URL>https://pandas.pydata.org/docs/reference/api/pandas.DataFrame.interpolate.html</b:URL>
    <b:RefOrder>20</b:RefOrder>
  </b:Source>
  <b:Source>
    <b:Tag>Box15</b:Tag>
    <b:SourceType>Book</b:SourceType>
    <b:Guid>{8F4781EB-08A3-4A0B-A158-FA1D2DC93092}</b:Guid>
    <b:Author>
      <b:Author>
        <b:NameList>
          <b:Person>
            <b:Last>Box</b:Last>
            <b:First>G.</b:First>
            <b:Middle>E. P.</b:Middle>
          </b:Person>
          <b:Person>
            <b:Last>Jenkins</b:Last>
            <b:First>G.</b:First>
            <b:Middle>M.</b:Middle>
          </b:Person>
          <b:Person>
            <b:Last>Reinsel</b:Last>
            <b:First>G.</b:First>
            <b:Middle>C.</b:Middle>
          </b:Person>
          <b:Person>
            <b:Last>Ljung</b:Last>
            <b:First>G.</b:First>
            <b:Middle>M.</b:Middle>
          </b:Person>
        </b:NameList>
      </b:Author>
    </b:Author>
    <b:Title>Time series analysis: Forecasting and control</b:Title>
    <b:Year>2015</b:Year>
    <b:City>Nashville, TN</b:City>
    <b:Publisher>John Wiley &amp; Sons</b:Publisher>
    <b:RefOrder>21</b:RefOrder>
  </b:Source>
  <b:Source>
    <b:Tag>Nau20</b:Tag>
    <b:SourceType>DocumentFromInternetSite</b:SourceType>
    <b:Guid>{686E06C8-323B-4A58-B4F8-42F400EB8D1B}</b:Guid>
    <b:Author>
      <b:Author>
        <b:NameList>
          <b:Person>
            <b:Last>Nau</b:Last>
            <b:First>Robert</b:First>
          </b:Person>
        </b:NameList>
      </b:Author>
    </b:Author>
    <b:Title>Statistical forecasting: notes on regression and time series analysis</b:Title>
    <b:Year>2020</b:Year>
    <b:Month>August</b:Month>
    <b:Day>18</b:Day>
    <b:YearAccessed>2022</b:YearAccessed>
    <b:MonthAccessed>February</b:MonthAccessed>
    <b:DayAccessed>5</b:DayAccessed>
    <b:URL>https://people.duke.edu/~rnau/411arim.htm</b:URL>
    <b:RefOrder>22</b:RefOrder>
  </b:Source>
  <b:Source>
    <b:Tag>Hyn21</b:Tag>
    <b:SourceType>Book</b:SourceType>
    <b:Guid>{C6416742-8186-4D29-B806-0F84DC8CE7E3}</b:Guid>
    <b:Title>Forecasting: Principles and Practice</b:Title>
    <b:Year>2021</b:Year>
    <b:Author>
      <b:Author>
        <b:NameList>
          <b:Person>
            <b:Last>Hyndman</b:Last>
            <b:First>R.J.</b:First>
          </b:Person>
          <b:Person>
            <b:Last>Athanasopoulos</b:Last>
            <b:First>G</b:First>
          </b:Person>
        </b:NameList>
      </b:Author>
    </b:Author>
    <b:City>Melbourne</b:City>
    <b:Publisher>OTexts</b:Publisher>
    <b:RefOrder>23</b:RefOrder>
  </b:Source>
  <b:Source>
    <b:Tag>End14</b:Tag>
    <b:SourceType>Book</b:SourceType>
    <b:Guid>{F8879312-1E20-453E-995B-810E811CF43A}</b:Guid>
    <b:Author>
      <b:Author>
        <b:NameList>
          <b:Person>
            <b:Last>Enders</b:Last>
            <b:First>W.</b:First>
          </b:Person>
        </b:NameList>
      </b:Author>
    </b:Author>
    <b:Title>Applied Econometric Time Series, 4th ed.</b:Title>
    <b:Year>2014</b:Year>
    <b:City>Nashville, TN</b:City>
    <b:Publisher>John Wiley &amp; Sons</b:Publisher>
    <b:RefOrder>24</b:RefOrder>
  </b:Source>
  <b:Source>
    <b:Tag>Ame22</b:Tag>
    <b:SourceType>DocumentFromInternetSite</b:SourceType>
    <b:Guid>{4F57F0B6-7840-450A-95D9-58B3D2E26EA5}</b:Guid>
    <b:Title>APA Dictionary of Psychology - Interrupted Time Series Design</b:Title>
    <b:Year>2022</b:Year>
    <b:Author>
      <b:Author>
        <b:Corporate>American Psychological Association</b:Corporate>
      </b:Author>
    </b:Author>
    <b:YearAccessed>2022</b:YearAccessed>
    <b:MonthAccessed>February</b:MonthAccessed>
    <b:DayAccessed>5</b:DayAccessed>
    <b:URL>https://dictionary.apa.org/interrupted-time-series-design</b:URL>
    <b:RefOrder>25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0F8F3D6DC310448BAFA422ED3AC201" ma:contentTypeVersion="9" ma:contentTypeDescription="Create a new document." ma:contentTypeScope="" ma:versionID="228b4ab152d69fc283792b0ac5270a83">
  <xsd:schema xmlns:xsd="http://www.w3.org/2001/XMLSchema" xmlns:xs="http://www.w3.org/2001/XMLSchema" xmlns:p="http://schemas.microsoft.com/office/2006/metadata/properties" xmlns:ns2="1df07197-c512-4ce8-a009-6e1e42fe534b" xmlns:ns3="ab192eeb-0a30-45ec-bbcc-74f21771fb8d" targetNamespace="http://schemas.microsoft.com/office/2006/metadata/properties" ma:root="true" ma:fieldsID="e83af779241f6b3bb1b570ca433a609d" ns2:_="" ns3:_="">
    <xsd:import namespace="1df07197-c512-4ce8-a009-6e1e42fe534b"/>
    <xsd:import namespace="ab192eeb-0a30-45ec-bbcc-74f21771fb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07197-c512-4ce8-a009-6e1e42fe5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192eeb-0a30-45ec-bbcc-74f21771fb8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A55BAC-B0C7-42A4-8356-882AD3B4B6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1CEB3E-A47D-4362-A7AF-F2A1FC6191F2}">
  <ds:schemaRefs>
    <ds:schemaRef ds:uri="http://schemas.openxmlformats.org/officeDocument/2006/bibliography"/>
  </ds:schemaRefs>
</ds:datastoreItem>
</file>

<file path=customXml/itemProps3.xml><?xml version="1.0" encoding="utf-8"?>
<ds:datastoreItem xmlns:ds="http://schemas.openxmlformats.org/officeDocument/2006/customXml" ds:itemID="{CDE71F13-82C3-4043-9DFD-25F7FDD0522A}">
  <ds:schemaRefs>
    <ds:schemaRef ds:uri="http://schemas.microsoft.com/sharepoint/v3/contenttype/forms"/>
  </ds:schemaRefs>
</ds:datastoreItem>
</file>

<file path=customXml/itemProps4.xml><?xml version="1.0" encoding="utf-8"?>
<ds:datastoreItem xmlns:ds="http://schemas.openxmlformats.org/officeDocument/2006/customXml" ds:itemID="{D87A1E29-5150-4219-B1A5-6599AB431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07197-c512-4ce8-a009-6e1e42fe534b"/>
    <ds:schemaRef ds:uri="ab192eeb-0a30-45ec-bbcc-74f21771f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8</Pages>
  <Words>5543</Words>
  <Characters>31599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Jediboy Betos</cp:lastModifiedBy>
  <cp:revision>373</cp:revision>
  <dcterms:created xsi:type="dcterms:W3CDTF">2022-02-07T06:36:00Z</dcterms:created>
  <dcterms:modified xsi:type="dcterms:W3CDTF">2022-02-12T18:08:00Z</dcterms:modified>
</cp:coreProperties>
</file>