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DAE" w:rsidRDefault="00FF438D" w:rsidP="00BF1DC5">
      <w:pPr>
        <w:pStyle w:val="1"/>
        <w:rPr>
          <w:sz w:val="28"/>
          <w:szCs w:val="28"/>
        </w:rPr>
      </w:pPr>
      <w:r w:rsidRPr="00FF438D">
        <w:t>1. 大数据背景</w:t>
      </w:r>
      <w:r w:rsidRPr="00FF438D">
        <w:rPr>
          <w:rFonts w:hint="eastAsia"/>
          <w:sz w:val="28"/>
          <w:szCs w:val="28"/>
        </w:rPr>
        <w:t>        </w:t>
      </w:r>
      <w:r w:rsidRPr="00FF438D">
        <w:rPr>
          <w:sz w:val="28"/>
          <w:szCs w:val="28"/>
        </w:rPr>
        <w:t xml:space="preserve"> </w:t>
      </w:r>
    </w:p>
    <w:p w:rsidR="00FF438D" w:rsidRPr="00FF438D" w:rsidRDefault="00750CBE" w:rsidP="00C07DAE">
      <w:pPr>
        <w:pStyle w:val="2"/>
        <w:rPr>
          <w:rFonts w:ascii="微软雅黑" w:eastAsia="微软雅黑" w:hAnsi="微软雅黑"/>
        </w:rPr>
      </w:pPr>
      <w:r>
        <w:rPr>
          <w:rFonts w:hint="eastAsia"/>
        </w:rPr>
        <w:t>1.1</w:t>
      </w:r>
      <w:r>
        <w:t xml:space="preserve"> </w:t>
      </w:r>
      <w:r w:rsidR="00FF438D" w:rsidRPr="00FF438D">
        <w:rPr>
          <w:rFonts w:hint="eastAsia"/>
        </w:rPr>
        <w:t>我国大数据产业发展迅速</w:t>
      </w:r>
    </w:p>
    <w:p w:rsidR="00FF438D" w:rsidRDefault="00FF438D" w:rsidP="00FF438D">
      <w:pPr>
        <w:spacing w:line="360" w:lineRule="auto"/>
        <w:ind w:firstLineChars="200" w:firstLine="560"/>
        <w:rPr>
          <w:rFonts w:hint="eastAsia"/>
          <w:sz w:val="28"/>
          <w:szCs w:val="28"/>
        </w:rPr>
      </w:pPr>
      <w:r w:rsidRPr="00FF438D">
        <w:rPr>
          <w:rFonts w:hint="eastAsia"/>
          <w:sz w:val="28"/>
          <w:szCs w:val="28"/>
        </w:rPr>
        <w:t>据信息通讯院的市场规模调查，近年来，我国大数据产业规模迅速扩增，</w:t>
      </w:r>
      <w:r w:rsidRPr="00FF438D">
        <w:rPr>
          <w:sz w:val="28"/>
          <w:szCs w:val="28"/>
        </w:rPr>
        <w:t>2016年我国大数据市场规模约为168亿人民币，预计到2020年大数据产业市场规模将达到578亿元，年均增长率在30%以上。此外，大数据和数据的开放对我国GDP的带动作用日益显著，据测算，到2020年大数据产业对我国GDP的总增量的贡献率约为1.2-1.9%，不过该水平距欧美等发到国家仍存在较大差距（例如美国约为4.0%）。</w:t>
      </w:r>
    </w:p>
    <w:p w:rsidR="00FF438D" w:rsidRDefault="00FF438D" w:rsidP="00FF438D">
      <w:pPr>
        <w:spacing w:line="360" w:lineRule="auto"/>
        <w:ind w:firstLineChars="200" w:firstLine="560"/>
        <w:rPr>
          <w:sz w:val="28"/>
          <w:szCs w:val="28"/>
        </w:rPr>
      </w:pPr>
      <w:r w:rsidRPr="00FF438D">
        <w:rPr>
          <w:rFonts w:hint="eastAsia"/>
          <w:sz w:val="28"/>
          <w:szCs w:val="28"/>
        </w:rPr>
        <w:t>虽然我国大数据产业快速发展，但是仍存在行业发展良莠不齐、数据开放程度较低、安全风险日益突出、技术应用创新滞后等四大挑战</w:t>
      </w:r>
      <w:r w:rsidR="00C07DAE">
        <w:rPr>
          <w:rFonts w:hint="eastAsia"/>
          <w:sz w:val="28"/>
          <w:szCs w:val="28"/>
        </w:rPr>
        <w:t>，总的来说，我国大数据产业虽然发展迅速，但大数据发展总体仍处于起步阶段。</w:t>
      </w:r>
    </w:p>
    <w:p w:rsidR="00FF438D" w:rsidRDefault="00750CBE" w:rsidP="00C07DAE">
      <w:pPr>
        <w:pStyle w:val="2"/>
        <w:rPr>
          <w:rFonts w:ascii="微软雅黑" w:eastAsia="微软雅黑" w:hAnsi="微软雅黑"/>
        </w:rPr>
      </w:pPr>
      <w:r>
        <w:rPr>
          <w:rFonts w:hint="eastAsia"/>
        </w:rPr>
        <w:t>1.2</w:t>
      </w:r>
      <w:r>
        <w:t xml:space="preserve"> </w:t>
      </w:r>
      <w:r w:rsidR="00FF438D">
        <w:rPr>
          <w:rFonts w:hint="eastAsia"/>
        </w:rPr>
        <w:t>政策推动我国大数据产业发展</w:t>
      </w:r>
    </w:p>
    <w:p w:rsidR="00850856" w:rsidRDefault="00FF438D" w:rsidP="00FF438D">
      <w:pPr>
        <w:spacing w:line="360" w:lineRule="auto"/>
        <w:ind w:firstLineChars="200" w:firstLine="560"/>
        <w:rPr>
          <w:sz w:val="28"/>
          <w:szCs w:val="28"/>
        </w:rPr>
      </w:pPr>
      <w:r w:rsidRPr="00FF438D">
        <w:rPr>
          <w:sz w:val="28"/>
          <w:szCs w:val="28"/>
        </w:rPr>
        <w:t>2015年9月，国务院印发《促进大数据发展行动纲要》，通过促进大数据发展，释放技术红利、制度红利和创新红利，倒</w:t>
      </w:r>
      <w:proofErr w:type="gramStart"/>
      <w:r w:rsidRPr="00FF438D">
        <w:rPr>
          <w:sz w:val="28"/>
          <w:szCs w:val="28"/>
        </w:rPr>
        <w:t>逼行政</w:t>
      </w:r>
      <w:proofErr w:type="gramEnd"/>
      <w:r w:rsidRPr="00FF438D">
        <w:rPr>
          <w:sz w:val="28"/>
          <w:szCs w:val="28"/>
        </w:rPr>
        <w:t>体制改革，提升政府治理能力，推动经济转型升级。工业与信息化部为全面部署“十三五”时期大数据发展，加快建设数据强国，为实现制造强国和网络强国提供强大的产业支撑，组织编写了《大数据产业发展规划（2016-2020年）》。此外，</w:t>
      </w:r>
      <w:proofErr w:type="gramStart"/>
      <w:r w:rsidRPr="00FF438D">
        <w:rPr>
          <w:sz w:val="28"/>
          <w:szCs w:val="28"/>
        </w:rPr>
        <w:t>发改委</w:t>
      </w:r>
      <w:proofErr w:type="gramEnd"/>
      <w:r w:rsidRPr="00FF438D">
        <w:rPr>
          <w:sz w:val="28"/>
          <w:szCs w:val="28"/>
        </w:rPr>
        <w:t>、农业部、交通运输部、国土资</w:t>
      </w:r>
      <w:r w:rsidRPr="00FF438D">
        <w:rPr>
          <w:sz w:val="28"/>
          <w:szCs w:val="28"/>
        </w:rPr>
        <w:lastRenderedPageBreak/>
        <w:t>源部、环境保护部、林业局等机构也纷纷出台各自领域的大数据建设总体方案。各地政府高度重视大数据产业发展，相关政策密集出台。</w:t>
      </w:r>
      <w:r w:rsidR="00850856">
        <w:rPr>
          <w:rFonts w:hint="eastAsia"/>
          <w:sz w:val="28"/>
          <w:szCs w:val="28"/>
        </w:rPr>
        <w:t>据不完全统计，已有20多个省级地方和10余个部委出台了本地区、本行业大数据发展规划。</w:t>
      </w:r>
    </w:p>
    <w:p w:rsidR="006E7073" w:rsidRDefault="00155F55" w:rsidP="00FF438D">
      <w:pPr>
        <w:spacing w:line="360" w:lineRule="auto"/>
        <w:ind w:firstLineChars="200" w:firstLine="560"/>
        <w:rPr>
          <w:sz w:val="28"/>
          <w:szCs w:val="28"/>
        </w:rPr>
      </w:pPr>
      <w:r>
        <w:rPr>
          <w:rFonts w:hint="eastAsia"/>
          <w:sz w:val="28"/>
          <w:szCs w:val="28"/>
        </w:rPr>
        <w:t>下</w:t>
      </w:r>
      <w:r w:rsidR="00750CBE">
        <w:rPr>
          <w:rFonts w:hint="eastAsia"/>
          <w:sz w:val="28"/>
          <w:szCs w:val="28"/>
        </w:rPr>
        <w:t>表为</w:t>
      </w:r>
      <w:r w:rsidR="00C07DAE">
        <w:rPr>
          <w:rFonts w:hint="eastAsia"/>
          <w:sz w:val="28"/>
          <w:szCs w:val="28"/>
        </w:rPr>
        <w:t>中央及</w:t>
      </w:r>
      <w:r w:rsidR="006E7073">
        <w:rPr>
          <w:rFonts w:hint="eastAsia"/>
          <w:sz w:val="28"/>
          <w:szCs w:val="28"/>
        </w:rPr>
        <w:t>部委大数据领域最受关注的十大</w:t>
      </w:r>
      <w:r w:rsidR="00C07DAE">
        <w:rPr>
          <w:rFonts w:hint="eastAsia"/>
          <w:sz w:val="28"/>
          <w:szCs w:val="28"/>
        </w:rPr>
        <w:t>政策</w:t>
      </w:r>
      <w:r w:rsidR="00750CBE">
        <w:rPr>
          <w:rFonts w:hint="eastAsia"/>
          <w:sz w:val="28"/>
          <w:szCs w:val="28"/>
        </w:rPr>
        <w:t>。</w:t>
      </w:r>
    </w:p>
    <w:tbl>
      <w:tblPr>
        <w:tblStyle w:val="a5"/>
        <w:tblW w:w="9067" w:type="dxa"/>
        <w:tblLook w:val="04A0" w:firstRow="1" w:lastRow="0" w:firstColumn="1" w:lastColumn="0" w:noHBand="0" w:noVBand="1"/>
      </w:tblPr>
      <w:tblGrid>
        <w:gridCol w:w="846"/>
        <w:gridCol w:w="5670"/>
        <w:gridCol w:w="1559"/>
        <w:gridCol w:w="992"/>
      </w:tblGrid>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排名</w:t>
            </w:r>
          </w:p>
        </w:tc>
        <w:tc>
          <w:tcPr>
            <w:tcW w:w="5670" w:type="dxa"/>
          </w:tcPr>
          <w:p w:rsidR="006E7073" w:rsidRDefault="006E7073" w:rsidP="00FF438D">
            <w:pPr>
              <w:spacing w:line="360" w:lineRule="auto"/>
              <w:rPr>
                <w:rFonts w:hint="eastAsia"/>
                <w:sz w:val="28"/>
                <w:szCs w:val="28"/>
              </w:rPr>
            </w:pPr>
            <w:r>
              <w:rPr>
                <w:rFonts w:hint="eastAsia"/>
                <w:sz w:val="28"/>
                <w:szCs w:val="28"/>
              </w:rPr>
              <w:t>文件名称</w:t>
            </w:r>
          </w:p>
        </w:tc>
        <w:tc>
          <w:tcPr>
            <w:tcW w:w="1559" w:type="dxa"/>
          </w:tcPr>
          <w:p w:rsidR="006E7073" w:rsidRDefault="006E7073" w:rsidP="00FF438D">
            <w:pPr>
              <w:spacing w:line="360" w:lineRule="auto"/>
              <w:rPr>
                <w:rFonts w:hint="eastAsia"/>
                <w:sz w:val="28"/>
                <w:szCs w:val="28"/>
              </w:rPr>
            </w:pPr>
            <w:r>
              <w:rPr>
                <w:rFonts w:hint="eastAsia"/>
                <w:sz w:val="28"/>
                <w:szCs w:val="28"/>
              </w:rPr>
              <w:t>发文单位</w:t>
            </w:r>
          </w:p>
        </w:tc>
        <w:tc>
          <w:tcPr>
            <w:tcW w:w="992" w:type="dxa"/>
          </w:tcPr>
          <w:p w:rsidR="006E7073" w:rsidRDefault="006E7073" w:rsidP="00FF438D">
            <w:pPr>
              <w:spacing w:line="360" w:lineRule="auto"/>
              <w:rPr>
                <w:rFonts w:hint="eastAsia"/>
                <w:sz w:val="28"/>
                <w:szCs w:val="28"/>
              </w:rPr>
            </w:pPr>
            <w:r>
              <w:rPr>
                <w:rFonts w:hint="eastAsia"/>
                <w:sz w:val="28"/>
                <w:szCs w:val="28"/>
              </w:rPr>
              <w:t>关注度</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1</w:t>
            </w:r>
          </w:p>
        </w:tc>
        <w:tc>
          <w:tcPr>
            <w:tcW w:w="5670" w:type="dxa"/>
          </w:tcPr>
          <w:p w:rsidR="006E7073" w:rsidRDefault="006E7073" w:rsidP="00FF438D">
            <w:pPr>
              <w:spacing w:line="360" w:lineRule="auto"/>
              <w:rPr>
                <w:rFonts w:hint="eastAsia"/>
                <w:sz w:val="28"/>
                <w:szCs w:val="28"/>
              </w:rPr>
            </w:pPr>
            <w:r>
              <w:rPr>
                <w:rFonts w:hint="eastAsia"/>
                <w:sz w:val="28"/>
                <w:szCs w:val="28"/>
              </w:rPr>
              <w:t>《大数据产业发展规划（2016-2020年）》</w:t>
            </w:r>
          </w:p>
        </w:tc>
        <w:tc>
          <w:tcPr>
            <w:tcW w:w="1559" w:type="dxa"/>
          </w:tcPr>
          <w:p w:rsidR="006E7073" w:rsidRDefault="006E7073" w:rsidP="00FF438D">
            <w:pPr>
              <w:spacing w:line="360" w:lineRule="auto"/>
              <w:rPr>
                <w:rFonts w:hint="eastAsia"/>
                <w:sz w:val="28"/>
                <w:szCs w:val="28"/>
              </w:rPr>
            </w:pPr>
            <w:r>
              <w:rPr>
                <w:rFonts w:hint="eastAsia"/>
                <w:sz w:val="28"/>
                <w:szCs w:val="28"/>
              </w:rPr>
              <w:t>工信部</w:t>
            </w:r>
          </w:p>
        </w:tc>
        <w:tc>
          <w:tcPr>
            <w:tcW w:w="992" w:type="dxa"/>
          </w:tcPr>
          <w:p w:rsidR="006E7073" w:rsidRDefault="006E7073" w:rsidP="00FF438D">
            <w:pPr>
              <w:spacing w:line="360" w:lineRule="auto"/>
              <w:rPr>
                <w:rFonts w:hint="eastAsia"/>
                <w:sz w:val="28"/>
                <w:szCs w:val="28"/>
              </w:rPr>
            </w:pPr>
            <w:r>
              <w:rPr>
                <w:rFonts w:hint="eastAsia"/>
                <w:sz w:val="28"/>
                <w:szCs w:val="28"/>
              </w:rPr>
              <w:t>92.11</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2</w:t>
            </w:r>
          </w:p>
        </w:tc>
        <w:tc>
          <w:tcPr>
            <w:tcW w:w="5670" w:type="dxa"/>
          </w:tcPr>
          <w:p w:rsidR="006E7073" w:rsidRDefault="006E7073" w:rsidP="00FF438D">
            <w:pPr>
              <w:spacing w:line="360" w:lineRule="auto"/>
              <w:rPr>
                <w:rFonts w:hint="eastAsia"/>
                <w:sz w:val="28"/>
                <w:szCs w:val="28"/>
              </w:rPr>
            </w:pPr>
            <w:r>
              <w:rPr>
                <w:rFonts w:hint="eastAsia"/>
                <w:sz w:val="28"/>
                <w:szCs w:val="28"/>
              </w:rPr>
              <w:t>《关于促进和规范健康医疗大数据应用发展的指导意见》</w:t>
            </w:r>
          </w:p>
        </w:tc>
        <w:tc>
          <w:tcPr>
            <w:tcW w:w="1559" w:type="dxa"/>
          </w:tcPr>
          <w:p w:rsidR="006E7073" w:rsidRDefault="006E7073" w:rsidP="00FF438D">
            <w:pPr>
              <w:spacing w:line="360" w:lineRule="auto"/>
              <w:rPr>
                <w:rFonts w:hint="eastAsia"/>
                <w:sz w:val="28"/>
                <w:szCs w:val="28"/>
              </w:rPr>
            </w:pPr>
            <w:r>
              <w:rPr>
                <w:rFonts w:hint="eastAsia"/>
                <w:sz w:val="28"/>
                <w:szCs w:val="28"/>
              </w:rPr>
              <w:t>国务院办公厅</w:t>
            </w:r>
          </w:p>
        </w:tc>
        <w:tc>
          <w:tcPr>
            <w:tcW w:w="992" w:type="dxa"/>
          </w:tcPr>
          <w:p w:rsidR="006E7073" w:rsidRDefault="006E7073" w:rsidP="00FF438D">
            <w:pPr>
              <w:spacing w:line="360" w:lineRule="auto"/>
              <w:rPr>
                <w:rFonts w:hint="eastAsia"/>
                <w:sz w:val="28"/>
                <w:szCs w:val="28"/>
              </w:rPr>
            </w:pPr>
            <w:r>
              <w:rPr>
                <w:rFonts w:hint="eastAsia"/>
                <w:sz w:val="28"/>
                <w:szCs w:val="28"/>
              </w:rPr>
              <w:t>82.94</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3</w:t>
            </w:r>
          </w:p>
        </w:tc>
        <w:tc>
          <w:tcPr>
            <w:tcW w:w="5670" w:type="dxa"/>
          </w:tcPr>
          <w:p w:rsidR="006E7073" w:rsidRDefault="006E7073" w:rsidP="00FF438D">
            <w:pPr>
              <w:spacing w:line="360" w:lineRule="auto"/>
              <w:rPr>
                <w:rFonts w:hint="eastAsia"/>
                <w:sz w:val="28"/>
                <w:szCs w:val="28"/>
              </w:rPr>
            </w:pPr>
            <w:r>
              <w:rPr>
                <w:rFonts w:hint="eastAsia"/>
                <w:sz w:val="28"/>
                <w:szCs w:val="28"/>
              </w:rPr>
              <w:t>《农业农村大数据试点方案》</w:t>
            </w:r>
          </w:p>
        </w:tc>
        <w:tc>
          <w:tcPr>
            <w:tcW w:w="1559" w:type="dxa"/>
          </w:tcPr>
          <w:p w:rsidR="006E7073" w:rsidRDefault="006E7073" w:rsidP="00FF438D">
            <w:pPr>
              <w:spacing w:line="360" w:lineRule="auto"/>
              <w:rPr>
                <w:rFonts w:hint="eastAsia"/>
                <w:sz w:val="28"/>
                <w:szCs w:val="28"/>
              </w:rPr>
            </w:pPr>
            <w:r>
              <w:rPr>
                <w:rFonts w:hint="eastAsia"/>
                <w:sz w:val="28"/>
                <w:szCs w:val="28"/>
              </w:rPr>
              <w:t>农业部</w:t>
            </w:r>
          </w:p>
        </w:tc>
        <w:tc>
          <w:tcPr>
            <w:tcW w:w="992" w:type="dxa"/>
          </w:tcPr>
          <w:p w:rsidR="006E7073" w:rsidRDefault="006E7073" w:rsidP="00FF438D">
            <w:pPr>
              <w:spacing w:line="360" w:lineRule="auto"/>
              <w:rPr>
                <w:rFonts w:hint="eastAsia"/>
                <w:sz w:val="28"/>
                <w:szCs w:val="28"/>
              </w:rPr>
            </w:pPr>
            <w:r>
              <w:rPr>
                <w:rFonts w:hint="eastAsia"/>
                <w:sz w:val="28"/>
                <w:szCs w:val="28"/>
              </w:rPr>
              <w:t>78.34</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4</w:t>
            </w:r>
          </w:p>
        </w:tc>
        <w:tc>
          <w:tcPr>
            <w:tcW w:w="5670" w:type="dxa"/>
          </w:tcPr>
          <w:p w:rsidR="006E7073" w:rsidRDefault="006E7073" w:rsidP="00FF438D">
            <w:pPr>
              <w:spacing w:line="360" w:lineRule="auto"/>
              <w:rPr>
                <w:rFonts w:hint="eastAsia"/>
                <w:sz w:val="28"/>
                <w:szCs w:val="28"/>
              </w:rPr>
            </w:pPr>
            <w:r>
              <w:rPr>
                <w:rFonts w:hint="eastAsia"/>
                <w:sz w:val="28"/>
                <w:szCs w:val="28"/>
              </w:rPr>
              <w:t>《关于推进交通运输行业数据资源开放共享的实施意见》</w:t>
            </w:r>
          </w:p>
        </w:tc>
        <w:tc>
          <w:tcPr>
            <w:tcW w:w="1559" w:type="dxa"/>
          </w:tcPr>
          <w:p w:rsidR="006E7073" w:rsidRPr="006E7073" w:rsidRDefault="006E7073" w:rsidP="00FF438D">
            <w:pPr>
              <w:spacing w:line="360" w:lineRule="auto"/>
              <w:rPr>
                <w:rFonts w:hint="eastAsia"/>
                <w:sz w:val="28"/>
                <w:szCs w:val="28"/>
              </w:rPr>
            </w:pPr>
            <w:r>
              <w:rPr>
                <w:rFonts w:hint="eastAsia"/>
                <w:sz w:val="28"/>
                <w:szCs w:val="28"/>
              </w:rPr>
              <w:t>交通部</w:t>
            </w:r>
          </w:p>
        </w:tc>
        <w:tc>
          <w:tcPr>
            <w:tcW w:w="992" w:type="dxa"/>
          </w:tcPr>
          <w:p w:rsidR="006E7073" w:rsidRDefault="006E7073" w:rsidP="00FF438D">
            <w:pPr>
              <w:spacing w:line="360" w:lineRule="auto"/>
              <w:rPr>
                <w:rFonts w:hint="eastAsia"/>
                <w:sz w:val="28"/>
                <w:szCs w:val="28"/>
              </w:rPr>
            </w:pPr>
            <w:r>
              <w:rPr>
                <w:rFonts w:hint="eastAsia"/>
                <w:sz w:val="28"/>
                <w:szCs w:val="28"/>
              </w:rPr>
              <w:t>69.68</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5</w:t>
            </w:r>
          </w:p>
        </w:tc>
        <w:tc>
          <w:tcPr>
            <w:tcW w:w="5670" w:type="dxa"/>
          </w:tcPr>
          <w:p w:rsidR="006E7073" w:rsidRDefault="006E7073" w:rsidP="00FF438D">
            <w:pPr>
              <w:spacing w:line="360" w:lineRule="auto"/>
              <w:rPr>
                <w:rFonts w:hint="eastAsia"/>
                <w:sz w:val="28"/>
                <w:szCs w:val="28"/>
              </w:rPr>
            </w:pPr>
            <w:r>
              <w:rPr>
                <w:rFonts w:hint="eastAsia"/>
                <w:sz w:val="28"/>
                <w:szCs w:val="28"/>
              </w:rPr>
              <w:t>《关于加快中国林业大数据发展的指导意见》</w:t>
            </w:r>
          </w:p>
        </w:tc>
        <w:tc>
          <w:tcPr>
            <w:tcW w:w="1559" w:type="dxa"/>
          </w:tcPr>
          <w:p w:rsidR="006E7073" w:rsidRDefault="006E7073" w:rsidP="00FF438D">
            <w:pPr>
              <w:spacing w:line="360" w:lineRule="auto"/>
              <w:rPr>
                <w:rFonts w:hint="eastAsia"/>
                <w:sz w:val="28"/>
                <w:szCs w:val="28"/>
              </w:rPr>
            </w:pPr>
            <w:r>
              <w:rPr>
                <w:rFonts w:hint="eastAsia"/>
                <w:sz w:val="28"/>
                <w:szCs w:val="28"/>
              </w:rPr>
              <w:t>林业局</w:t>
            </w:r>
          </w:p>
        </w:tc>
        <w:tc>
          <w:tcPr>
            <w:tcW w:w="992" w:type="dxa"/>
          </w:tcPr>
          <w:p w:rsidR="006E7073" w:rsidRDefault="006E7073" w:rsidP="00FF438D">
            <w:pPr>
              <w:spacing w:line="360" w:lineRule="auto"/>
              <w:rPr>
                <w:rFonts w:hint="eastAsia"/>
                <w:sz w:val="28"/>
                <w:szCs w:val="28"/>
              </w:rPr>
            </w:pPr>
            <w:r>
              <w:rPr>
                <w:rFonts w:hint="eastAsia"/>
                <w:sz w:val="28"/>
                <w:szCs w:val="28"/>
              </w:rPr>
              <w:t>53.89</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6</w:t>
            </w:r>
          </w:p>
        </w:tc>
        <w:tc>
          <w:tcPr>
            <w:tcW w:w="5670" w:type="dxa"/>
          </w:tcPr>
          <w:p w:rsidR="006E7073" w:rsidRDefault="006E7073" w:rsidP="00FF438D">
            <w:pPr>
              <w:spacing w:line="360" w:lineRule="auto"/>
              <w:rPr>
                <w:rFonts w:hint="eastAsia"/>
                <w:sz w:val="28"/>
                <w:szCs w:val="28"/>
              </w:rPr>
            </w:pPr>
            <w:r>
              <w:rPr>
                <w:rFonts w:hint="eastAsia"/>
                <w:sz w:val="28"/>
                <w:szCs w:val="28"/>
              </w:rPr>
              <w:t>国家林业局落实《促进大数据发展行动纲要》的三年工作方案</w:t>
            </w:r>
          </w:p>
        </w:tc>
        <w:tc>
          <w:tcPr>
            <w:tcW w:w="1559" w:type="dxa"/>
          </w:tcPr>
          <w:p w:rsidR="006E7073" w:rsidRDefault="006E7073" w:rsidP="00FF438D">
            <w:pPr>
              <w:spacing w:line="360" w:lineRule="auto"/>
              <w:rPr>
                <w:rFonts w:hint="eastAsia"/>
                <w:sz w:val="28"/>
                <w:szCs w:val="28"/>
              </w:rPr>
            </w:pPr>
            <w:r>
              <w:rPr>
                <w:rFonts w:hint="eastAsia"/>
                <w:sz w:val="28"/>
                <w:szCs w:val="28"/>
              </w:rPr>
              <w:t>林业局</w:t>
            </w:r>
          </w:p>
        </w:tc>
        <w:tc>
          <w:tcPr>
            <w:tcW w:w="992" w:type="dxa"/>
          </w:tcPr>
          <w:p w:rsidR="006E7073" w:rsidRDefault="006E7073" w:rsidP="00FF438D">
            <w:pPr>
              <w:spacing w:line="360" w:lineRule="auto"/>
              <w:rPr>
                <w:rFonts w:hint="eastAsia"/>
                <w:sz w:val="28"/>
                <w:szCs w:val="28"/>
              </w:rPr>
            </w:pPr>
            <w:r>
              <w:rPr>
                <w:rFonts w:hint="eastAsia"/>
                <w:sz w:val="28"/>
                <w:szCs w:val="28"/>
              </w:rPr>
              <w:t>50.64</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7</w:t>
            </w:r>
          </w:p>
        </w:tc>
        <w:tc>
          <w:tcPr>
            <w:tcW w:w="5670" w:type="dxa"/>
          </w:tcPr>
          <w:p w:rsidR="006E7073" w:rsidRDefault="006E7073" w:rsidP="00FF438D">
            <w:pPr>
              <w:spacing w:line="360" w:lineRule="auto"/>
              <w:rPr>
                <w:rFonts w:hint="eastAsia"/>
                <w:sz w:val="28"/>
                <w:szCs w:val="28"/>
              </w:rPr>
            </w:pPr>
            <w:r>
              <w:rPr>
                <w:rFonts w:hint="eastAsia"/>
                <w:sz w:val="28"/>
                <w:szCs w:val="28"/>
              </w:rPr>
              <w:t>《生态环境大数据建设总体方案》</w:t>
            </w:r>
          </w:p>
        </w:tc>
        <w:tc>
          <w:tcPr>
            <w:tcW w:w="1559" w:type="dxa"/>
          </w:tcPr>
          <w:p w:rsidR="006E7073" w:rsidRDefault="006E7073" w:rsidP="00FF438D">
            <w:pPr>
              <w:spacing w:line="360" w:lineRule="auto"/>
              <w:rPr>
                <w:rFonts w:hint="eastAsia"/>
                <w:sz w:val="28"/>
                <w:szCs w:val="28"/>
              </w:rPr>
            </w:pPr>
            <w:r>
              <w:rPr>
                <w:rFonts w:hint="eastAsia"/>
                <w:sz w:val="28"/>
                <w:szCs w:val="28"/>
              </w:rPr>
              <w:t>环保部</w:t>
            </w:r>
          </w:p>
        </w:tc>
        <w:tc>
          <w:tcPr>
            <w:tcW w:w="992" w:type="dxa"/>
          </w:tcPr>
          <w:p w:rsidR="006E7073" w:rsidRDefault="006E7073" w:rsidP="00FF438D">
            <w:pPr>
              <w:spacing w:line="360" w:lineRule="auto"/>
              <w:rPr>
                <w:rFonts w:hint="eastAsia"/>
                <w:sz w:val="28"/>
                <w:szCs w:val="28"/>
              </w:rPr>
            </w:pPr>
            <w:r>
              <w:rPr>
                <w:rFonts w:hint="eastAsia"/>
                <w:sz w:val="28"/>
                <w:szCs w:val="28"/>
              </w:rPr>
              <w:t>43.65</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8</w:t>
            </w:r>
          </w:p>
        </w:tc>
        <w:tc>
          <w:tcPr>
            <w:tcW w:w="5670" w:type="dxa"/>
          </w:tcPr>
          <w:p w:rsidR="006E7073" w:rsidRDefault="006E7073" w:rsidP="00FF438D">
            <w:pPr>
              <w:spacing w:line="360" w:lineRule="auto"/>
              <w:rPr>
                <w:rFonts w:hint="eastAsia"/>
                <w:sz w:val="28"/>
                <w:szCs w:val="28"/>
              </w:rPr>
            </w:pPr>
            <w:r>
              <w:rPr>
                <w:rFonts w:hint="eastAsia"/>
                <w:sz w:val="28"/>
                <w:szCs w:val="28"/>
              </w:rPr>
              <w:t>《促进大数据发展三年工作方案（2016-2018）》</w:t>
            </w:r>
          </w:p>
        </w:tc>
        <w:tc>
          <w:tcPr>
            <w:tcW w:w="1559" w:type="dxa"/>
          </w:tcPr>
          <w:p w:rsidR="006E7073" w:rsidRDefault="006E7073" w:rsidP="00FF438D">
            <w:pPr>
              <w:spacing w:line="360" w:lineRule="auto"/>
              <w:rPr>
                <w:rFonts w:hint="eastAsia"/>
                <w:sz w:val="28"/>
                <w:szCs w:val="28"/>
              </w:rPr>
            </w:pPr>
            <w:proofErr w:type="gramStart"/>
            <w:r>
              <w:rPr>
                <w:rFonts w:hint="eastAsia"/>
                <w:sz w:val="28"/>
                <w:szCs w:val="28"/>
              </w:rPr>
              <w:t>国家发改委</w:t>
            </w:r>
            <w:proofErr w:type="gramEnd"/>
            <w:r>
              <w:rPr>
                <w:rFonts w:hint="eastAsia"/>
                <w:sz w:val="28"/>
                <w:szCs w:val="28"/>
              </w:rPr>
              <w:t>等部委</w:t>
            </w:r>
          </w:p>
        </w:tc>
        <w:tc>
          <w:tcPr>
            <w:tcW w:w="992" w:type="dxa"/>
          </w:tcPr>
          <w:p w:rsidR="006E7073" w:rsidRDefault="006E7073" w:rsidP="00FF438D">
            <w:pPr>
              <w:spacing w:line="360" w:lineRule="auto"/>
              <w:rPr>
                <w:rFonts w:hint="eastAsia"/>
                <w:sz w:val="28"/>
                <w:szCs w:val="28"/>
              </w:rPr>
            </w:pPr>
            <w:r>
              <w:rPr>
                <w:rFonts w:hint="eastAsia"/>
                <w:sz w:val="28"/>
                <w:szCs w:val="28"/>
              </w:rPr>
              <w:t>40.93</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t>9</w:t>
            </w:r>
          </w:p>
        </w:tc>
        <w:tc>
          <w:tcPr>
            <w:tcW w:w="5670" w:type="dxa"/>
          </w:tcPr>
          <w:p w:rsidR="006E7073" w:rsidRDefault="006E7073" w:rsidP="00FF438D">
            <w:pPr>
              <w:spacing w:line="360" w:lineRule="auto"/>
              <w:rPr>
                <w:rFonts w:hint="eastAsia"/>
                <w:sz w:val="28"/>
                <w:szCs w:val="28"/>
              </w:rPr>
            </w:pPr>
            <w:r>
              <w:rPr>
                <w:rFonts w:hint="eastAsia"/>
                <w:sz w:val="28"/>
                <w:szCs w:val="28"/>
              </w:rPr>
              <w:t>《促进国土资源大数据应用发展实施意见》</w:t>
            </w:r>
          </w:p>
        </w:tc>
        <w:tc>
          <w:tcPr>
            <w:tcW w:w="1559" w:type="dxa"/>
          </w:tcPr>
          <w:p w:rsidR="006E7073" w:rsidRDefault="006E7073" w:rsidP="00FF438D">
            <w:pPr>
              <w:spacing w:line="360" w:lineRule="auto"/>
              <w:rPr>
                <w:rFonts w:hint="eastAsia"/>
                <w:sz w:val="28"/>
                <w:szCs w:val="28"/>
              </w:rPr>
            </w:pPr>
            <w:r>
              <w:rPr>
                <w:rFonts w:hint="eastAsia"/>
                <w:sz w:val="28"/>
                <w:szCs w:val="28"/>
              </w:rPr>
              <w:t>国土资源部</w:t>
            </w:r>
          </w:p>
        </w:tc>
        <w:tc>
          <w:tcPr>
            <w:tcW w:w="992" w:type="dxa"/>
          </w:tcPr>
          <w:p w:rsidR="006E7073" w:rsidRDefault="006E7073" w:rsidP="00FF438D">
            <w:pPr>
              <w:spacing w:line="360" w:lineRule="auto"/>
              <w:rPr>
                <w:rFonts w:hint="eastAsia"/>
                <w:sz w:val="28"/>
                <w:szCs w:val="28"/>
              </w:rPr>
            </w:pPr>
            <w:r>
              <w:rPr>
                <w:rFonts w:hint="eastAsia"/>
                <w:sz w:val="28"/>
                <w:szCs w:val="28"/>
              </w:rPr>
              <w:t>32.11</w:t>
            </w:r>
          </w:p>
        </w:tc>
      </w:tr>
      <w:tr w:rsidR="006E7073" w:rsidTr="00155F55">
        <w:tc>
          <w:tcPr>
            <w:tcW w:w="846" w:type="dxa"/>
          </w:tcPr>
          <w:p w:rsidR="006E7073" w:rsidRDefault="006E7073" w:rsidP="00FF438D">
            <w:pPr>
              <w:spacing w:line="360" w:lineRule="auto"/>
              <w:rPr>
                <w:rFonts w:hint="eastAsia"/>
                <w:sz w:val="28"/>
                <w:szCs w:val="28"/>
              </w:rPr>
            </w:pPr>
            <w:r>
              <w:rPr>
                <w:rFonts w:hint="eastAsia"/>
                <w:sz w:val="28"/>
                <w:szCs w:val="28"/>
              </w:rPr>
              <w:lastRenderedPageBreak/>
              <w:t>10</w:t>
            </w:r>
          </w:p>
        </w:tc>
        <w:tc>
          <w:tcPr>
            <w:tcW w:w="5670" w:type="dxa"/>
          </w:tcPr>
          <w:p w:rsidR="006E7073" w:rsidRDefault="006E7073" w:rsidP="00FF438D">
            <w:pPr>
              <w:spacing w:line="360" w:lineRule="auto"/>
              <w:rPr>
                <w:rFonts w:hint="eastAsia"/>
                <w:sz w:val="28"/>
                <w:szCs w:val="28"/>
              </w:rPr>
            </w:pPr>
            <w:r>
              <w:rPr>
                <w:rFonts w:hint="eastAsia"/>
                <w:sz w:val="28"/>
                <w:szCs w:val="28"/>
              </w:rPr>
              <w:t>《关于推进全国发展改革系统大数据工作的指导意见》</w:t>
            </w:r>
          </w:p>
        </w:tc>
        <w:tc>
          <w:tcPr>
            <w:tcW w:w="1559" w:type="dxa"/>
          </w:tcPr>
          <w:p w:rsidR="006E7073" w:rsidRDefault="006E7073" w:rsidP="00FF438D">
            <w:pPr>
              <w:spacing w:line="360" w:lineRule="auto"/>
              <w:rPr>
                <w:rFonts w:hint="eastAsia"/>
                <w:sz w:val="28"/>
                <w:szCs w:val="28"/>
              </w:rPr>
            </w:pPr>
            <w:proofErr w:type="gramStart"/>
            <w:r>
              <w:rPr>
                <w:rFonts w:hint="eastAsia"/>
                <w:sz w:val="28"/>
                <w:szCs w:val="28"/>
              </w:rPr>
              <w:t>国家发改委</w:t>
            </w:r>
            <w:proofErr w:type="gramEnd"/>
          </w:p>
        </w:tc>
        <w:tc>
          <w:tcPr>
            <w:tcW w:w="992" w:type="dxa"/>
          </w:tcPr>
          <w:p w:rsidR="006E7073" w:rsidRDefault="006E7073" w:rsidP="00FF438D">
            <w:pPr>
              <w:spacing w:line="360" w:lineRule="auto"/>
              <w:rPr>
                <w:rFonts w:hint="eastAsia"/>
                <w:sz w:val="28"/>
                <w:szCs w:val="28"/>
              </w:rPr>
            </w:pPr>
            <w:r>
              <w:rPr>
                <w:rFonts w:hint="eastAsia"/>
                <w:sz w:val="28"/>
                <w:szCs w:val="28"/>
              </w:rPr>
              <w:t>30.56</w:t>
            </w:r>
          </w:p>
        </w:tc>
      </w:tr>
    </w:tbl>
    <w:p w:rsidR="00C07DAE" w:rsidRDefault="00155F55" w:rsidP="00FF438D">
      <w:pPr>
        <w:spacing w:line="360" w:lineRule="auto"/>
        <w:ind w:firstLineChars="200" w:firstLine="420"/>
        <w:rPr>
          <w:szCs w:val="21"/>
        </w:rPr>
      </w:pPr>
      <w:r w:rsidRPr="00155F55">
        <w:rPr>
          <w:rFonts w:hint="eastAsia"/>
          <w:szCs w:val="21"/>
        </w:rPr>
        <w:t>注:关注度是指基于互联网上对相关政策的公开报道量和网民讨论</w:t>
      </w:r>
      <w:proofErr w:type="gramStart"/>
      <w:r w:rsidRPr="00155F55">
        <w:rPr>
          <w:rFonts w:hint="eastAsia"/>
          <w:szCs w:val="21"/>
        </w:rPr>
        <w:t>量形成</w:t>
      </w:r>
      <w:proofErr w:type="gramEnd"/>
      <w:r w:rsidRPr="00155F55">
        <w:rPr>
          <w:rFonts w:hint="eastAsia"/>
          <w:szCs w:val="21"/>
        </w:rPr>
        <w:t>的表征网民关注热度的指标，最高值为100，最低值为0，数值越高表明该政策越受关注。</w:t>
      </w:r>
    </w:p>
    <w:p w:rsidR="00155F55" w:rsidRPr="00155F55" w:rsidRDefault="00155F55" w:rsidP="00FF438D">
      <w:pPr>
        <w:spacing w:line="360" w:lineRule="auto"/>
        <w:ind w:firstLineChars="200" w:firstLine="420"/>
        <w:rPr>
          <w:rFonts w:hint="eastAsia"/>
          <w:szCs w:val="21"/>
        </w:rPr>
      </w:pPr>
    </w:p>
    <w:p w:rsidR="00FF438D" w:rsidRDefault="00FF438D" w:rsidP="00FF438D">
      <w:pPr>
        <w:spacing w:line="360" w:lineRule="auto"/>
        <w:ind w:firstLineChars="200" w:firstLine="560"/>
        <w:rPr>
          <w:sz w:val="28"/>
          <w:szCs w:val="28"/>
        </w:rPr>
      </w:pPr>
      <w:r w:rsidRPr="00FF438D">
        <w:rPr>
          <w:rFonts w:hint="eastAsia"/>
          <w:sz w:val="28"/>
          <w:szCs w:val="28"/>
        </w:rPr>
        <w:t>通过深入分析各地出台的大数据发展策略，各地发展大数据可总结为“技术创新</w:t>
      </w:r>
      <w:r w:rsidRPr="00FF438D">
        <w:rPr>
          <w:sz w:val="28"/>
          <w:szCs w:val="28"/>
        </w:rPr>
        <w:t>+”、“应用导向+”和“资源利用+”三种模式。其中，“技术创新+”模式强度技术研发和典型应用，典型代表为上海和北京；“应用导向+”模式强调产业集群和带动作用，典型表达为天津和沈阳；“资源利用+”则强调园区建设和招商引资，典型代表为贵阳、苏州和武汉等。</w:t>
      </w:r>
    </w:p>
    <w:p w:rsidR="00FF438D" w:rsidRDefault="00750CBE" w:rsidP="00C07DAE">
      <w:pPr>
        <w:pStyle w:val="2"/>
        <w:rPr>
          <w:rFonts w:ascii="微软雅黑" w:eastAsia="微软雅黑" w:hAnsi="微软雅黑"/>
        </w:rPr>
      </w:pPr>
      <w:r>
        <w:rPr>
          <w:rFonts w:hint="eastAsia"/>
        </w:rPr>
        <w:t>1.3</w:t>
      </w:r>
      <w:r w:rsidR="00FF438D">
        <w:rPr>
          <w:rFonts w:hint="eastAsia"/>
        </w:rPr>
        <w:t>大数据项目建设快速增长，政府占大头</w:t>
      </w:r>
    </w:p>
    <w:p w:rsidR="00FF438D" w:rsidRDefault="00FF438D" w:rsidP="00FF438D">
      <w:pPr>
        <w:spacing w:line="360" w:lineRule="auto"/>
        <w:ind w:firstLineChars="200" w:firstLine="560"/>
        <w:rPr>
          <w:sz w:val="28"/>
          <w:szCs w:val="28"/>
        </w:rPr>
      </w:pPr>
      <w:r w:rsidRPr="00FF438D">
        <w:rPr>
          <w:sz w:val="28"/>
          <w:szCs w:val="28"/>
        </w:rPr>
        <w:t>2015年1月-2016年7月，大数据领域公开招标项目为1276个，项目平均额度为300万，总采购金额约为38亿元；2016年大数据项目增长呈加速之势，仅2016年上半年启动的项目就与2015年全年启动的项目数相当，其中广东、北京、贵州及江苏采购数位列前四，占总采购数的50%左右；从采购单位看，企业、政府、学校/科研机构采购数分别占43%、39%和18%，公共部门采购比例仍维持高位。</w:t>
      </w:r>
    </w:p>
    <w:p w:rsidR="00943C2E" w:rsidRDefault="00943C2E" w:rsidP="00FF438D">
      <w:pPr>
        <w:spacing w:line="360" w:lineRule="auto"/>
        <w:ind w:firstLineChars="200" w:firstLine="560"/>
        <w:rPr>
          <w:rFonts w:hint="eastAsia"/>
          <w:sz w:val="28"/>
          <w:szCs w:val="28"/>
        </w:rPr>
      </w:pPr>
      <w:r>
        <w:rPr>
          <w:rFonts w:hint="eastAsia"/>
          <w:sz w:val="28"/>
          <w:szCs w:val="28"/>
        </w:rPr>
        <w:t>而政府投资项目呈持续增长趋势，政府投资大数据项目数量整体呈攀升态势。政府投资项目中，超七成为大数据平台及基础建设类，应用层面的软件开发不足5%，“重建设、轻应用</w:t>
      </w:r>
      <w:r>
        <w:rPr>
          <w:sz w:val="28"/>
          <w:szCs w:val="28"/>
        </w:rPr>
        <w:t>”</w:t>
      </w:r>
      <w:r>
        <w:rPr>
          <w:rFonts w:hint="eastAsia"/>
          <w:sz w:val="28"/>
          <w:szCs w:val="28"/>
        </w:rPr>
        <w:t>的问题值得关注；政府投资大数据项目以公共安全、生态环境、交通、医疗等民生领域为</w:t>
      </w:r>
      <w:r>
        <w:rPr>
          <w:rFonts w:hint="eastAsia"/>
          <w:sz w:val="28"/>
          <w:szCs w:val="28"/>
        </w:rPr>
        <w:lastRenderedPageBreak/>
        <w:t>主</w:t>
      </w:r>
      <w:r w:rsidR="00FF17E5">
        <w:rPr>
          <w:rFonts w:hint="eastAsia"/>
          <w:sz w:val="28"/>
          <w:szCs w:val="28"/>
        </w:rPr>
        <w:t>，致力提升公共服务水平。宏观决策和工业运行领域项目分别占8.65%和6.63%，推动我国政府决策和经济运行更加精细化、科学化。</w:t>
      </w:r>
    </w:p>
    <w:p w:rsidR="00FF438D" w:rsidRDefault="00750CBE" w:rsidP="00C07DAE">
      <w:pPr>
        <w:pStyle w:val="2"/>
        <w:rPr>
          <w:rFonts w:ascii="微软雅黑" w:eastAsia="微软雅黑" w:hAnsi="微软雅黑"/>
        </w:rPr>
      </w:pPr>
      <w:r>
        <w:rPr>
          <w:rFonts w:hint="eastAsia"/>
        </w:rPr>
        <w:t>1.4</w:t>
      </w:r>
      <w:r>
        <w:t xml:space="preserve"> </w:t>
      </w:r>
      <w:r w:rsidR="00FF438D">
        <w:rPr>
          <w:rFonts w:hint="eastAsia"/>
        </w:rPr>
        <w:t>大数据投融资持续升温</w:t>
      </w:r>
    </w:p>
    <w:p w:rsidR="00FF438D" w:rsidRDefault="00FF438D" w:rsidP="00FF438D">
      <w:pPr>
        <w:spacing w:line="360" w:lineRule="auto"/>
        <w:ind w:firstLineChars="200" w:firstLine="560"/>
        <w:rPr>
          <w:sz w:val="28"/>
          <w:szCs w:val="28"/>
        </w:rPr>
      </w:pPr>
      <w:r w:rsidRPr="00FF438D">
        <w:rPr>
          <w:sz w:val="28"/>
          <w:szCs w:val="28"/>
        </w:rPr>
        <w:t>2012-2016</w:t>
      </w:r>
      <w:r w:rsidR="00BF1DC5">
        <w:rPr>
          <w:rFonts w:hint="eastAsia"/>
          <w:sz w:val="28"/>
          <w:szCs w:val="28"/>
        </w:rPr>
        <w:t>四年期间</w:t>
      </w:r>
      <w:r w:rsidRPr="00FF438D">
        <w:rPr>
          <w:sz w:val="28"/>
          <w:szCs w:val="28"/>
        </w:rPr>
        <w:t>，大数据领域共投融资1600余次，总金额超过1200多亿，其中A</w:t>
      </w:r>
      <w:proofErr w:type="gramStart"/>
      <w:r w:rsidRPr="00FF438D">
        <w:rPr>
          <w:sz w:val="28"/>
          <w:szCs w:val="28"/>
        </w:rPr>
        <w:t>轮占比</w:t>
      </w:r>
      <w:proofErr w:type="gramEnd"/>
      <w:r w:rsidRPr="00FF438D">
        <w:rPr>
          <w:sz w:val="28"/>
          <w:szCs w:val="28"/>
        </w:rPr>
        <w:t>最多，为40.4%，天使轮为38.2%，其中大部分项目目前正处于发展期，部分成熟项目已经进入PE阶段。2014年后，投融资总额实现爆发式增长，2016年，投融资较2015年增长89.7%。数据显示，大数据领域融资金额总量</w:t>
      </w:r>
      <w:proofErr w:type="gramStart"/>
      <w:r w:rsidRPr="00FF438D">
        <w:rPr>
          <w:sz w:val="28"/>
          <w:szCs w:val="28"/>
        </w:rPr>
        <w:t>虽持续</w:t>
      </w:r>
      <w:proofErr w:type="gramEnd"/>
      <w:r w:rsidRPr="00FF438D">
        <w:rPr>
          <w:sz w:val="28"/>
          <w:szCs w:val="28"/>
        </w:rPr>
        <w:t>上升，单频次却有所下降，这表明大数据产业正在向成熟期过渡。</w:t>
      </w:r>
    </w:p>
    <w:p w:rsidR="00FF438D" w:rsidRDefault="00FF438D" w:rsidP="00BF1DC5">
      <w:pPr>
        <w:pStyle w:val="1"/>
      </w:pPr>
      <w:r w:rsidRPr="00FF438D">
        <w:t>2. 大数据在电力方面的研究和应用背景</w:t>
      </w:r>
    </w:p>
    <w:p w:rsidR="00750CBE" w:rsidRDefault="00750CBE" w:rsidP="00750CBE">
      <w:pPr>
        <w:pStyle w:val="2"/>
      </w:pPr>
      <w:r>
        <w:rPr>
          <w:rFonts w:hint="eastAsia"/>
        </w:rPr>
        <w:t>2.1</w:t>
      </w:r>
      <w:r>
        <w:t xml:space="preserve"> </w:t>
      </w:r>
      <w:r>
        <w:rPr>
          <w:rFonts w:hint="eastAsia"/>
        </w:rPr>
        <w:t>电力大数据现状</w:t>
      </w:r>
    </w:p>
    <w:p w:rsidR="00BF1DC5" w:rsidRPr="00BF1DC5" w:rsidRDefault="00BF1DC5" w:rsidP="00BF1DC5">
      <w:pPr>
        <w:spacing w:line="360" w:lineRule="auto"/>
        <w:ind w:firstLineChars="200" w:firstLine="560"/>
        <w:rPr>
          <w:sz w:val="28"/>
          <w:szCs w:val="28"/>
        </w:rPr>
      </w:pPr>
      <w:r w:rsidRPr="00BF1DC5">
        <w:rPr>
          <w:rFonts w:hint="eastAsia"/>
          <w:sz w:val="28"/>
          <w:szCs w:val="28"/>
        </w:rPr>
        <w:t>当前大数据问题已提升到国家战略层面。随着大数据、人工智能等新兴数据挖掘与分析技术的不断创新发展，为电力行业业务创新、智能化辅助决策、服务能力提升、市场竞争力增强等方面的发展提供无限空间。</w:t>
      </w:r>
    </w:p>
    <w:p w:rsidR="00BF1DC5" w:rsidRDefault="00BF1DC5" w:rsidP="00BF1DC5">
      <w:pPr>
        <w:spacing w:line="360" w:lineRule="auto"/>
        <w:ind w:firstLineChars="200" w:firstLine="560"/>
        <w:rPr>
          <w:sz w:val="28"/>
          <w:szCs w:val="28"/>
        </w:rPr>
      </w:pPr>
      <w:r w:rsidRPr="00BF1DC5">
        <w:rPr>
          <w:rFonts w:hint="eastAsia"/>
          <w:sz w:val="28"/>
          <w:szCs w:val="28"/>
        </w:rPr>
        <w:t>麦肯锡曾有报告预测，在全球范围内，大数据分析方案的广泛使用能够带来每年</w:t>
      </w:r>
      <w:r w:rsidRPr="00BF1DC5">
        <w:rPr>
          <w:sz w:val="28"/>
          <w:szCs w:val="28"/>
        </w:rPr>
        <w:t>3000亿美元的电费削减。电力大数据的有效应用可以面向行业内外提供大量的高附加值的增值服务业务，对于电力企业盈利与控制水平的提升有很高的价值。有电网专家分析称，每当数据</w:t>
      </w:r>
      <w:r w:rsidRPr="00BF1DC5">
        <w:rPr>
          <w:sz w:val="28"/>
          <w:szCs w:val="28"/>
        </w:rPr>
        <w:lastRenderedPageBreak/>
        <w:t>利用率调高10%，便可使电网提高20%~49%的利润。</w:t>
      </w:r>
    </w:p>
    <w:p w:rsidR="00750CBE" w:rsidRPr="003C3A4E" w:rsidRDefault="00750CBE" w:rsidP="00750CBE">
      <w:pPr>
        <w:spacing w:line="360" w:lineRule="auto"/>
        <w:ind w:firstLineChars="200" w:firstLine="560"/>
        <w:rPr>
          <w:sz w:val="28"/>
          <w:szCs w:val="28"/>
        </w:rPr>
      </w:pPr>
      <w:r w:rsidRPr="003C3A4E">
        <w:rPr>
          <w:rFonts w:hint="eastAsia"/>
          <w:sz w:val="28"/>
          <w:szCs w:val="28"/>
        </w:rPr>
        <w:t>电力大数据主要来源于电力生产和电能使用的各个环节，可大致分为三类：一是电网运行和设备检测或监测数据</w:t>
      </w:r>
      <w:r w:rsidRPr="003C3A4E">
        <w:rPr>
          <w:sz w:val="28"/>
          <w:szCs w:val="28"/>
        </w:rPr>
        <w:t>;二是电力企业营销数据，如交易电价、售电量、用电客户等方面数据;三是电力企业管理数据。通过使用智能电表等智能终端设备可采集整个电力系统的运行数据，再对采集的电力大数据进行系统的处理和分析，从而实现对电网的实时监控;进一步地，结合大数据分析与电力系统模型，可以对电网运行进行诊断、优化和预测，为电网安全、可靠、经济、高效地运行提供保障。</w:t>
      </w:r>
    </w:p>
    <w:p w:rsidR="00BF1DC5" w:rsidRDefault="00750CBE" w:rsidP="00BF1DC5">
      <w:pPr>
        <w:pStyle w:val="2"/>
      </w:pPr>
      <w:r>
        <w:rPr>
          <w:rFonts w:hint="eastAsia"/>
        </w:rPr>
        <w:t>2.2</w:t>
      </w:r>
      <w:r>
        <w:t xml:space="preserve"> </w:t>
      </w:r>
      <w:r w:rsidR="00BF1DC5">
        <w:rPr>
          <w:rFonts w:hint="eastAsia"/>
        </w:rPr>
        <w:t>电力大数据应用场景</w:t>
      </w:r>
    </w:p>
    <w:p w:rsidR="00750CBE" w:rsidRPr="003C3A4E" w:rsidRDefault="00750CBE" w:rsidP="00750CBE">
      <w:pPr>
        <w:spacing w:line="360" w:lineRule="auto"/>
        <w:ind w:firstLineChars="200" w:firstLine="560"/>
        <w:rPr>
          <w:sz w:val="28"/>
          <w:szCs w:val="28"/>
        </w:rPr>
      </w:pPr>
      <w:r w:rsidRPr="003C3A4E">
        <w:rPr>
          <w:rFonts w:hint="eastAsia"/>
          <w:sz w:val="28"/>
          <w:szCs w:val="28"/>
        </w:rPr>
        <w:t>目前，我国电力大数据</w:t>
      </w:r>
      <w:r>
        <w:rPr>
          <w:rFonts w:hint="eastAsia"/>
          <w:sz w:val="28"/>
          <w:szCs w:val="28"/>
        </w:rPr>
        <w:t>在变电、配电、售电以及调度</w:t>
      </w:r>
      <w:r w:rsidRPr="003C3A4E">
        <w:rPr>
          <w:rFonts w:hint="eastAsia"/>
          <w:sz w:val="28"/>
          <w:szCs w:val="28"/>
        </w:rPr>
        <w:t>环节</w:t>
      </w:r>
      <w:r>
        <w:rPr>
          <w:rFonts w:hint="eastAsia"/>
          <w:sz w:val="28"/>
          <w:szCs w:val="28"/>
        </w:rPr>
        <w:t>的应用对于电网安全、高效的运行有很重要的作用。</w:t>
      </w:r>
    </w:p>
    <w:p w:rsidR="00750CBE" w:rsidRPr="003C3A4E" w:rsidRDefault="00750CBE" w:rsidP="00750CBE">
      <w:pPr>
        <w:spacing w:line="360" w:lineRule="auto"/>
        <w:ind w:firstLineChars="200" w:firstLine="560"/>
        <w:rPr>
          <w:sz w:val="28"/>
          <w:szCs w:val="28"/>
        </w:rPr>
      </w:pPr>
      <w:r w:rsidRPr="00750CBE">
        <w:rPr>
          <w:b/>
          <w:sz w:val="28"/>
          <w:szCs w:val="28"/>
        </w:rPr>
        <w:t>变电环节</w:t>
      </w:r>
      <w:r w:rsidRPr="003C3A4E">
        <w:rPr>
          <w:sz w:val="28"/>
          <w:szCs w:val="28"/>
        </w:rPr>
        <w:t>：提升变电站的智能化管理水平，通过全网、全区域实时信息共享和分析实现变电侧的实时控制和智能调节，实现变电设备信息和运行维护策略与电力调度的智慧互动。</w:t>
      </w:r>
    </w:p>
    <w:p w:rsidR="00750CBE" w:rsidRPr="003C3A4E" w:rsidRDefault="00750CBE" w:rsidP="00750CBE">
      <w:pPr>
        <w:spacing w:line="360" w:lineRule="auto"/>
        <w:ind w:firstLineChars="200" w:firstLine="560"/>
        <w:rPr>
          <w:sz w:val="28"/>
          <w:szCs w:val="28"/>
        </w:rPr>
      </w:pPr>
      <w:r w:rsidRPr="00750CBE">
        <w:rPr>
          <w:b/>
          <w:sz w:val="28"/>
          <w:szCs w:val="28"/>
        </w:rPr>
        <w:t>配电环节</w:t>
      </w:r>
      <w:r w:rsidRPr="003C3A4E">
        <w:rPr>
          <w:sz w:val="28"/>
          <w:szCs w:val="28"/>
        </w:rPr>
        <w:t>：大数据分析能够实现对用户负荷和用电情况的深入了解，提高对客户用电需求和负荷模式的认知水平，优化配网规划和供电计划，提高配网监测、保护和控制水平，提高事故的响应程度，优化配网运行管理水平，提升供电可靠率。</w:t>
      </w:r>
    </w:p>
    <w:p w:rsidR="00750CBE" w:rsidRPr="003C3A4E" w:rsidRDefault="00750CBE" w:rsidP="00750CBE">
      <w:pPr>
        <w:spacing w:line="360" w:lineRule="auto"/>
        <w:ind w:firstLineChars="200" w:firstLine="560"/>
        <w:rPr>
          <w:sz w:val="28"/>
          <w:szCs w:val="28"/>
        </w:rPr>
      </w:pPr>
      <w:r w:rsidRPr="00750CBE">
        <w:rPr>
          <w:rFonts w:hint="eastAsia"/>
          <w:b/>
          <w:sz w:val="28"/>
          <w:szCs w:val="28"/>
        </w:rPr>
        <w:t>售电</w:t>
      </w:r>
      <w:r w:rsidRPr="00750CBE">
        <w:rPr>
          <w:b/>
          <w:sz w:val="28"/>
          <w:szCs w:val="28"/>
        </w:rPr>
        <w:t>环节</w:t>
      </w:r>
      <w:r w:rsidRPr="00750CBE">
        <w:rPr>
          <w:sz w:val="28"/>
          <w:szCs w:val="28"/>
        </w:rPr>
        <w:t>：</w:t>
      </w:r>
      <w:r w:rsidRPr="003C3A4E">
        <w:rPr>
          <w:sz w:val="28"/>
          <w:szCs w:val="28"/>
        </w:rPr>
        <w:t>大数据应用可以建立面向经营与管理的科学营销决策支持平台，实现市场运营、营销及客户服务、设备全寿命周期管理等</w:t>
      </w:r>
      <w:r w:rsidRPr="003C3A4E">
        <w:rPr>
          <w:sz w:val="28"/>
          <w:szCs w:val="28"/>
        </w:rPr>
        <w:lastRenderedPageBreak/>
        <w:t>各类主题的分析及预测，提高营销服务的综合分析预测能力，实现客户用电管理优化、用能实时分析和预测等高级应用，提供用电增值服务。</w:t>
      </w:r>
    </w:p>
    <w:p w:rsidR="00750CBE" w:rsidRDefault="00750CBE" w:rsidP="00750CBE">
      <w:pPr>
        <w:spacing w:line="360" w:lineRule="auto"/>
        <w:ind w:firstLineChars="200" w:firstLine="560"/>
        <w:rPr>
          <w:sz w:val="28"/>
          <w:szCs w:val="28"/>
        </w:rPr>
      </w:pPr>
      <w:r w:rsidRPr="00750CBE">
        <w:rPr>
          <w:b/>
          <w:sz w:val="28"/>
          <w:szCs w:val="28"/>
        </w:rPr>
        <w:t>调度环节</w:t>
      </w:r>
      <w:r w:rsidRPr="003C3A4E">
        <w:rPr>
          <w:sz w:val="28"/>
          <w:szCs w:val="28"/>
        </w:rPr>
        <w:t>：建设以数据驱动的智能调度体系，实现运行信息全景化、数据传输网络化、安全评估动态化、调度决策精细化、运行控制自动化、</w:t>
      </w:r>
      <w:proofErr w:type="gramStart"/>
      <w:r w:rsidRPr="003C3A4E">
        <w:rPr>
          <w:sz w:val="28"/>
          <w:szCs w:val="28"/>
        </w:rPr>
        <w:t>机网协调</w:t>
      </w:r>
      <w:proofErr w:type="gramEnd"/>
      <w:r w:rsidRPr="003C3A4E">
        <w:rPr>
          <w:sz w:val="28"/>
          <w:szCs w:val="28"/>
        </w:rPr>
        <w:t>最优化，提升调度驾驭电网能力、资源优化配置能力、科学决策管理能力和灵活高效调控能力。</w:t>
      </w:r>
    </w:p>
    <w:p w:rsidR="00BF1DC5" w:rsidRDefault="00750CBE" w:rsidP="00BF1DC5">
      <w:pPr>
        <w:spacing w:line="360" w:lineRule="auto"/>
        <w:ind w:firstLineChars="200" w:firstLine="560"/>
        <w:rPr>
          <w:sz w:val="28"/>
          <w:szCs w:val="28"/>
        </w:rPr>
      </w:pPr>
      <w:r>
        <w:rPr>
          <w:rFonts w:hint="eastAsia"/>
          <w:sz w:val="28"/>
          <w:szCs w:val="28"/>
        </w:rPr>
        <w:t>从另一个角度分析，若</w:t>
      </w:r>
      <w:r w:rsidR="00BF1DC5" w:rsidRPr="00BF1DC5">
        <w:rPr>
          <w:rFonts w:hint="eastAsia"/>
          <w:sz w:val="28"/>
          <w:szCs w:val="28"/>
        </w:rPr>
        <w:t>以全社会用电量作为考察对象，通过对用电量、经济总量、固定资产投资、行业产品价格指数等数据</w:t>
      </w:r>
      <w:r w:rsidR="00D6576F">
        <w:rPr>
          <w:rFonts w:hint="eastAsia"/>
          <w:sz w:val="28"/>
          <w:szCs w:val="28"/>
        </w:rPr>
        <w:t>的变动以及数量之间关联关系分析挖掘，使政府充分了解经济运行情况，主要</w:t>
      </w:r>
      <w:r w:rsidR="00BF1DC5">
        <w:rPr>
          <w:rFonts w:hint="eastAsia"/>
          <w:sz w:val="28"/>
          <w:szCs w:val="28"/>
        </w:rPr>
        <w:t xml:space="preserve">从以下五个方面着手： </w:t>
      </w:r>
      <w:r w:rsidR="00BF1DC5">
        <w:rPr>
          <w:sz w:val="28"/>
          <w:szCs w:val="28"/>
        </w:rPr>
        <w:t xml:space="preserve"> </w:t>
      </w:r>
    </w:p>
    <w:p w:rsidR="00BF1DC5" w:rsidRPr="00BF1DC5" w:rsidRDefault="00750CBE" w:rsidP="00BF1DC5">
      <w:pPr>
        <w:rPr>
          <w:b/>
          <w:sz w:val="28"/>
          <w:szCs w:val="28"/>
        </w:rPr>
      </w:pPr>
      <w:r>
        <w:rPr>
          <w:rFonts w:hint="eastAsia"/>
          <w:sz w:val="28"/>
          <w:szCs w:val="28"/>
        </w:rPr>
        <w:t xml:space="preserve">　</w:t>
      </w:r>
      <w:r w:rsidR="00BF1DC5" w:rsidRPr="00BF1DC5">
        <w:rPr>
          <w:rFonts w:hint="eastAsia"/>
          <w:b/>
          <w:sz w:val="28"/>
          <w:szCs w:val="28"/>
        </w:rPr>
        <w:t>产业结构用电分析</w:t>
      </w:r>
    </w:p>
    <w:p w:rsidR="00BF1DC5" w:rsidRPr="00BF1DC5" w:rsidRDefault="00BF1DC5" w:rsidP="00BF1DC5">
      <w:pPr>
        <w:rPr>
          <w:sz w:val="28"/>
          <w:szCs w:val="28"/>
        </w:rPr>
      </w:pPr>
      <w:r w:rsidRPr="00BF1DC5">
        <w:rPr>
          <w:rFonts w:hint="eastAsia"/>
          <w:sz w:val="28"/>
          <w:szCs w:val="28"/>
        </w:rPr>
        <w:t xml:space="preserve">　　按区域进行全行业、高耗能行业、高附加值的用电情况分析挖掘。</w:t>
      </w:r>
    </w:p>
    <w:p w:rsidR="00BF1DC5" w:rsidRPr="00BF1DC5" w:rsidRDefault="00750CBE" w:rsidP="00BF1DC5">
      <w:pPr>
        <w:rPr>
          <w:b/>
          <w:sz w:val="28"/>
          <w:szCs w:val="28"/>
        </w:rPr>
      </w:pPr>
      <w:r>
        <w:rPr>
          <w:rFonts w:hint="eastAsia"/>
          <w:sz w:val="28"/>
          <w:szCs w:val="28"/>
        </w:rPr>
        <w:t xml:space="preserve">　</w:t>
      </w:r>
      <w:r w:rsidR="00BF1DC5" w:rsidRPr="00BF1DC5">
        <w:rPr>
          <w:rFonts w:hint="eastAsia"/>
          <w:b/>
          <w:sz w:val="28"/>
          <w:szCs w:val="28"/>
        </w:rPr>
        <w:t>地区用电分析</w:t>
      </w:r>
    </w:p>
    <w:p w:rsidR="00BF1DC5" w:rsidRPr="00BF1DC5" w:rsidRDefault="00BF1DC5" w:rsidP="00BF1DC5">
      <w:pPr>
        <w:rPr>
          <w:sz w:val="28"/>
          <w:szCs w:val="28"/>
        </w:rPr>
      </w:pPr>
      <w:r w:rsidRPr="00BF1DC5">
        <w:rPr>
          <w:rFonts w:hint="eastAsia"/>
          <w:sz w:val="28"/>
          <w:szCs w:val="28"/>
        </w:rPr>
        <w:t xml:space="preserve">　　按行业进行经济区域、行政区域的用电量分析挖掘。</w:t>
      </w:r>
    </w:p>
    <w:p w:rsidR="00BF1DC5" w:rsidRPr="00BF1DC5" w:rsidRDefault="00750CBE" w:rsidP="00BF1DC5">
      <w:pPr>
        <w:rPr>
          <w:b/>
          <w:sz w:val="28"/>
          <w:szCs w:val="28"/>
        </w:rPr>
      </w:pPr>
      <w:r>
        <w:rPr>
          <w:rFonts w:hint="eastAsia"/>
          <w:sz w:val="28"/>
          <w:szCs w:val="28"/>
        </w:rPr>
        <w:t xml:space="preserve">　</w:t>
      </w:r>
      <w:r w:rsidR="00BF1DC5" w:rsidRPr="00BF1DC5">
        <w:rPr>
          <w:rFonts w:hint="eastAsia"/>
          <w:b/>
          <w:sz w:val="28"/>
          <w:szCs w:val="28"/>
        </w:rPr>
        <w:t>电力经济预测</w:t>
      </w:r>
    </w:p>
    <w:p w:rsidR="00BF1DC5" w:rsidRPr="00BF1DC5" w:rsidRDefault="00BF1DC5" w:rsidP="00BF1DC5">
      <w:pPr>
        <w:rPr>
          <w:sz w:val="28"/>
          <w:szCs w:val="28"/>
        </w:rPr>
      </w:pPr>
      <w:r w:rsidRPr="00BF1DC5">
        <w:rPr>
          <w:rFonts w:hint="eastAsia"/>
          <w:sz w:val="28"/>
          <w:szCs w:val="28"/>
        </w:rPr>
        <w:t xml:space="preserve">　　按单位增加值变化情况对用电量进行分析与预测。</w:t>
      </w:r>
    </w:p>
    <w:p w:rsidR="00BF1DC5" w:rsidRPr="00BF1DC5" w:rsidRDefault="00750CBE" w:rsidP="00BF1DC5">
      <w:pPr>
        <w:rPr>
          <w:b/>
          <w:sz w:val="28"/>
          <w:szCs w:val="28"/>
        </w:rPr>
      </w:pPr>
      <w:r>
        <w:rPr>
          <w:rFonts w:hint="eastAsia"/>
          <w:sz w:val="28"/>
          <w:szCs w:val="28"/>
        </w:rPr>
        <w:t xml:space="preserve">　</w:t>
      </w:r>
      <w:r w:rsidR="00BF1DC5" w:rsidRPr="00BF1DC5">
        <w:rPr>
          <w:rFonts w:hint="eastAsia"/>
          <w:b/>
          <w:sz w:val="28"/>
          <w:szCs w:val="28"/>
        </w:rPr>
        <w:t>行业景气分析</w:t>
      </w:r>
    </w:p>
    <w:p w:rsidR="00BF1DC5" w:rsidRPr="00BF1DC5" w:rsidRDefault="00BF1DC5" w:rsidP="00BF1DC5">
      <w:pPr>
        <w:rPr>
          <w:sz w:val="28"/>
          <w:szCs w:val="28"/>
        </w:rPr>
      </w:pPr>
      <w:r w:rsidRPr="00BF1DC5">
        <w:rPr>
          <w:rFonts w:hint="eastAsia"/>
          <w:sz w:val="28"/>
          <w:szCs w:val="28"/>
        </w:rPr>
        <w:t xml:space="preserve">　　按区域进行工业企业开工率、小</w:t>
      </w:r>
      <w:proofErr w:type="gramStart"/>
      <w:r w:rsidRPr="00BF1DC5">
        <w:rPr>
          <w:rFonts w:hint="eastAsia"/>
          <w:sz w:val="28"/>
          <w:szCs w:val="28"/>
        </w:rPr>
        <w:t>微工业</w:t>
      </w:r>
      <w:proofErr w:type="gramEnd"/>
      <w:r w:rsidRPr="00BF1DC5">
        <w:rPr>
          <w:rFonts w:hint="eastAsia"/>
          <w:sz w:val="28"/>
          <w:szCs w:val="28"/>
        </w:rPr>
        <w:t>企业及规模以上工业用电量情况分析挖掘。</w:t>
      </w:r>
    </w:p>
    <w:p w:rsidR="00BF1DC5" w:rsidRPr="00BF1DC5" w:rsidRDefault="00750CBE" w:rsidP="00BF1DC5">
      <w:pPr>
        <w:rPr>
          <w:b/>
          <w:sz w:val="28"/>
          <w:szCs w:val="28"/>
        </w:rPr>
      </w:pPr>
      <w:r>
        <w:rPr>
          <w:rFonts w:hint="eastAsia"/>
          <w:sz w:val="28"/>
          <w:szCs w:val="28"/>
        </w:rPr>
        <w:t xml:space="preserve">　</w:t>
      </w:r>
      <w:r w:rsidR="00BF1DC5" w:rsidRPr="00BF1DC5">
        <w:rPr>
          <w:rFonts w:hint="eastAsia"/>
          <w:b/>
          <w:sz w:val="28"/>
          <w:szCs w:val="28"/>
        </w:rPr>
        <w:t>居民生活用电特性分析</w:t>
      </w:r>
    </w:p>
    <w:p w:rsidR="00BF1DC5" w:rsidRDefault="00BF1DC5" w:rsidP="00BF1DC5">
      <w:pPr>
        <w:ind w:firstLine="555"/>
        <w:rPr>
          <w:sz w:val="28"/>
          <w:szCs w:val="28"/>
        </w:rPr>
      </w:pPr>
      <w:r w:rsidRPr="00BF1DC5">
        <w:rPr>
          <w:rFonts w:hint="eastAsia"/>
          <w:sz w:val="28"/>
          <w:szCs w:val="28"/>
        </w:rPr>
        <w:t>按城乡进行居民用电、居民户均用电、零用电户情况、阶梯电价</w:t>
      </w:r>
      <w:r w:rsidRPr="00BF1DC5">
        <w:rPr>
          <w:rFonts w:hint="eastAsia"/>
          <w:sz w:val="28"/>
          <w:szCs w:val="28"/>
        </w:rPr>
        <w:lastRenderedPageBreak/>
        <w:t>情况进行关联关系分析挖掘。</w:t>
      </w:r>
    </w:p>
    <w:p w:rsidR="00750CBE" w:rsidRPr="003C3A4E" w:rsidRDefault="00D6576F" w:rsidP="00750CBE">
      <w:pPr>
        <w:pStyle w:val="2"/>
      </w:pPr>
      <w:r>
        <w:rPr>
          <w:rFonts w:hint="eastAsia"/>
        </w:rPr>
        <w:t>2.3</w:t>
      </w:r>
      <w:r>
        <w:t xml:space="preserve"> </w:t>
      </w:r>
      <w:r w:rsidR="00750CBE" w:rsidRPr="003C3A4E">
        <w:rPr>
          <w:rFonts w:hint="eastAsia"/>
        </w:rPr>
        <w:t>电力大数据关键技术</w:t>
      </w:r>
    </w:p>
    <w:p w:rsidR="00750CBE" w:rsidRPr="003C3A4E" w:rsidRDefault="00750CBE" w:rsidP="00750CBE">
      <w:pPr>
        <w:spacing w:line="360" w:lineRule="auto"/>
        <w:ind w:firstLineChars="200" w:firstLine="560"/>
        <w:rPr>
          <w:sz w:val="28"/>
          <w:szCs w:val="28"/>
        </w:rPr>
      </w:pPr>
      <w:r w:rsidRPr="003C3A4E">
        <w:rPr>
          <w:rFonts w:hint="eastAsia"/>
          <w:sz w:val="28"/>
          <w:szCs w:val="28"/>
        </w:rPr>
        <w:t>电力大数据的发展也需要一些关键技术的支撑：</w:t>
      </w:r>
    </w:p>
    <w:p w:rsidR="00750CBE" w:rsidRPr="003C3A4E" w:rsidRDefault="00750CBE" w:rsidP="00750CBE">
      <w:pPr>
        <w:spacing w:line="360" w:lineRule="auto"/>
        <w:ind w:firstLineChars="200" w:firstLine="560"/>
        <w:rPr>
          <w:sz w:val="28"/>
          <w:szCs w:val="28"/>
        </w:rPr>
      </w:pPr>
      <w:r w:rsidRPr="003C3A4E">
        <w:rPr>
          <w:sz w:val="28"/>
          <w:szCs w:val="28"/>
        </w:rPr>
        <w:t>(1)大数据传输及存储技术：电力系统各个环节的运行数据及设备状态在线监测数据将会带来海量数据传输和存储问题。</w:t>
      </w:r>
    </w:p>
    <w:p w:rsidR="00750CBE" w:rsidRPr="003C3A4E" w:rsidRDefault="00750CBE" w:rsidP="00750CBE">
      <w:pPr>
        <w:spacing w:line="360" w:lineRule="auto"/>
        <w:ind w:firstLineChars="200" w:firstLine="560"/>
        <w:rPr>
          <w:sz w:val="28"/>
          <w:szCs w:val="28"/>
        </w:rPr>
      </w:pPr>
      <w:r w:rsidRPr="003C3A4E">
        <w:rPr>
          <w:sz w:val="28"/>
          <w:szCs w:val="28"/>
        </w:rPr>
        <w:t>(2)实时数据分析及处理技术：在未来的电力系统环境中，从发电、输变电环节，到用电环节，都需要实时数据处理，借助电力大数据的分析技术可以从电力系统的海量数据中找出潜在的模态与规律，为决策人员提供决策支持。</w:t>
      </w:r>
    </w:p>
    <w:p w:rsidR="00750CBE" w:rsidRDefault="00750CBE" w:rsidP="00750CBE">
      <w:pPr>
        <w:spacing w:line="360" w:lineRule="auto"/>
        <w:ind w:firstLineChars="200" w:firstLine="560"/>
        <w:rPr>
          <w:sz w:val="28"/>
          <w:szCs w:val="28"/>
        </w:rPr>
      </w:pPr>
      <w:r w:rsidRPr="003C3A4E">
        <w:rPr>
          <w:sz w:val="28"/>
          <w:szCs w:val="28"/>
        </w:rPr>
        <w:t>(3)大数据展示技术：包括可视化技术、空间信息</w:t>
      </w:r>
      <w:proofErr w:type="gramStart"/>
      <w:r w:rsidRPr="003C3A4E">
        <w:rPr>
          <w:sz w:val="28"/>
          <w:szCs w:val="28"/>
        </w:rPr>
        <w:t>流展示</w:t>
      </w:r>
      <w:proofErr w:type="gramEnd"/>
      <w:r w:rsidRPr="003C3A4E">
        <w:rPr>
          <w:sz w:val="28"/>
          <w:szCs w:val="28"/>
        </w:rPr>
        <w:t>技术、历史</w:t>
      </w:r>
      <w:proofErr w:type="gramStart"/>
      <w:r w:rsidRPr="003C3A4E">
        <w:rPr>
          <w:sz w:val="28"/>
          <w:szCs w:val="28"/>
        </w:rPr>
        <w:t>流展示</w:t>
      </w:r>
      <w:proofErr w:type="gramEnd"/>
      <w:r w:rsidRPr="003C3A4E">
        <w:rPr>
          <w:sz w:val="28"/>
          <w:szCs w:val="28"/>
        </w:rPr>
        <w:t>技术等。</w:t>
      </w:r>
    </w:p>
    <w:p w:rsidR="00BF1DC5" w:rsidRPr="00BF1DC5" w:rsidRDefault="00BF1DC5" w:rsidP="00BF1DC5">
      <w:pPr>
        <w:ind w:firstLine="555"/>
        <w:rPr>
          <w:sz w:val="28"/>
          <w:szCs w:val="28"/>
        </w:rPr>
      </w:pPr>
      <w:r w:rsidRPr="00BF1DC5">
        <w:rPr>
          <w:rFonts w:hint="eastAsia"/>
          <w:sz w:val="28"/>
          <w:szCs w:val="28"/>
        </w:rPr>
        <w:t>大数据分析技术为电力行业带来诸多机遇与挑战。一方面，如大数据分析这样的信息新技术必将激活电力大数据中蕴含的价值，也必将释放电力大数据的市场潜力。根据</w:t>
      </w:r>
      <w:r w:rsidRPr="00BF1DC5">
        <w:rPr>
          <w:sz w:val="28"/>
          <w:szCs w:val="28"/>
        </w:rPr>
        <w:t>GTM Research的研究分析，到2020年，全世界电力大数据管理系统市场将达到38亿美元的规模，电力大数据的采集、管理、分析与服务行业将迎来前所未有的发展机遇。</w:t>
      </w:r>
    </w:p>
    <w:p w:rsidR="00BF1DC5" w:rsidRPr="00BF1DC5" w:rsidRDefault="00BF1DC5" w:rsidP="00BF1DC5">
      <w:pPr>
        <w:ind w:firstLine="555"/>
        <w:rPr>
          <w:rFonts w:hint="eastAsia"/>
          <w:sz w:val="28"/>
          <w:szCs w:val="28"/>
        </w:rPr>
      </w:pPr>
      <w:r w:rsidRPr="00BF1DC5">
        <w:rPr>
          <w:rFonts w:hint="eastAsia"/>
          <w:sz w:val="28"/>
          <w:szCs w:val="28"/>
        </w:rPr>
        <w:t>另一方面，电力大数据由于涉及到众多电力用户的隐私，对信息安全也提出了更高的要求。电力企业地域覆盖范围极广，各单位防护体系建设不平衡，信息安全水平不一致，特别偏远地区单位防护体系尚未全面建立，安全性有待提高。行业中企业的安全防护手段和关键</w:t>
      </w:r>
      <w:r w:rsidRPr="00BF1DC5">
        <w:rPr>
          <w:rFonts w:hint="eastAsia"/>
          <w:sz w:val="28"/>
          <w:szCs w:val="28"/>
        </w:rPr>
        <w:lastRenderedPageBreak/>
        <w:t>防护措施也需要进一步加强，从目前的被动防御向多层次、主动防御转变。</w:t>
      </w:r>
    </w:p>
    <w:p w:rsidR="00FF438D" w:rsidRPr="00FF438D" w:rsidRDefault="00FF438D" w:rsidP="00FF438D">
      <w:pPr>
        <w:spacing w:line="360" w:lineRule="auto"/>
        <w:ind w:firstLineChars="200" w:firstLine="560"/>
        <w:rPr>
          <w:rFonts w:hint="eastAsia"/>
          <w:sz w:val="28"/>
          <w:szCs w:val="28"/>
        </w:rPr>
      </w:pPr>
      <w:bookmarkStart w:id="0" w:name="_GoBack"/>
      <w:bookmarkEnd w:id="0"/>
    </w:p>
    <w:sectPr w:rsidR="00FF438D" w:rsidRPr="00FF4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2C"/>
    <w:rsid w:val="00155F55"/>
    <w:rsid w:val="0023452C"/>
    <w:rsid w:val="003C3A4E"/>
    <w:rsid w:val="00420DE2"/>
    <w:rsid w:val="0061245F"/>
    <w:rsid w:val="006E7073"/>
    <w:rsid w:val="00750CBE"/>
    <w:rsid w:val="00850856"/>
    <w:rsid w:val="00943C2E"/>
    <w:rsid w:val="00BF1DC5"/>
    <w:rsid w:val="00C07DAE"/>
    <w:rsid w:val="00D6576F"/>
    <w:rsid w:val="00E16110"/>
    <w:rsid w:val="00FF17E5"/>
    <w:rsid w:val="00FF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D411"/>
  <w15:chartTrackingRefBased/>
  <w15:docId w15:val="{9EB9B030-B2E4-45C6-B9D5-DE4E8A7C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7DA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F43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3A4E"/>
    <w:rPr>
      <w:color w:val="0000FF"/>
      <w:u w:val="single"/>
    </w:rPr>
  </w:style>
  <w:style w:type="paragraph" w:styleId="a4">
    <w:name w:val="Normal (Web)"/>
    <w:basedOn w:val="a"/>
    <w:uiPriority w:val="99"/>
    <w:semiHidden/>
    <w:unhideWhenUsed/>
    <w:rsid w:val="00FF438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F438D"/>
    <w:rPr>
      <w:rFonts w:ascii="宋体" w:eastAsia="宋体" w:hAnsi="宋体" w:cs="宋体"/>
      <w:b/>
      <w:bCs/>
      <w:kern w:val="0"/>
      <w:sz w:val="36"/>
      <w:szCs w:val="36"/>
    </w:rPr>
  </w:style>
  <w:style w:type="character" w:customStyle="1" w:styleId="10">
    <w:name w:val="标题 1 字符"/>
    <w:basedOn w:val="a0"/>
    <w:link w:val="1"/>
    <w:uiPriority w:val="9"/>
    <w:rsid w:val="00C07DAE"/>
    <w:rPr>
      <w:b/>
      <w:bCs/>
      <w:kern w:val="44"/>
      <w:sz w:val="44"/>
      <w:szCs w:val="44"/>
    </w:rPr>
  </w:style>
  <w:style w:type="table" w:styleId="a5">
    <w:name w:val="Table Grid"/>
    <w:basedOn w:val="a1"/>
    <w:uiPriority w:val="39"/>
    <w:rsid w:val="006E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956">
      <w:bodyDiv w:val="1"/>
      <w:marLeft w:val="0"/>
      <w:marRight w:val="0"/>
      <w:marTop w:val="0"/>
      <w:marBottom w:val="0"/>
      <w:divBdr>
        <w:top w:val="none" w:sz="0" w:space="0" w:color="auto"/>
        <w:left w:val="none" w:sz="0" w:space="0" w:color="auto"/>
        <w:bottom w:val="none" w:sz="0" w:space="0" w:color="auto"/>
        <w:right w:val="none" w:sz="0" w:space="0" w:color="auto"/>
      </w:divBdr>
    </w:div>
    <w:div w:id="1433628177">
      <w:bodyDiv w:val="1"/>
      <w:marLeft w:val="0"/>
      <w:marRight w:val="0"/>
      <w:marTop w:val="0"/>
      <w:marBottom w:val="0"/>
      <w:divBdr>
        <w:top w:val="none" w:sz="0" w:space="0" w:color="auto"/>
        <w:left w:val="none" w:sz="0" w:space="0" w:color="auto"/>
        <w:bottom w:val="none" w:sz="0" w:space="0" w:color="auto"/>
        <w:right w:val="none" w:sz="0" w:space="0" w:color="auto"/>
      </w:divBdr>
    </w:div>
    <w:div w:id="1480538902">
      <w:bodyDiv w:val="1"/>
      <w:marLeft w:val="0"/>
      <w:marRight w:val="0"/>
      <w:marTop w:val="0"/>
      <w:marBottom w:val="0"/>
      <w:divBdr>
        <w:top w:val="none" w:sz="0" w:space="0" w:color="auto"/>
        <w:left w:val="none" w:sz="0" w:space="0" w:color="auto"/>
        <w:bottom w:val="none" w:sz="0" w:space="0" w:color="auto"/>
        <w:right w:val="none" w:sz="0" w:space="0" w:color="auto"/>
      </w:divBdr>
    </w:div>
    <w:div w:id="1579444288">
      <w:bodyDiv w:val="1"/>
      <w:marLeft w:val="0"/>
      <w:marRight w:val="0"/>
      <w:marTop w:val="0"/>
      <w:marBottom w:val="0"/>
      <w:divBdr>
        <w:top w:val="none" w:sz="0" w:space="0" w:color="auto"/>
        <w:left w:val="none" w:sz="0" w:space="0" w:color="auto"/>
        <w:bottom w:val="none" w:sz="0" w:space="0" w:color="auto"/>
        <w:right w:val="none" w:sz="0" w:space="0" w:color="auto"/>
      </w:divBdr>
    </w:div>
    <w:div w:id="1936135526">
      <w:bodyDiv w:val="1"/>
      <w:marLeft w:val="0"/>
      <w:marRight w:val="0"/>
      <w:marTop w:val="0"/>
      <w:marBottom w:val="0"/>
      <w:divBdr>
        <w:top w:val="none" w:sz="0" w:space="0" w:color="auto"/>
        <w:left w:val="none" w:sz="0" w:space="0" w:color="auto"/>
        <w:bottom w:val="none" w:sz="0" w:space="0" w:color="auto"/>
        <w:right w:val="none" w:sz="0" w:space="0" w:color="auto"/>
      </w:divBdr>
    </w:div>
    <w:div w:id="19463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2018-04-26T08:25:00Z</dcterms:created>
  <dcterms:modified xsi:type="dcterms:W3CDTF">2018-04-26T12:09:00Z</dcterms:modified>
</cp:coreProperties>
</file>