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rPr>
          <w:sz w:val="24"/>
          <w:szCs w:val="24"/>
        </w:rPr>
      </w:pPr>
      <w:r w:rsidDel="00000000" w:rsidR="00000000" w:rsidRPr="00000000">
        <w:rPr>
          <w:color w:val="595959"/>
          <w:sz w:val="24"/>
          <w:szCs w:val="24"/>
          <w:rtl w:val="0"/>
        </w:rPr>
        <w:t xml:space="preserve">With the growth of the recent pandemic in tandem with the development of online learning, it has become more accessible for classes and lectures to be conducted to larger audiences without the spatial limitations of traditional lecture halls or classrooms. Even with the transition to physical classrooms, class sizes have steadily increased, and along with them, changes in potential success factors. Potential success factors, which include GPA, retention, and job acquisitions, have begun to alter over time with growing changes to classroom sizes. Via various aggregated data sources and analyses of this data, these sources of analyses have provided a seemingly source of newfound evidence regarding these success factors with classroom sizes with the underlying growth from the switch to virtual learning and the pandemic. From there, the surface is only scratched to uncover future and other success factors that potentially correlate with growing lecture halls and classrooms.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