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correlation between the type of parking lot and the type of cars present in that lot.</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1.062</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-3.082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-0.297</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1.319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1.062</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of the communities have the same species richness, with 6 different species in both lots. Both also have a relatively high overall diversity. However, the student parking lot has significantly more SUVs and bikes than the faculty parking lot, and the faculty parking lot has significantly more station wagons and hatchbacks. In both lots, there are large numbers of sedans. The data disproves my null hypothesis, because there is are significant differences between the types of cars in the two types of parking lots.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Bicycles are most dominant in the student parking lot because students are encouraged to bike to school, and they typically live closer to the school than teachers. SUVs are also dominant in the student parking lot because students typically drive a family vehicle, which would likely be an SUV. Teachers typically drive hatchbacks and station wagons because they do not carpool as much as students, so they do not need many seats in their cars. This is also why sedans are popular for faculty and students.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faculty parking lot is more diverse, because it has a higher Shannon index. This is the case because teachers can select what types of cars to drive to school because they purchase the cars, whereas students are limited by the type of car their family vehicle is.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the Shannon index takes into account the number of organisms in the fossil bed as well as the types of organisms. Although the number of organisms would be limited, the Shannon index would be a good measure of the diversity of the ecosystem.</w:t>
            </w:r>
          </w:p>
        </w:tc>
      </w:tr>
    </w:tbl>
    <w:p w:rsidR="00000000" w:rsidDel="00000000" w:rsidP="00000000" w:rsidRDefault="00000000" w:rsidRPr="00000000" w14:paraId="00000152">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___Saket Chodavarapu___________________________ Per. __7____ Date ______9/20/22__________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