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level of car species diversity is unrelated to the group of individuals for which it is measured for.</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-3.963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-3.244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0.636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-15.833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-1.775</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1.775</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undefined</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undefined</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-11.279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-1.209</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1.209</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1.775</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were a lot more bikes for students than there were for the faculty (faculty had none). The number of cars (for both sedan and SUVs) were roughly the same for the faculty and the students. There was a greater number of data values for students overall than there was for the faculty, likely because there are more students than faculty members. Overall, the null hypothesis was disproved, especially in the case of the bikes and motorcycles, because there was a strong correlation between students and number of bikes.</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Students have a far greater number of bikes, likely because most students do not have their licenses. Thus, their method of getting to school would be through bikes. Additionally, most students would live close to campus, and this, biking to school would be an appealing option. However, for faculty, most of them are very likely to have their licenses, and thus, they would drive to school. Additionally, many of them live far away from campus, and biking to school may be difficult.</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Neither group is more diverse than the other, likely because most of the values are clustered within the categories of cars and bikes (only for students). Technically, the students would be slightly more diverse because they have an extra species of car in their data points because of the bike counts.</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because the diversity index looks at the diversity of organisms in a given area, so you could use the index to look at the diversity of each of the areas separately, and then compare them to see how the conditions during each of the time periods would’ve impacted plant diversity.</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