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variation in both parking lots; the values are evenly distributed.</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-1.09</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1.09</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-1.26</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1.26</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1.09</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1.26</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Lower</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Higher</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Neither of the data in both communities are evenly distributed. The Shannon Diversity Index is also relatively high for both communities. Therefore, the null hypothesis is rejected. </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Community A, bikes are most dominant. In Community B, sedans are most dominant. This is the case because most students are either dropped off, walk, or bike and fewer students drive while staff members drive, apparently mostly in sedans.</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Community B is more diverse according to the Shannon Index because of the greater species evenness. Community A has one more species but because of how dominant it is, it has a lower Shannon Index. </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because the time periods are very different and the Shannon Index does not account for this. It can only provide an index of the diversity at the current point in time. This would be like comparing Lot A in the morning to Lot B at night.</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