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88" w:lineRule="auto"/>
        <w:jc w:val="center"/>
      </w:pPr>
      <w:r>
        <w:rPr>
          <w:rFonts w:ascii="Times New Roman" w:hAnsi="Times New Roman"/>
          <w:b/>
          <w:sz w:val="30"/>
        </w:rPr>
        <w:t>ECOLINK – HYPERLOCAL MARKETPLACE FOR SUSTAINABLE PLANTS, ECO-FRIENDLY PRODUCTS &amp; COMMUNITY</w:t>
      </w:r>
    </w:p>
    <w:p>
      <w:pPr>
        <w:spacing w:before="240" w:after="480" w:line="288" w:lineRule="auto"/>
        <w:jc w:val="center"/>
      </w:pPr>
      <w:r>
        <w:rPr>
          <w:rFonts w:ascii="Times New Roman" w:hAnsi="Times New Roman"/>
          <w:b/>
          <w:sz w:val="26"/>
        </w:rPr>
        <w:t>23CS1ME – MINI CAPSTONE PROJECT</w:t>
      </w:r>
    </w:p>
    <w:p>
      <w:pPr>
        <w:spacing w:before="360" w:after="120" w:line="288" w:lineRule="auto"/>
        <w:jc w:val="center"/>
      </w:pPr>
      <w:r>
        <w:rPr>
          <w:rFonts w:ascii="Times New Roman" w:hAnsi="Times New Roman"/>
          <w:b w:val="0"/>
          <w:sz w:val="24"/>
        </w:rPr>
        <w:t>Submitted by</w:t>
      </w:r>
    </w:p>
    <w:p>
      <w:pPr>
        <w:spacing w:before="0" w:after="480" w:line="288" w:lineRule="auto"/>
        <w:jc w:val="center"/>
      </w:pPr>
      <w:r>
        <w:rPr>
          <w:rFonts w:ascii="Times New Roman" w:hAnsi="Times New Roman"/>
          <w:b/>
          <w:sz w:val="26"/>
        </w:rPr>
        <w:t>JAYA SHIVAANI K P – 2312122</w:t>
      </w:r>
    </w:p>
    <w:p>
      <w:pPr>
        <w:spacing w:before="240" w:after="720" w:line="288" w:lineRule="auto"/>
        <w:jc w:val="center"/>
      </w:pPr>
      <w:r>
        <w:rPr>
          <w:rFonts w:ascii="Times New Roman" w:hAnsi="Times New Roman"/>
          <w:b w:val="0"/>
          <w:sz w:val="24"/>
        </w:rPr>
        <w:t>In partial fulfillment for the award of the degree</w:t>
        <w:br/>
        <w:t>of</w:t>
        <w:br/>
        <w:t>BACHELOR OF ENGINEERING</w:t>
        <w:br/>
        <w:t>in</w:t>
        <w:br/>
        <w:t>COMPUTER SCIENCE AND ENGINEERING</w:t>
      </w:r>
    </w:p>
    <w:p>
      <w:pPr>
        <w:spacing w:before="360" w:after="360" w:line="288" w:lineRule="auto"/>
        <w:jc w:val="center"/>
      </w:pPr>
      <w:r>
        <w:rPr>
          <w:rFonts w:ascii="Times New Roman" w:hAnsi="Times New Roman"/>
          <w:b/>
          <w:sz w:val="24"/>
        </w:rPr>
        <w:t>NATIONAL ENGINEERING COLLEGE</w:t>
        <w:br/>
        <w:t>(An Autonomous Institution affiliated to Anna University, Chennai)</w:t>
        <w:br/>
        <w:t>K.R. NAGAR, KOVILPATTI - 628503</w:t>
      </w:r>
    </w:p>
    <w:p>
      <w:pPr>
        <w:spacing w:before="240" w:after="0" w:line="288" w:lineRule="auto"/>
        <w:jc w:val="center"/>
      </w:pPr>
      <w:r>
        <w:rPr>
          <w:rFonts w:ascii="Times New Roman" w:hAnsi="Times New Roman"/>
          <w:b/>
          <w:sz w:val="24"/>
        </w:rPr>
        <w:t>APRIL - 2026</w:t>
      </w:r>
    </w:p>
    <w:p>
      <w:r>
        <w:br w:type="page"/>
      </w:r>
    </w:p>
    <w:p>
      <w:pPr>
        <w:spacing w:before="360" w:after="240"/>
        <w:jc w:val="center"/>
      </w:pPr>
      <w:r>
        <w:rPr>
          <w:rFonts w:ascii="Times New Roman" w:hAnsi="Times New Roman"/>
          <w:b/>
          <w:sz w:val="28"/>
        </w:rPr>
        <w:t>BONAFIDE CERTIFICATE</w:t>
      </w:r>
    </w:p>
    <w:p>
      <w:pPr>
        <w:spacing w:line="276" w:lineRule="auto" w:after="120"/>
        <w:jc w:val="both"/>
      </w:pPr>
      <w:r>
        <w:rPr>
          <w:rFonts w:ascii="Times New Roman" w:hAnsi="Times New Roman"/>
          <w:i w:val="0"/>
          <w:sz w:val="24"/>
        </w:rPr>
        <w:t>This is to certify that this project report, "EcoLink – Hyperlocal Marketplace for Sustainable Plants, Eco-Friendly Products &amp; Community", is the Bonafide work of JAYA SHIVAANI K P (2312122) who carried out the project work under my supervision.</w:t>
      </w:r>
    </w:p>
    <w:p>
      <w:pPr>
        <w:spacing w:after="720"/>
      </w:pPr>
    </w:p>
    <w:tbl>
      <w:tblPr>
        <w:tblW w:type="auto" w:w="0"/>
        <w:jc w:val="center"/>
        <w:tblLook w:firstColumn="1" w:firstRow="1" w:lastColumn="0" w:lastRow="0" w:noHBand="0" w:noVBand="1" w:val="04A0"/>
      </w:tblPr>
      <w:tblGrid>
        <w:gridCol w:w="4680"/>
        <w:gridCol w:w="4680"/>
      </w:tblGrid>
      <w:tr>
        <w:tc>
          <w:tcPr>
            <w:tcW w:type="dxa" w:w="4680"/>
          </w:tcPr>
          <w:p>
            <w:r>
              <w:rPr>
                <w:b/>
              </w:rPr>
              <w:t>DOMAIN SPECIFIC MENTOR</w:t>
              <w:br/>
              <w:br/>
            </w:r>
            <w:r>
              <w:rPr>
                <w:b/>
              </w:rPr>
              <w:t>Mrs. V. MAHESWARI M.E.,</w:t>
              <w:br/>
            </w:r>
            <w:r>
              <w:t>Assistant Professor,</w:t>
              <w:br/>
              <w:t>Department of CSE,</w:t>
              <w:br/>
              <w:t>National Engineering College,</w:t>
              <w:br/>
              <w:t>(An Autonomous Institution),</w:t>
              <w:br/>
              <w:t>K.R. Nagar, Kovilpatti – 628503.</w:t>
            </w:r>
          </w:p>
        </w:tc>
        <w:tc>
          <w:tcPr>
            <w:tcW w:type="dxa" w:w="4680"/>
          </w:tcPr>
          <w:p>
            <w:r>
              <w:rPr>
                <w:b/>
              </w:rPr>
              <w:t>COURSE INSTRUCTOR</w:t>
              <w:br/>
              <w:br/>
            </w:r>
            <w:r>
              <w:rPr>
                <w:b/>
              </w:rPr>
              <w:t>Ms. D. THAMARAI SELVI M.E.,</w:t>
              <w:br/>
            </w:r>
            <w:r>
              <w:t>Assistant Professor (SG),</w:t>
              <w:br/>
              <w:t>Department of CSE,</w:t>
              <w:br/>
              <w:t>National Engineering College,</w:t>
              <w:br/>
              <w:t>(An Autonomous Institution),</w:t>
              <w:br/>
              <w:t>K.R. Nagar, Kovilpatti – 628503.</w:t>
            </w:r>
          </w:p>
        </w:tc>
      </w:tr>
    </w:tbl>
    <w:p>
      <w:pPr>
        <w:spacing w:after="960"/>
      </w:pPr>
    </w:p>
    <w:p>
      <w:pPr>
        <w:spacing w:line="276" w:lineRule="auto" w:after="120"/>
        <w:jc w:val="both"/>
      </w:pPr>
      <w:r>
        <w:rPr>
          <w:rFonts w:ascii="Times New Roman" w:hAnsi="Times New Roman"/>
          <w:i w:val="0"/>
          <w:sz w:val="24"/>
        </w:rPr>
        <w:t>Submitted to the 23CS1ME - MINI CAPSTONE PROJECT Viva-Voce examination held at National Engineering College, K.R. Nagar, Kovilpatti on __________________</w:t>
      </w:r>
    </w:p>
    <w:p>
      <w:pPr>
        <w:spacing w:after="720"/>
      </w:pPr>
    </w:p>
    <w:tbl>
      <w:tblPr>
        <w:tblW w:type="auto" w:w="0"/>
        <w:jc w:val="center"/>
        <w:tblLook w:firstColumn="1" w:firstRow="1" w:lastColumn="0" w:lastRow="0" w:noHBand="0" w:noVBand="1" w:val="04A0"/>
      </w:tblPr>
      <w:tblGrid>
        <w:gridCol w:w="4680"/>
        <w:gridCol w:w="4680"/>
      </w:tblGrid>
      <w:tr>
        <w:tc>
          <w:tcPr>
            <w:tcW w:type="dxa" w:w="4680"/>
          </w:tcPr>
          <w:p>
            <w:r>
              <w:rPr>
                <w:b/>
              </w:rPr>
              <w:t>Internal Examiner</w:t>
            </w:r>
          </w:p>
        </w:tc>
        <w:tc>
          <w:tcPr>
            <w:tcW w:type="dxa" w:w="4680"/>
          </w:tcPr>
          <w:p>
            <w:pPr>
              <w:jc w:val="right"/>
            </w:pPr>
            <w:r>
              <w:rPr>
                <w:b/>
              </w:rPr>
              <w:t>Co Examiner</w:t>
            </w:r>
          </w:p>
        </w:tc>
      </w:tr>
    </w:tbl>
    <w:p>
      <w:r>
        <w:br w:type="page"/>
      </w:r>
    </w:p>
    <w:p>
      <w:pPr>
        <w:spacing w:before="360" w:after="240"/>
        <w:jc w:val="center"/>
      </w:pPr>
      <w:r>
        <w:rPr>
          <w:rFonts w:ascii="Times New Roman" w:hAnsi="Times New Roman"/>
          <w:b/>
          <w:sz w:val="28"/>
        </w:rPr>
        <w:t>ACKNOWLEDGEMENT</w:t>
      </w:r>
    </w:p>
    <w:p>
      <w:pPr>
        <w:spacing w:line="276" w:lineRule="auto" w:after="120"/>
        <w:jc w:val="both"/>
      </w:pPr>
      <w:r>
        <w:rPr>
          <w:rFonts w:ascii="Times New Roman" w:hAnsi="Times New Roman"/>
          <w:i w:val="0"/>
          <w:sz w:val="24"/>
        </w:rPr>
        <w:t>First and foremost, I would like to thank God Almighty for showering his blessings throughout our life. He has been the tower of our strength in each step of our work. I take the privilege to express hearty thanks to our parents for their valuable support and effort to complete the project work.</w:t>
      </w:r>
    </w:p>
    <w:p>
      <w:pPr>
        <w:spacing w:line="276" w:lineRule="auto" w:after="120"/>
        <w:jc w:val="both"/>
      </w:pPr>
      <w:r>
        <w:rPr>
          <w:rFonts w:ascii="Times New Roman" w:hAnsi="Times New Roman"/>
          <w:i w:val="0"/>
          <w:sz w:val="24"/>
        </w:rPr>
        <w:t>I would like to express my very deep sense of gratitude and respectful regards and thanks to our Director Dr. S. Shanmugavel B.Sc., D.M.I.T., Ph.D., for giving an opportunity to do this work.</w:t>
      </w:r>
    </w:p>
    <w:p>
      <w:pPr>
        <w:spacing w:line="276" w:lineRule="auto" w:after="120"/>
        <w:jc w:val="both"/>
      </w:pPr>
      <w:r>
        <w:rPr>
          <w:rFonts w:ascii="Times New Roman" w:hAnsi="Times New Roman"/>
          <w:i w:val="0"/>
          <w:sz w:val="24"/>
        </w:rPr>
        <w:t>I have a great pleasure in acknowledging our Principal Dr. K. Kalidasa Murugavel, M.E., Ph.D., for extending his full support to undergo this work.</w:t>
      </w:r>
    </w:p>
    <w:p>
      <w:pPr>
        <w:spacing w:line="276" w:lineRule="auto" w:after="120"/>
        <w:jc w:val="both"/>
      </w:pPr>
      <w:r>
        <w:rPr>
          <w:rFonts w:ascii="Times New Roman" w:hAnsi="Times New Roman"/>
          <w:i w:val="0"/>
          <w:sz w:val="24"/>
        </w:rPr>
        <w:t>I express my profound thanks to my beloved Head of the Department Dr. V. Gomathi., M.Tech., Ph.D., for extending her full support and providing various facilities during the mini-capstone project.</w:t>
      </w:r>
    </w:p>
    <w:p>
      <w:pPr>
        <w:spacing w:line="276" w:lineRule="auto" w:after="120"/>
        <w:jc w:val="both"/>
      </w:pPr>
      <w:r>
        <w:rPr>
          <w:rFonts w:ascii="Times New Roman" w:hAnsi="Times New Roman"/>
          <w:i w:val="0"/>
          <w:sz w:val="24"/>
        </w:rPr>
        <w:t>I would like to thank my Domain Specific Mentor Mrs. V. Maheswari M.E., Assistant Professor, Department of Computer Science and Engineering, whose valuable guidance, technical support and suggestions helped in doing the project work.</w:t>
      </w:r>
    </w:p>
    <w:p>
      <w:pPr>
        <w:spacing w:line="276" w:lineRule="auto" w:after="120"/>
        <w:jc w:val="both"/>
      </w:pPr>
      <w:r>
        <w:rPr>
          <w:rFonts w:ascii="Times New Roman" w:hAnsi="Times New Roman"/>
          <w:i w:val="0"/>
          <w:sz w:val="24"/>
        </w:rPr>
        <w:t>I would like to wholeheartedly express my deepest gratitude to our Course Instructor Ms. D. Thamarai Selvi M.E., Assistant Professor (Sr. Grade), Department of Computer Science and Engineering for her valuable guidance at each and every stage of the project.</w:t>
      </w:r>
    </w:p>
    <w:p>
      <w:pPr>
        <w:spacing w:line="276" w:lineRule="auto" w:after="120"/>
        <w:jc w:val="both"/>
      </w:pPr>
      <w:r>
        <w:rPr>
          <w:rFonts w:ascii="Times New Roman" w:hAnsi="Times New Roman"/>
          <w:i w:val="0"/>
          <w:sz w:val="24"/>
        </w:rPr>
        <w:t>I extend my hearty thanks to my tutor and class in-charges for their valuable guidance. We are grateful to all the staff members and our dear friends for their valuable suggestions and co-operation for this mini-capstone project.</w:t>
      </w:r>
    </w:p>
    <w:p>
      <w:r>
        <w:br w:type="page"/>
      </w:r>
    </w:p>
    <w:p>
      <w:pPr>
        <w:spacing w:before="360" w:after="240"/>
        <w:jc w:val="center"/>
      </w:pPr>
      <w:r>
        <w:rPr>
          <w:rFonts w:ascii="Times New Roman" w:hAnsi="Times New Roman"/>
          <w:b/>
          <w:sz w:val="28"/>
        </w:rPr>
        <w:t>ABSTRACT</w:t>
      </w:r>
    </w:p>
    <w:p>
      <w:pPr>
        <w:spacing w:line="276" w:lineRule="auto" w:after="120"/>
        <w:jc w:val="both"/>
      </w:pPr>
      <w:r>
        <w:rPr>
          <w:rFonts w:ascii="Times New Roman" w:hAnsi="Times New Roman"/>
          <w:i w:val="0"/>
          <w:sz w:val="24"/>
        </w:rPr>
        <w:t>The rapid growth of centralized e-commerce platforms has drastically expanded consumer choice, yet it has inadvertently created severe environmental and socioeconomic challenges. Long-distance supply chains for living nursery plants and perishable farm produce result in excessive packaging waste, severe transit mortality of delicate saplings, and heightened carbon emissions from motorized logistics. Simultaneously, micro-scale urban gardeners, rural artisans, Self-Help Groups (SHGs), and marginalized women entrepreneurs struggle to compete against mass-manufactured goods due to exorbitant distributor markups, complicated onboarding procedures, and high listing commissions on mainstream digital marketplaces. In parallel, urban communities lack a dedicated, localized mechanism to redistribute surplus garden saplings, exchange rare botanical cuttings, or organize green community workshops.</w:t>
      </w:r>
    </w:p>
    <w:p>
      <w:pPr>
        <w:spacing w:line="276" w:lineRule="auto" w:after="120"/>
        <w:jc w:val="both"/>
      </w:pPr>
      <w:r>
        <w:rPr>
          <w:rFonts w:ascii="Times New Roman" w:hAnsi="Times New Roman"/>
          <w:i w:val="0"/>
          <w:sz w:val="24"/>
        </w:rPr>
        <w:t>To address these systemic supply chain and community fragmentation issues, EcoLink introduces a full-stack, software-first Hyperlocal Marketplace and Sustainable Community Ecosystem. Developed using the MERN stack (MongoDB, Express.js, React.js, and Node.js), EcoLink integrates high-precision proximity discovery using the Browser Geolocation API, interactive geospatial rendering via Leaflet.js / OpenStreetMap, and accurate spatial filtering powered by the Haversine distance algorithm (5 km to 50 km adjustable radius). The platform incorporates a unified Multi-Role Account architecture, enabling registered Buyers to seamlessly apply for Seller privileges through a rigorous admin verification workflow. Verified Self-Help Groups (SHGs) and Women Entrepreneurs are supported through dynamic, configurable commission structures and distinct trust badges. Beyond commerce, EcoLink features an innovative "Plant Loop" comprising a zero-cost Plant Adoption Board, a circular Plant Exchange Hub, and a corporate Bulk Business Requirement Bidding Portal. Secure financial transactions are conducted via an integrated Razorpay payment gateway with cryptographic HMAC-SHA256 signature verification, while dynamic localized interfaces (English and Tamil) ensure complete accessibility. EcoLink delivers an end-to-end, resilient digital ecosystem that fosters neighborhood self-reliance, circular gardening, and green economic empowerment.</w:t>
      </w:r>
    </w:p>
    <w:p>
      <w:r>
        <w:br w:type="page"/>
      </w:r>
    </w:p>
    <w:p>
      <w:pPr>
        <w:spacing w:before="360" w:after="24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3120"/>
          </w:tcPr>
          <w:p>
            <w:r>
              <w:rPr>
                <w:b/>
              </w:rPr>
              <w:t>CHAPTER NO.</w:t>
            </w:r>
          </w:p>
        </w:tc>
        <w:tc>
          <w:tcPr>
            <w:tcW w:type="dxa" w:w="3120"/>
          </w:tcPr>
          <w:p>
            <w:r>
              <w:rPr>
                <w:b/>
              </w:rPr>
              <w:t>TITLE</w:t>
            </w:r>
          </w:p>
        </w:tc>
        <w:tc>
          <w:tcPr>
            <w:tcW w:type="dxa" w:w="3120"/>
          </w:tcPr>
          <w:p>
            <w:r>
              <w:rPr>
                <w:b/>
              </w:rPr>
              <w:t>PAGE NO.</w:t>
            </w:r>
          </w:p>
        </w:tc>
      </w:tr>
      <w:tr>
        <w:tc>
          <w:tcPr>
            <w:tcW w:type="dxa" w:w="3120"/>
          </w:tcPr>
          <w:p>
            <w:r/>
          </w:p>
        </w:tc>
        <w:tc>
          <w:tcPr>
            <w:tcW w:type="dxa" w:w="3120"/>
          </w:tcPr>
          <w:p>
            <w:r>
              <w:t>ABSTRACT</w:t>
            </w:r>
          </w:p>
        </w:tc>
        <w:tc>
          <w:tcPr>
            <w:tcW w:type="dxa" w:w="3120"/>
          </w:tcPr>
          <w:p>
            <w:r>
              <w:t>4</w:t>
            </w:r>
          </w:p>
        </w:tc>
      </w:tr>
      <w:tr>
        <w:tc>
          <w:tcPr>
            <w:tcW w:type="dxa" w:w="3120"/>
          </w:tcPr>
          <w:p>
            <w:r>
              <w:t>1</w:t>
            </w:r>
          </w:p>
        </w:tc>
        <w:tc>
          <w:tcPr>
            <w:tcW w:type="dxa" w:w="3120"/>
          </w:tcPr>
          <w:p>
            <w:r>
              <w:t>INTRODUCTION</w:t>
            </w:r>
          </w:p>
        </w:tc>
        <w:tc>
          <w:tcPr>
            <w:tcW w:type="dxa" w:w="3120"/>
          </w:tcPr>
          <w:p>
            <w:r>
              <w:t>9</w:t>
            </w:r>
          </w:p>
        </w:tc>
      </w:tr>
      <w:tr>
        <w:tc>
          <w:tcPr>
            <w:tcW w:type="dxa" w:w="3120"/>
          </w:tcPr>
          <w:p>
            <w:r/>
          </w:p>
        </w:tc>
        <w:tc>
          <w:tcPr>
            <w:tcW w:type="dxa" w:w="3120"/>
          </w:tcPr>
          <w:p>
            <w:r>
              <w:t>1.1 Problem Statement</w:t>
            </w:r>
          </w:p>
        </w:tc>
        <w:tc>
          <w:tcPr>
            <w:tcW w:type="dxa" w:w="3120"/>
          </w:tcPr>
          <w:p>
            <w:r>
              <w:t>10</w:t>
            </w:r>
          </w:p>
        </w:tc>
      </w:tr>
      <w:tr>
        <w:tc>
          <w:tcPr>
            <w:tcW w:type="dxa" w:w="3120"/>
          </w:tcPr>
          <w:p>
            <w:r/>
          </w:p>
        </w:tc>
        <w:tc>
          <w:tcPr>
            <w:tcW w:type="dxa" w:w="3120"/>
          </w:tcPr>
          <w:p>
            <w:r>
              <w:t>1.2 Scope of the Project</w:t>
            </w:r>
          </w:p>
        </w:tc>
        <w:tc>
          <w:tcPr>
            <w:tcW w:type="dxa" w:w="3120"/>
          </w:tcPr>
          <w:p>
            <w:r>
              <w:t>10</w:t>
            </w:r>
          </w:p>
        </w:tc>
      </w:tr>
      <w:tr>
        <w:tc>
          <w:tcPr>
            <w:tcW w:type="dxa" w:w="3120"/>
          </w:tcPr>
          <w:p>
            <w:r>
              <w:t>2</w:t>
            </w:r>
          </w:p>
        </w:tc>
        <w:tc>
          <w:tcPr>
            <w:tcW w:type="dxa" w:w="3120"/>
          </w:tcPr>
          <w:p>
            <w:r>
              <w:t>LITERATURE REVIEW</w:t>
            </w:r>
          </w:p>
        </w:tc>
        <w:tc>
          <w:tcPr>
            <w:tcW w:type="dxa" w:w="3120"/>
          </w:tcPr>
          <w:p>
            <w:r>
              <w:t>11</w:t>
            </w:r>
          </w:p>
        </w:tc>
      </w:tr>
      <w:tr>
        <w:tc>
          <w:tcPr>
            <w:tcW w:type="dxa" w:w="3120"/>
          </w:tcPr>
          <w:p>
            <w:r>
              <w:t>3</w:t>
            </w:r>
          </w:p>
        </w:tc>
        <w:tc>
          <w:tcPr>
            <w:tcW w:type="dxa" w:w="3120"/>
          </w:tcPr>
          <w:p>
            <w:r>
              <w:t>DESIGN THINKING</w:t>
            </w:r>
          </w:p>
        </w:tc>
        <w:tc>
          <w:tcPr>
            <w:tcW w:type="dxa" w:w="3120"/>
          </w:tcPr>
          <w:p>
            <w:r>
              <w:t>13</w:t>
            </w:r>
          </w:p>
        </w:tc>
      </w:tr>
      <w:tr>
        <w:tc>
          <w:tcPr>
            <w:tcW w:type="dxa" w:w="3120"/>
          </w:tcPr>
          <w:p>
            <w:r/>
          </w:p>
        </w:tc>
        <w:tc>
          <w:tcPr>
            <w:tcW w:type="dxa" w:w="3120"/>
          </w:tcPr>
          <w:p>
            <w:r>
              <w:t>3.1 Empathy Map</w:t>
            </w:r>
          </w:p>
        </w:tc>
        <w:tc>
          <w:tcPr>
            <w:tcW w:type="dxa" w:w="3120"/>
          </w:tcPr>
          <w:p>
            <w:r>
              <w:t>13</w:t>
            </w:r>
          </w:p>
        </w:tc>
      </w:tr>
      <w:tr>
        <w:tc>
          <w:tcPr>
            <w:tcW w:type="dxa" w:w="3120"/>
          </w:tcPr>
          <w:p>
            <w:r/>
          </w:p>
        </w:tc>
        <w:tc>
          <w:tcPr>
            <w:tcW w:type="dxa" w:w="3120"/>
          </w:tcPr>
          <w:p>
            <w:r>
              <w:t>3.2 Stakeholder Analysis</w:t>
            </w:r>
          </w:p>
        </w:tc>
        <w:tc>
          <w:tcPr>
            <w:tcW w:type="dxa" w:w="3120"/>
          </w:tcPr>
          <w:p>
            <w:r>
              <w:t>15</w:t>
            </w:r>
          </w:p>
        </w:tc>
      </w:tr>
      <w:tr>
        <w:tc>
          <w:tcPr>
            <w:tcW w:type="dxa" w:w="3120"/>
          </w:tcPr>
          <w:p>
            <w:r/>
          </w:p>
        </w:tc>
        <w:tc>
          <w:tcPr>
            <w:tcW w:type="dxa" w:w="3120"/>
          </w:tcPr>
          <w:p>
            <w:r>
              <w:t>3.3 Pain Points Identified</w:t>
            </w:r>
          </w:p>
        </w:tc>
        <w:tc>
          <w:tcPr>
            <w:tcW w:type="dxa" w:w="3120"/>
          </w:tcPr>
          <w:p>
            <w:r>
              <w:t>15</w:t>
            </w:r>
          </w:p>
        </w:tc>
      </w:tr>
      <w:tr>
        <w:tc>
          <w:tcPr>
            <w:tcW w:type="dxa" w:w="3120"/>
          </w:tcPr>
          <w:p>
            <w:r/>
          </w:p>
        </w:tc>
        <w:tc>
          <w:tcPr>
            <w:tcW w:type="dxa" w:w="3120"/>
          </w:tcPr>
          <w:p>
            <w:r>
              <w:t>3.4 Design Goals</w:t>
            </w:r>
          </w:p>
        </w:tc>
        <w:tc>
          <w:tcPr>
            <w:tcW w:type="dxa" w:w="3120"/>
          </w:tcPr>
          <w:p>
            <w:r>
              <w:t>15</w:t>
            </w:r>
          </w:p>
        </w:tc>
      </w:tr>
      <w:tr>
        <w:tc>
          <w:tcPr>
            <w:tcW w:type="dxa" w:w="3120"/>
          </w:tcPr>
          <w:p>
            <w:r/>
          </w:p>
        </w:tc>
        <w:tc>
          <w:tcPr>
            <w:tcW w:type="dxa" w:w="3120"/>
          </w:tcPr>
          <w:p>
            <w:r>
              <w:t>3.5 Feasibility Discussion</w:t>
            </w:r>
          </w:p>
        </w:tc>
        <w:tc>
          <w:tcPr>
            <w:tcW w:type="dxa" w:w="3120"/>
          </w:tcPr>
          <w:p>
            <w:r>
              <w:t>16</w:t>
            </w:r>
          </w:p>
        </w:tc>
      </w:tr>
      <w:tr>
        <w:tc>
          <w:tcPr>
            <w:tcW w:type="dxa" w:w="3120"/>
          </w:tcPr>
          <w:p>
            <w:r>
              <w:t>4</w:t>
            </w:r>
          </w:p>
        </w:tc>
        <w:tc>
          <w:tcPr>
            <w:tcW w:type="dxa" w:w="3120"/>
          </w:tcPr>
          <w:p>
            <w:r>
              <w:t>PROPOSED METHODOLOGY</w:t>
            </w:r>
          </w:p>
        </w:tc>
        <w:tc>
          <w:tcPr>
            <w:tcW w:type="dxa" w:w="3120"/>
          </w:tcPr>
          <w:p>
            <w:r>
              <w:t>17</w:t>
            </w:r>
          </w:p>
        </w:tc>
      </w:tr>
      <w:tr>
        <w:tc>
          <w:tcPr>
            <w:tcW w:type="dxa" w:w="3120"/>
          </w:tcPr>
          <w:p>
            <w:r/>
          </w:p>
        </w:tc>
        <w:tc>
          <w:tcPr>
            <w:tcW w:type="dxa" w:w="3120"/>
          </w:tcPr>
          <w:p>
            <w:r>
              <w:t>4.1 Existing System</w:t>
            </w:r>
          </w:p>
        </w:tc>
        <w:tc>
          <w:tcPr>
            <w:tcW w:type="dxa" w:w="3120"/>
          </w:tcPr>
          <w:p>
            <w:r>
              <w:t>17</w:t>
            </w:r>
          </w:p>
        </w:tc>
      </w:tr>
      <w:tr>
        <w:tc>
          <w:tcPr>
            <w:tcW w:type="dxa" w:w="3120"/>
          </w:tcPr>
          <w:p>
            <w:r/>
          </w:p>
        </w:tc>
        <w:tc>
          <w:tcPr>
            <w:tcW w:type="dxa" w:w="3120"/>
          </w:tcPr>
          <w:p>
            <w:r>
              <w:t>4.2 Proposed System</w:t>
            </w:r>
          </w:p>
        </w:tc>
        <w:tc>
          <w:tcPr>
            <w:tcW w:type="dxa" w:w="3120"/>
          </w:tcPr>
          <w:p>
            <w:r>
              <w:t>18</w:t>
            </w:r>
          </w:p>
        </w:tc>
      </w:tr>
      <w:tr>
        <w:tc>
          <w:tcPr>
            <w:tcW w:type="dxa" w:w="3120"/>
          </w:tcPr>
          <w:p>
            <w:r/>
          </w:p>
        </w:tc>
        <w:tc>
          <w:tcPr>
            <w:tcW w:type="dxa" w:w="3120"/>
          </w:tcPr>
          <w:p>
            <w:r>
              <w:t>4.3 System Architecture</w:t>
            </w:r>
          </w:p>
        </w:tc>
        <w:tc>
          <w:tcPr>
            <w:tcW w:type="dxa" w:w="3120"/>
          </w:tcPr>
          <w:p>
            <w:r>
              <w:t>18</w:t>
            </w:r>
          </w:p>
        </w:tc>
      </w:tr>
      <w:tr>
        <w:tc>
          <w:tcPr>
            <w:tcW w:type="dxa" w:w="3120"/>
          </w:tcPr>
          <w:p>
            <w:r/>
          </w:p>
        </w:tc>
        <w:tc>
          <w:tcPr>
            <w:tcW w:type="dxa" w:w="3120"/>
          </w:tcPr>
          <w:p>
            <w:r>
              <w:t>4.4 System Design</w:t>
            </w:r>
          </w:p>
        </w:tc>
        <w:tc>
          <w:tcPr>
            <w:tcW w:type="dxa" w:w="3120"/>
          </w:tcPr>
          <w:p>
            <w:r>
              <w:t>20</w:t>
            </w:r>
          </w:p>
        </w:tc>
      </w:tr>
      <w:tr>
        <w:tc>
          <w:tcPr>
            <w:tcW w:type="dxa" w:w="3120"/>
          </w:tcPr>
          <w:p>
            <w:r/>
          </w:p>
        </w:tc>
        <w:tc>
          <w:tcPr>
            <w:tcW w:type="dxa" w:w="3120"/>
          </w:tcPr>
          <w:p>
            <w:r>
              <w:t xml:space="preserve">    4.4.1 Use Case Diagram</w:t>
            </w:r>
          </w:p>
        </w:tc>
        <w:tc>
          <w:tcPr>
            <w:tcW w:type="dxa" w:w="3120"/>
          </w:tcPr>
          <w:p>
            <w:r>
              <w:t>20</w:t>
            </w:r>
          </w:p>
        </w:tc>
      </w:tr>
      <w:tr>
        <w:tc>
          <w:tcPr>
            <w:tcW w:type="dxa" w:w="3120"/>
          </w:tcPr>
          <w:p>
            <w:r/>
          </w:p>
        </w:tc>
        <w:tc>
          <w:tcPr>
            <w:tcW w:type="dxa" w:w="3120"/>
          </w:tcPr>
          <w:p>
            <w:r>
              <w:t>4.5 Algorithmic Steps</w:t>
            </w:r>
          </w:p>
        </w:tc>
        <w:tc>
          <w:tcPr>
            <w:tcW w:type="dxa" w:w="3120"/>
          </w:tcPr>
          <w:p>
            <w:r>
              <w:t>22</w:t>
            </w:r>
          </w:p>
        </w:tc>
      </w:tr>
      <w:tr>
        <w:tc>
          <w:tcPr>
            <w:tcW w:type="dxa" w:w="3120"/>
          </w:tcPr>
          <w:p>
            <w:r/>
          </w:p>
        </w:tc>
        <w:tc>
          <w:tcPr>
            <w:tcW w:type="dxa" w:w="3120"/>
          </w:tcPr>
          <w:p>
            <w:r>
              <w:t>4.6 Flowchart for EcoLink Marketplace</w:t>
            </w:r>
          </w:p>
        </w:tc>
        <w:tc>
          <w:tcPr>
            <w:tcW w:type="dxa" w:w="3120"/>
          </w:tcPr>
          <w:p>
            <w:r>
              <w:t>22</w:t>
            </w:r>
          </w:p>
        </w:tc>
      </w:tr>
      <w:tr>
        <w:tc>
          <w:tcPr>
            <w:tcW w:type="dxa" w:w="3120"/>
          </w:tcPr>
          <w:p>
            <w:r/>
          </w:p>
        </w:tc>
        <w:tc>
          <w:tcPr>
            <w:tcW w:type="dxa" w:w="3120"/>
          </w:tcPr>
          <w:p>
            <w:r>
              <w:t>4.7 System Requirements</w:t>
            </w:r>
          </w:p>
        </w:tc>
        <w:tc>
          <w:tcPr>
            <w:tcW w:type="dxa" w:w="3120"/>
          </w:tcPr>
          <w:p>
            <w:r>
              <w:t>24</w:t>
            </w:r>
          </w:p>
        </w:tc>
      </w:tr>
      <w:tr>
        <w:tc>
          <w:tcPr>
            <w:tcW w:type="dxa" w:w="3120"/>
          </w:tcPr>
          <w:p>
            <w:r/>
          </w:p>
        </w:tc>
        <w:tc>
          <w:tcPr>
            <w:tcW w:type="dxa" w:w="3120"/>
          </w:tcPr>
          <w:p>
            <w:r>
              <w:t>4.8 Security and Validation Considerations</w:t>
            </w:r>
          </w:p>
        </w:tc>
        <w:tc>
          <w:tcPr>
            <w:tcW w:type="dxa" w:w="3120"/>
          </w:tcPr>
          <w:p>
            <w:r>
              <w:t>24</w:t>
            </w:r>
          </w:p>
        </w:tc>
      </w:tr>
      <w:tr>
        <w:tc>
          <w:tcPr>
            <w:tcW w:type="dxa" w:w="3120"/>
          </w:tcPr>
          <w:p>
            <w:r>
              <w:t>5</w:t>
            </w:r>
          </w:p>
        </w:tc>
        <w:tc>
          <w:tcPr>
            <w:tcW w:type="dxa" w:w="3120"/>
          </w:tcPr>
          <w:p>
            <w:r>
              <w:t>IMPLEMENTATION AND RESULT</w:t>
            </w:r>
          </w:p>
        </w:tc>
        <w:tc>
          <w:tcPr>
            <w:tcW w:type="dxa" w:w="3120"/>
          </w:tcPr>
          <w:p>
            <w:r>
              <w:t>25</w:t>
            </w:r>
          </w:p>
        </w:tc>
      </w:tr>
      <w:tr>
        <w:tc>
          <w:tcPr>
            <w:tcW w:type="dxa" w:w="3120"/>
          </w:tcPr>
          <w:p>
            <w:r/>
          </w:p>
        </w:tc>
        <w:tc>
          <w:tcPr>
            <w:tcW w:type="dxa" w:w="3120"/>
          </w:tcPr>
          <w:p>
            <w:r>
              <w:t>5.1 Implementation</w:t>
            </w:r>
          </w:p>
        </w:tc>
        <w:tc>
          <w:tcPr>
            <w:tcW w:type="dxa" w:w="3120"/>
          </w:tcPr>
          <w:p>
            <w:r>
              <w:t>25</w:t>
            </w:r>
          </w:p>
        </w:tc>
      </w:tr>
      <w:tr>
        <w:tc>
          <w:tcPr>
            <w:tcW w:type="dxa" w:w="3120"/>
          </w:tcPr>
          <w:p>
            <w:r/>
          </w:p>
        </w:tc>
        <w:tc>
          <w:tcPr>
            <w:tcW w:type="dxa" w:w="3120"/>
          </w:tcPr>
          <w:p>
            <w:r>
              <w:t xml:space="preserve">    5.1.1 Frontend Design and UI Development</w:t>
            </w:r>
          </w:p>
        </w:tc>
        <w:tc>
          <w:tcPr>
            <w:tcW w:type="dxa" w:w="3120"/>
          </w:tcPr>
          <w:p>
            <w:r>
              <w:t>26</w:t>
            </w:r>
          </w:p>
        </w:tc>
      </w:tr>
      <w:tr>
        <w:tc>
          <w:tcPr>
            <w:tcW w:type="dxa" w:w="3120"/>
          </w:tcPr>
          <w:p>
            <w:r/>
          </w:p>
        </w:tc>
        <w:tc>
          <w:tcPr>
            <w:tcW w:type="dxa" w:w="3120"/>
          </w:tcPr>
          <w:p>
            <w:r>
              <w:t xml:space="preserve">    5.1.2 Dynamic Multi-Category Marketplace &amp; Filters</w:t>
            </w:r>
          </w:p>
        </w:tc>
        <w:tc>
          <w:tcPr>
            <w:tcW w:type="dxa" w:w="3120"/>
          </w:tcPr>
          <w:p>
            <w:r>
              <w:t>26</w:t>
            </w:r>
          </w:p>
        </w:tc>
      </w:tr>
      <w:tr>
        <w:tc>
          <w:tcPr>
            <w:tcW w:type="dxa" w:w="3120"/>
          </w:tcPr>
          <w:p>
            <w:r/>
          </w:p>
        </w:tc>
        <w:tc>
          <w:tcPr>
            <w:tcW w:type="dxa" w:w="3120"/>
          </w:tcPr>
          <w:p>
            <w:r>
              <w:t xml:space="preserve">    5.1.3 Geospatial Proximity &amp; Haversine Distance Engine</w:t>
            </w:r>
          </w:p>
        </w:tc>
        <w:tc>
          <w:tcPr>
            <w:tcW w:type="dxa" w:w="3120"/>
          </w:tcPr>
          <w:p>
            <w:r>
              <w:t>26</w:t>
            </w:r>
          </w:p>
        </w:tc>
      </w:tr>
      <w:tr>
        <w:tc>
          <w:tcPr>
            <w:tcW w:type="dxa" w:w="3120"/>
          </w:tcPr>
          <w:p>
            <w:r/>
          </w:p>
        </w:tc>
        <w:tc>
          <w:tcPr>
            <w:tcW w:type="dxa" w:w="3120"/>
          </w:tcPr>
          <w:p>
            <w:r>
              <w:t xml:space="preserve">    5.1.4 Multi-Role Authentication &amp; Seller Verification</w:t>
            </w:r>
          </w:p>
        </w:tc>
        <w:tc>
          <w:tcPr>
            <w:tcW w:type="dxa" w:w="3120"/>
          </w:tcPr>
          <w:p>
            <w:r>
              <w:t>26</w:t>
            </w:r>
          </w:p>
        </w:tc>
      </w:tr>
      <w:tr>
        <w:tc>
          <w:tcPr>
            <w:tcW w:type="dxa" w:w="3120"/>
          </w:tcPr>
          <w:p>
            <w:r/>
          </w:p>
        </w:tc>
        <w:tc>
          <w:tcPr>
            <w:tcW w:type="dxa" w:w="3120"/>
          </w:tcPr>
          <w:p>
            <w:r>
              <w:t xml:space="preserve">    5.1.5 Node.js Backend &amp; REST API Orchestration</w:t>
            </w:r>
          </w:p>
        </w:tc>
        <w:tc>
          <w:tcPr>
            <w:tcW w:type="dxa" w:w="3120"/>
          </w:tcPr>
          <w:p>
            <w:r>
              <w:t>27</w:t>
            </w:r>
          </w:p>
        </w:tc>
      </w:tr>
      <w:tr>
        <w:tc>
          <w:tcPr>
            <w:tcW w:type="dxa" w:w="3120"/>
          </w:tcPr>
          <w:p>
            <w:r/>
          </w:p>
        </w:tc>
        <w:tc>
          <w:tcPr>
            <w:tcW w:type="dxa" w:w="3120"/>
          </w:tcPr>
          <w:p>
            <w:r>
              <w:t xml:space="preserve">    5.1.6 MongoDB NoSQL Database Modeling</w:t>
            </w:r>
          </w:p>
        </w:tc>
        <w:tc>
          <w:tcPr>
            <w:tcW w:type="dxa" w:w="3120"/>
          </w:tcPr>
          <w:p>
            <w:r>
              <w:t>27</w:t>
            </w:r>
          </w:p>
        </w:tc>
      </w:tr>
      <w:tr>
        <w:tc>
          <w:tcPr>
            <w:tcW w:type="dxa" w:w="3120"/>
          </w:tcPr>
          <w:p>
            <w:r/>
          </w:p>
        </w:tc>
        <w:tc>
          <w:tcPr>
            <w:tcW w:type="dxa" w:w="3120"/>
          </w:tcPr>
          <w:p>
            <w:r>
              <w:t xml:space="preserve">    5.1.7 Circular Plant Loop (Adoption &amp; Exchange Hub)</w:t>
            </w:r>
          </w:p>
        </w:tc>
        <w:tc>
          <w:tcPr>
            <w:tcW w:type="dxa" w:w="3120"/>
          </w:tcPr>
          <w:p>
            <w:r>
              <w:t>27</w:t>
            </w:r>
          </w:p>
        </w:tc>
      </w:tr>
      <w:tr>
        <w:tc>
          <w:tcPr>
            <w:tcW w:type="dxa" w:w="3120"/>
          </w:tcPr>
          <w:p>
            <w:r/>
          </w:p>
        </w:tc>
        <w:tc>
          <w:tcPr>
            <w:tcW w:type="dxa" w:w="3120"/>
          </w:tcPr>
          <w:p>
            <w:r>
              <w:t xml:space="preserve">    5.1.8 Bulk Business Requirement Bidding Portal</w:t>
            </w:r>
          </w:p>
        </w:tc>
        <w:tc>
          <w:tcPr>
            <w:tcW w:type="dxa" w:w="3120"/>
          </w:tcPr>
          <w:p>
            <w:r>
              <w:t>27</w:t>
            </w:r>
          </w:p>
        </w:tc>
      </w:tr>
      <w:tr>
        <w:tc>
          <w:tcPr>
            <w:tcW w:type="dxa" w:w="3120"/>
          </w:tcPr>
          <w:p>
            <w:r/>
          </w:p>
        </w:tc>
        <w:tc>
          <w:tcPr>
            <w:tcW w:type="dxa" w:w="3120"/>
          </w:tcPr>
          <w:p>
            <w:r>
              <w:t xml:space="preserve">    5.1.9 Secure Razorpay Payment Gateway Integration</w:t>
            </w:r>
          </w:p>
        </w:tc>
        <w:tc>
          <w:tcPr>
            <w:tcW w:type="dxa" w:w="3120"/>
          </w:tcPr>
          <w:p>
            <w:r>
              <w:t>28</w:t>
            </w:r>
          </w:p>
        </w:tc>
      </w:tr>
      <w:tr>
        <w:tc>
          <w:tcPr>
            <w:tcW w:type="dxa" w:w="3120"/>
          </w:tcPr>
          <w:p>
            <w:r/>
          </w:p>
        </w:tc>
        <w:tc>
          <w:tcPr>
            <w:tcW w:type="dxa" w:w="3120"/>
          </w:tcPr>
          <w:p>
            <w:r>
              <w:t>5.2 Admin Module</w:t>
            </w:r>
          </w:p>
        </w:tc>
        <w:tc>
          <w:tcPr>
            <w:tcW w:type="dxa" w:w="3120"/>
          </w:tcPr>
          <w:p>
            <w:r>
              <w:t>28</w:t>
            </w:r>
          </w:p>
        </w:tc>
      </w:tr>
      <w:tr>
        <w:tc>
          <w:tcPr>
            <w:tcW w:type="dxa" w:w="3120"/>
          </w:tcPr>
          <w:p>
            <w:r/>
          </w:p>
        </w:tc>
        <w:tc>
          <w:tcPr>
            <w:tcW w:type="dxa" w:w="3120"/>
          </w:tcPr>
          <w:p>
            <w:r>
              <w:t>5.3 Buyer &amp; Marketplace Module</w:t>
            </w:r>
          </w:p>
        </w:tc>
        <w:tc>
          <w:tcPr>
            <w:tcW w:type="dxa" w:w="3120"/>
          </w:tcPr>
          <w:p>
            <w:r>
              <w:t>32</w:t>
            </w:r>
          </w:p>
        </w:tc>
      </w:tr>
      <w:tr>
        <w:tc>
          <w:tcPr>
            <w:tcW w:type="dxa" w:w="3120"/>
          </w:tcPr>
          <w:p>
            <w:r/>
          </w:p>
        </w:tc>
        <w:tc>
          <w:tcPr>
            <w:tcW w:type="dxa" w:w="3120"/>
          </w:tcPr>
          <w:p>
            <w:r>
              <w:t>5.4 Community &amp; Circular Exchange Module</w:t>
            </w:r>
          </w:p>
        </w:tc>
        <w:tc>
          <w:tcPr>
            <w:tcW w:type="dxa" w:w="3120"/>
          </w:tcPr>
          <w:p>
            <w:r>
              <w:t>37</w:t>
            </w:r>
          </w:p>
        </w:tc>
      </w:tr>
      <w:tr>
        <w:tc>
          <w:tcPr>
            <w:tcW w:type="dxa" w:w="3120"/>
          </w:tcPr>
          <w:p>
            <w:r/>
          </w:p>
        </w:tc>
        <w:tc>
          <w:tcPr>
            <w:tcW w:type="dxa" w:w="3120"/>
          </w:tcPr>
          <w:p>
            <w:r>
              <w:t>5.5 Results</w:t>
            </w:r>
          </w:p>
        </w:tc>
        <w:tc>
          <w:tcPr>
            <w:tcW w:type="dxa" w:w="3120"/>
          </w:tcPr>
          <w:p>
            <w:r>
              <w:t>43</w:t>
            </w:r>
          </w:p>
        </w:tc>
      </w:tr>
      <w:tr>
        <w:tc>
          <w:tcPr>
            <w:tcW w:type="dxa" w:w="3120"/>
          </w:tcPr>
          <w:p>
            <w:r>
              <w:t>6</w:t>
            </w:r>
          </w:p>
        </w:tc>
        <w:tc>
          <w:tcPr>
            <w:tcW w:type="dxa" w:w="3120"/>
          </w:tcPr>
          <w:p>
            <w:r>
              <w:t>CONCLUSION AND FUTURE SCOPE</w:t>
            </w:r>
          </w:p>
        </w:tc>
        <w:tc>
          <w:tcPr>
            <w:tcW w:type="dxa" w:w="3120"/>
          </w:tcPr>
          <w:p>
            <w:r>
              <w:t>44</w:t>
            </w:r>
          </w:p>
        </w:tc>
      </w:tr>
      <w:tr>
        <w:tc>
          <w:tcPr>
            <w:tcW w:type="dxa" w:w="3120"/>
          </w:tcPr>
          <w:p>
            <w:r/>
          </w:p>
        </w:tc>
        <w:tc>
          <w:tcPr>
            <w:tcW w:type="dxa" w:w="3120"/>
          </w:tcPr>
          <w:p>
            <w:r>
              <w:t>6.1 Conclusion</w:t>
            </w:r>
          </w:p>
        </w:tc>
        <w:tc>
          <w:tcPr>
            <w:tcW w:type="dxa" w:w="3120"/>
          </w:tcPr>
          <w:p>
            <w:r>
              <w:t>44</w:t>
            </w:r>
          </w:p>
        </w:tc>
      </w:tr>
      <w:tr>
        <w:tc>
          <w:tcPr>
            <w:tcW w:type="dxa" w:w="3120"/>
          </w:tcPr>
          <w:p>
            <w:r/>
          </w:p>
        </w:tc>
        <w:tc>
          <w:tcPr>
            <w:tcW w:type="dxa" w:w="3120"/>
          </w:tcPr>
          <w:p>
            <w:r>
              <w:t>6.2 Future Scope</w:t>
            </w:r>
          </w:p>
        </w:tc>
        <w:tc>
          <w:tcPr>
            <w:tcW w:type="dxa" w:w="3120"/>
          </w:tcPr>
          <w:p>
            <w:r>
              <w:t>44</w:t>
            </w:r>
          </w:p>
        </w:tc>
      </w:tr>
      <w:tr>
        <w:tc>
          <w:tcPr>
            <w:tcW w:type="dxa" w:w="3120"/>
          </w:tcPr>
          <w:p>
            <w:r>
              <w:t>7</w:t>
            </w:r>
          </w:p>
        </w:tc>
        <w:tc>
          <w:tcPr>
            <w:tcW w:type="dxa" w:w="3120"/>
          </w:tcPr>
          <w:p>
            <w:r>
              <w:t>REFERENCES</w:t>
            </w:r>
          </w:p>
        </w:tc>
        <w:tc>
          <w:tcPr>
            <w:tcW w:type="dxa" w:w="3120"/>
          </w:tcPr>
          <w:p>
            <w:r>
              <w:t>46</w:t>
            </w:r>
          </w:p>
        </w:tc>
      </w:tr>
    </w:tbl>
    <w:p>
      <w:r>
        <w:br w:type="page"/>
      </w:r>
    </w:p>
    <w:p>
      <w:pPr>
        <w:spacing w:before="360" w:after="240"/>
        <w:jc w:val="center"/>
      </w:pPr>
      <w:r>
        <w:rPr>
          <w:rFonts w:ascii="Times New Roman" w:hAnsi="Times New Roman"/>
          <w:b/>
          <w:sz w:val="28"/>
        </w:rPr>
        <w:t>LIST OF FIGURES</w:t>
      </w:r>
    </w:p>
    <w:tbl>
      <w:tblPr>
        <w:tblW w:type="auto" w:w="0"/>
        <w:tblLook w:firstColumn="1" w:firstRow="1" w:lastColumn="0" w:lastRow="0" w:noHBand="0" w:noVBand="1" w:val="04A0"/>
      </w:tblPr>
      <w:tblGrid>
        <w:gridCol w:w="3120"/>
        <w:gridCol w:w="3120"/>
        <w:gridCol w:w="3120"/>
      </w:tblGrid>
      <w:tr>
        <w:tc>
          <w:tcPr>
            <w:tcW w:type="dxa" w:w="3120"/>
          </w:tcPr>
          <w:p>
            <w:r>
              <w:rPr>
                <w:b/>
              </w:rPr>
              <w:t>FIGURE NO.</w:t>
            </w:r>
          </w:p>
        </w:tc>
        <w:tc>
          <w:tcPr>
            <w:tcW w:type="dxa" w:w="3120"/>
          </w:tcPr>
          <w:p>
            <w:r>
              <w:rPr>
                <w:b/>
              </w:rPr>
              <w:t>FIGURE DESCRIPTION</w:t>
            </w:r>
          </w:p>
        </w:tc>
        <w:tc>
          <w:tcPr>
            <w:tcW w:type="dxa" w:w="3120"/>
          </w:tcPr>
          <w:p>
            <w:r>
              <w:rPr>
                <w:b/>
              </w:rPr>
              <w:t>PAGE NO.</w:t>
            </w:r>
          </w:p>
        </w:tc>
      </w:tr>
      <w:tr>
        <w:tc>
          <w:tcPr>
            <w:tcW w:type="dxa" w:w="3120"/>
          </w:tcPr>
          <w:p>
            <w:r>
              <w:t>3.1</w:t>
            </w:r>
          </w:p>
        </w:tc>
        <w:tc>
          <w:tcPr>
            <w:tcW w:type="dxa" w:w="3120"/>
          </w:tcPr>
          <w:p>
            <w:r>
              <w:t>Empathy Map Framework</w:t>
            </w:r>
          </w:p>
        </w:tc>
        <w:tc>
          <w:tcPr>
            <w:tcW w:type="dxa" w:w="3120"/>
          </w:tcPr>
          <w:p>
            <w:r>
              <w:t>13</w:t>
            </w:r>
          </w:p>
        </w:tc>
      </w:tr>
      <w:tr>
        <w:tc>
          <w:tcPr>
            <w:tcW w:type="dxa" w:w="3120"/>
          </w:tcPr>
          <w:p>
            <w:r>
              <w:t>3.2</w:t>
            </w:r>
          </w:p>
        </w:tc>
        <w:tc>
          <w:tcPr>
            <w:tcW w:type="dxa" w:w="3120"/>
          </w:tcPr>
          <w:p>
            <w:r>
              <w:t>Empathy Map for EcoLink Hyperlocal Marketplace</w:t>
            </w:r>
          </w:p>
        </w:tc>
        <w:tc>
          <w:tcPr>
            <w:tcW w:type="dxa" w:w="3120"/>
          </w:tcPr>
          <w:p>
            <w:r>
              <w:t>14</w:t>
            </w:r>
          </w:p>
        </w:tc>
      </w:tr>
      <w:tr>
        <w:tc>
          <w:tcPr>
            <w:tcW w:type="dxa" w:w="3120"/>
          </w:tcPr>
          <w:p>
            <w:r>
              <w:t>4.1</w:t>
            </w:r>
          </w:p>
        </w:tc>
        <w:tc>
          <w:tcPr>
            <w:tcW w:type="dxa" w:w="3120"/>
          </w:tcPr>
          <w:p>
            <w:r>
              <w:t>System Architecture for EcoLink Ecosystem</w:t>
            </w:r>
          </w:p>
        </w:tc>
        <w:tc>
          <w:tcPr>
            <w:tcW w:type="dxa" w:w="3120"/>
          </w:tcPr>
          <w:p>
            <w:r>
              <w:t>19</w:t>
            </w:r>
          </w:p>
        </w:tc>
      </w:tr>
      <w:tr>
        <w:tc>
          <w:tcPr>
            <w:tcW w:type="dxa" w:w="3120"/>
          </w:tcPr>
          <w:p>
            <w:r>
              <w:t>4.2</w:t>
            </w:r>
          </w:p>
        </w:tc>
        <w:tc>
          <w:tcPr>
            <w:tcW w:type="dxa" w:w="3120"/>
          </w:tcPr>
          <w:p>
            <w:r>
              <w:t>Use Case Diagram of EcoLink System</w:t>
            </w:r>
          </w:p>
        </w:tc>
        <w:tc>
          <w:tcPr>
            <w:tcW w:type="dxa" w:w="3120"/>
          </w:tcPr>
          <w:p>
            <w:r>
              <w:t>21</w:t>
            </w:r>
          </w:p>
        </w:tc>
      </w:tr>
      <w:tr>
        <w:tc>
          <w:tcPr>
            <w:tcW w:type="dxa" w:w="3120"/>
          </w:tcPr>
          <w:p>
            <w:r>
              <w:t>4.3</w:t>
            </w:r>
          </w:p>
        </w:tc>
        <w:tc>
          <w:tcPr>
            <w:tcW w:type="dxa" w:w="3120"/>
          </w:tcPr>
          <w:p>
            <w:r>
              <w:t>Workflow of EcoLink Hyperlocal Ordering and Fulfillment</w:t>
            </w:r>
          </w:p>
        </w:tc>
        <w:tc>
          <w:tcPr>
            <w:tcW w:type="dxa" w:w="3120"/>
          </w:tcPr>
          <w:p>
            <w:r>
              <w:t>23</w:t>
            </w:r>
          </w:p>
        </w:tc>
      </w:tr>
      <w:tr>
        <w:tc>
          <w:tcPr>
            <w:tcW w:type="dxa" w:w="3120"/>
          </w:tcPr>
          <w:p>
            <w:r>
              <w:t>5.1</w:t>
            </w:r>
          </w:p>
        </w:tc>
        <w:tc>
          <w:tcPr>
            <w:tcW w:type="dxa" w:w="3120"/>
          </w:tcPr>
          <w:p>
            <w:r>
              <w:t>EcoLink Landing Portal and Sustainability Showcase</w:t>
            </w:r>
          </w:p>
        </w:tc>
        <w:tc>
          <w:tcPr>
            <w:tcW w:type="dxa" w:w="3120"/>
          </w:tcPr>
          <w:p>
            <w:r>
              <w:t>28</w:t>
            </w:r>
          </w:p>
        </w:tc>
      </w:tr>
      <w:tr>
        <w:tc>
          <w:tcPr>
            <w:tcW w:type="dxa" w:w="3120"/>
          </w:tcPr>
          <w:p>
            <w:r>
              <w:t>5.2</w:t>
            </w:r>
          </w:p>
        </w:tc>
        <w:tc>
          <w:tcPr>
            <w:tcW w:type="dxa" w:w="3120"/>
          </w:tcPr>
          <w:p>
            <w:r>
              <w:t>Admin Authentication and Central Management Portal</w:t>
            </w:r>
          </w:p>
        </w:tc>
        <w:tc>
          <w:tcPr>
            <w:tcW w:type="dxa" w:w="3120"/>
          </w:tcPr>
          <w:p>
            <w:r>
              <w:t>29</w:t>
            </w:r>
          </w:p>
        </w:tc>
      </w:tr>
      <w:tr>
        <w:tc>
          <w:tcPr>
            <w:tcW w:type="dxa" w:w="3120"/>
          </w:tcPr>
          <w:p>
            <w:r>
              <w:t>5.3</w:t>
            </w:r>
          </w:p>
        </w:tc>
        <w:tc>
          <w:tcPr>
            <w:tcW w:type="dxa" w:w="3120"/>
          </w:tcPr>
          <w:p>
            <w:r>
              <w:t>Centralized Admin Dashboard &amp; Metric Oversight</w:t>
            </w:r>
          </w:p>
        </w:tc>
        <w:tc>
          <w:tcPr>
            <w:tcW w:type="dxa" w:w="3120"/>
          </w:tcPr>
          <w:p>
            <w:r>
              <w:t>30</w:t>
            </w:r>
          </w:p>
        </w:tc>
      </w:tr>
      <w:tr>
        <w:tc>
          <w:tcPr>
            <w:tcW w:type="dxa" w:w="3120"/>
          </w:tcPr>
          <w:p>
            <w:r>
              <w:t>5.4</w:t>
            </w:r>
          </w:p>
        </w:tc>
        <w:tc>
          <w:tcPr>
            <w:tcW w:type="dxa" w:w="3120"/>
          </w:tcPr>
          <w:p>
            <w:r>
              <w:t>Seller Application Review and Verification Console</w:t>
            </w:r>
          </w:p>
        </w:tc>
        <w:tc>
          <w:tcPr>
            <w:tcW w:type="dxa" w:w="3120"/>
          </w:tcPr>
          <w:p>
            <w:r>
              <w:t>31</w:t>
            </w:r>
          </w:p>
        </w:tc>
      </w:tr>
      <w:tr>
        <w:tc>
          <w:tcPr>
            <w:tcW w:type="dxa" w:w="3120"/>
          </w:tcPr>
          <w:p>
            <w:r>
              <w:t>5.5</w:t>
            </w:r>
          </w:p>
        </w:tc>
        <w:tc>
          <w:tcPr>
            <w:tcW w:type="dxa" w:w="3120"/>
          </w:tcPr>
          <w:p>
            <w:r>
              <w:t>Platform Commission Rate and Fee Configuration Interface</w:t>
            </w:r>
          </w:p>
        </w:tc>
        <w:tc>
          <w:tcPr>
            <w:tcW w:type="dxa" w:w="3120"/>
          </w:tcPr>
          <w:p>
            <w:r>
              <w:t>31</w:t>
            </w:r>
          </w:p>
        </w:tc>
      </w:tr>
      <w:tr>
        <w:tc>
          <w:tcPr>
            <w:tcW w:type="dxa" w:w="3120"/>
          </w:tcPr>
          <w:p>
            <w:r>
              <w:t>5.6</w:t>
            </w:r>
          </w:p>
        </w:tc>
        <w:tc>
          <w:tcPr>
            <w:tcW w:type="dxa" w:w="3120"/>
          </w:tcPr>
          <w:p>
            <w:r>
              <w:t>Global User and Seller Role Governance Interface</w:t>
            </w:r>
          </w:p>
        </w:tc>
        <w:tc>
          <w:tcPr>
            <w:tcW w:type="dxa" w:w="3120"/>
          </w:tcPr>
          <w:p>
            <w:r>
              <w:t>32</w:t>
            </w:r>
          </w:p>
        </w:tc>
      </w:tr>
      <w:tr>
        <w:tc>
          <w:tcPr>
            <w:tcW w:type="dxa" w:w="3120"/>
          </w:tcPr>
          <w:p>
            <w:r>
              <w:t>5.7</w:t>
            </w:r>
          </w:p>
        </w:tc>
        <w:tc>
          <w:tcPr>
            <w:tcW w:type="dxa" w:w="3120"/>
          </w:tcPr>
          <w:p>
            <w:r>
              <w:t>User Authentication and Registration Interface</w:t>
            </w:r>
          </w:p>
        </w:tc>
        <w:tc>
          <w:tcPr>
            <w:tcW w:type="dxa" w:w="3120"/>
          </w:tcPr>
          <w:p>
            <w:r>
              <w:t>32</w:t>
            </w:r>
          </w:p>
        </w:tc>
      </w:tr>
      <w:tr>
        <w:tc>
          <w:tcPr>
            <w:tcW w:type="dxa" w:w="3120"/>
          </w:tcPr>
          <w:p>
            <w:r>
              <w:t>5.8</w:t>
            </w:r>
          </w:p>
        </w:tc>
        <w:tc>
          <w:tcPr>
            <w:tcW w:type="dxa" w:w="3120"/>
          </w:tcPr>
          <w:p>
            <w:r>
              <w:t>Hyperlocal Marketplace with Interactive Leaflet Map Filter</w:t>
            </w:r>
          </w:p>
        </w:tc>
        <w:tc>
          <w:tcPr>
            <w:tcW w:type="dxa" w:w="3120"/>
          </w:tcPr>
          <w:p>
            <w:r>
              <w:t>33</w:t>
            </w:r>
          </w:p>
        </w:tc>
      </w:tr>
      <w:tr>
        <w:tc>
          <w:tcPr>
            <w:tcW w:type="dxa" w:w="3120"/>
          </w:tcPr>
          <w:p>
            <w:r>
              <w:t>5.9</w:t>
            </w:r>
          </w:p>
        </w:tc>
        <w:tc>
          <w:tcPr>
            <w:tcW w:type="dxa" w:w="3120"/>
          </w:tcPr>
          <w:p>
            <w:r>
              <w:t>Dynamic Category and Botanical Type Filtering Interface</w:t>
            </w:r>
          </w:p>
        </w:tc>
        <w:tc>
          <w:tcPr>
            <w:tcW w:type="dxa" w:w="3120"/>
          </w:tcPr>
          <w:p>
            <w:r>
              <w:t>34</w:t>
            </w:r>
          </w:p>
        </w:tc>
      </w:tr>
      <w:tr>
        <w:tc>
          <w:tcPr>
            <w:tcW w:type="dxa" w:w="3120"/>
          </w:tcPr>
          <w:p>
            <w:r>
              <w:t>5.10</w:t>
            </w:r>
          </w:p>
        </w:tc>
        <w:tc>
          <w:tcPr>
            <w:tcW w:type="dxa" w:w="3120"/>
          </w:tcPr>
          <w:p>
            <w:r>
              <w:t>Detailed Product Specification and Carbon Offset Indicator</w:t>
            </w:r>
          </w:p>
        </w:tc>
        <w:tc>
          <w:tcPr>
            <w:tcW w:type="dxa" w:w="3120"/>
          </w:tcPr>
          <w:p>
            <w:r>
              <w:t>35</w:t>
            </w:r>
          </w:p>
        </w:tc>
      </w:tr>
      <w:tr>
        <w:tc>
          <w:tcPr>
            <w:tcW w:type="dxa" w:w="3120"/>
          </w:tcPr>
          <w:p>
            <w:r>
              <w:t>5.11</w:t>
            </w:r>
          </w:p>
        </w:tc>
        <w:tc>
          <w:tcPr>
            <w:tcW w:type="dxa" w:w="3120"/>
          </w:tcPr>
          <w:p>
            <w:r>
              <w:t>Interactive Cart and Pricing Summary Interface</w:t>
            </w:r>
          </w:p>
        </w:tc>
        <w:tc>
          <w:tcPr>
            <w:tcW w:type="dxa" w:w="3120"/>
          </w:tcPr>
          <w:p>
            <w:r>
              <w:t>35</w:t>
            </w:r>
          </w:p>
        </w:tc>
      </w:tr>
      <w:tr>
        <w:tc>
          <w:tcPr>
            <w:tcW w:type="dxa" w:w="3120"/>
          </w:tcPr>
          <w:p>
            <w:r>
              <w:t>5.12</w:t>
            </w:r>
          </w:p>
        </w:tc>
        <w:tc>
          <w:tcPr>
            <w:tcW w:type="dxa" w:w="3120"/>
          </w:tcPr>
          <w:p>
            <w:r>
              <w:t>Secure Razorpay Modal and Test Payment Gateway</w:t>
            </w:r>
          </w:p>
        </w:tc>
        <w:tc>
          <w:tcPr>
            <w:tcW w:type="dxa" w:w="3120"/>
          </w:tcPr>
          <w:p>
            <w:r>
              <w:t>36</w:t>
            </w:r>
          </w:p>
        </w:tc>
      </w:tr>
      <w:tr>
        <w:tc>
          <w:tcPr>
            <w:tcW w:type="dxa" w:w="3120"/>
          </w:tcPr>
          <w:p>
            <w:r>
              <w:t>5.13</w:t>
            </w:r>
          </w:p>
        </w:tc>
        <w:tc>
          <w:tcPr>
            <w:tcW w:type="dxa" w:w="3120"/>
          </w:tcPr>
          <w:p>
            <w:r>
              <w:t>Order Confirmation and Trackable Receipt Interface</w:t>
            </w:r>
          </w:p>
        </w:tc>
        <w:tc>
          <w:tcPr>
            <w:tcW w:type="dxa" w:w="3120"/>
          </w:tcPr>
          <w:p>
            <w:r>
              <w:t>36</w:t>
            </w:r>
          </w:p>
        </w:tc>
      </w:tr>
      <w:tr>
        <w:tc>
          <w:tcPr>
            <w:tcW w:type="dxa" w:w="3120"/>
          </w:tcPr>
          <w:p>
            <w:r>
              <w:t>5.14</w:t>
            </w:r>
          </w:p>
        </w:tc>
        <w:tc>
          <w:tcPr>
            <w:tcW w:type="dxa" w:w="3120"/>
          </w:tcPr>
          <w:p>
            <w:r>
              <w:t>Plant Adoption Board for Free Local Sapling Donations</w:t>
            </w:r>
          </w:p>
        </w:tc>
        <w:tc>
          <w:tcPr>
            <w:tcW w:type="dxa" w:w="3120"/>
          </w:tcPr>
          <w:p>
            <w:r>
              <w:t>37</w:t>
            </w:r>
          </w:p>
        </w:tc>
      </w:tr>
      <w:tr>
        <w:tc>
          <w:tcPr>
            <w:tcW w:type="dxa" w:w="3120"/>
          </w:tcPr>
          <w:p>
            <w:r>
              <w:t>5.15</w:t>
            </w:r>
          </w:p>
        </w:tc>
        <w:tc>
          <w:tcPr>
            <w:tcW w:type="dxa" w:w="3120"/>
          </w:tcPr>
          <w:p>
            <w:r>
              <w:t>New Plant Donation Creation Modal</w:t>
            </w:r>
          </w:p>
        </w:tc>
        <w:tc>
          <w:tcPr>
            <w:tcW w:type="dxa" w:w="3120"/>
          </w:tcPr>
          <w:p>
            <w:r>
              <w:t>37</w:t>
            </w:r>
          </w:p>
        </w:tc>
      </w:tr>
      <w:tr>
        <w:tc>
          <w:tcPr>
            <w:tcW w:type="dxa" w:w="3120"/>
          </w:tcPr>
          <w:p>
            <w:r>
              <w:t>5.16</w:t>
            </w:r>
          </w:p>
        </w:tc>
        <w:tc>
          <w:tcPr>
            <w:tcW w:type="dxa" w:w="3120"/>
          </w:tcPr>
          <w:p>
            <w:r>
              <w:t>Plant Exchange Hub for Direct Botanical Swapping</w:t>
            </w:r>
          </w:p>
        </w:tc>
        <w:tc>
          <w:tcPr>
            <w:tcW w:type="dxa" w:w="3120"/>
          </w:tcPr>
          <w:p>
            <w:r>
              <w:t>38</w:t>
            </w:r>
          </w:p>
        </w:tc>
      </w:tr>
      <w:tr>
        <w:tc>
          <w:tcPr>
            <w:tcW w:type="dxa" w:w="3120"/>
          </w:tcPr>
          <w:p>
            <w:r>
              <w:t>5.17</w:t>
            </w:r>
          </w:p>
        </w:tc>
        <w:tc>
          <w:tcPr>
            <w:tcW w:type="dxa" w:w="3120"/>
          </w:tcPr>
          <w:p>
            <w:r>
              <w:t>Bulk Business Requirement Board for Institutional Buyers</w:t>
            </w:r>
          </w:p>
        </w:tc>
        <w:tc>
          <w:tcPr>
            <w:tcW w:type="dxa" w:w="3120"/>
          </w:tcPr>
          <w:p>
            <w:r>
              <w:t>39</w:t>
            </w:r>
          </w:p>
        </w:tc>
      </w:tr>
      <w:tr>
        <w:tc>
          <w:tcPr>
            <w:tcW w:type="dxa" w:w="3120"/>
          </w:tcPr>
          <w:p>
            <w:r>
              <w:t>5.18</w:t>
            </w:r>
          </w:p>
        </w:tc>
        <w:tc>
          <w:tcPr>
            <w:tcW w:type="dxa" w:w="3120"/>
          </w:tcPr>
          <w:p>
            <w:r>
              <w:t>Seller Quotation and Bid Submission Interface</w:t>
            </w:r>
          </w:p>
        </w:tc>
        <w:tc>
          <w:tcPr>
            <w:tcW w:type="dxa" w:w="3120"/>
          </w:tcPr>
          <w:p>
            <w:r>
              <w:t>39</w:t>
            </w:r>
          </w:p>
        </w:tc>
      </w:tr>
      <w:tr>
        <w:tc>
          <w:tcPr>
            <w:tcW w:type="dxa" w:w="3120"/>
          </w:tcPr>
          <w:p>
            <w:r>
              <w:t>5.19</w:t>
            </w:r>
          </w:p>
        </w:tc>
        <w:tc>
          <w:tcPr>
            <w:tcW w:type="dxa" w:w="3120"/>
          </w:tcPr>
          <w:p>
            <w:r>
              <w:t>Direct Real-Time Negotiation Chat Interface</w:t>
            </w:r>
          </w:p>
        </w:tc>
        <w:tc>
          <w:tcPr>
            <w:tcW w:type="dxa" w:w="3120"/>
          </w:tcPr>
          <w:p>
            <w:r>
              <w:t>40</w:t>
            </w:r>
          </w:p>
        </w:tc>
      </w:tr>
      <w:tr>
        <w:tc>
          <w:tcPr>
            <w:tcW w:type="dxa" w:w="3120"/>
          </w:tcPr>
          <w:p>
            <w:r>
              <w:t>5.20</w:t>
            </w:r>
          </w:p>
        </w:tc>
        <w:tc>
          <w:tcPr>
            <w:tcW w:type="dxa" w:w="3120"/>
          </w:tcPr>
          <w:p>
            <w:r>
              <w:t>Eco Workshop and Green Community Event Listings</w:t>
            </w:r>
          </w:p>
        </w:tc>
        <w:tc>
          <w:tcPr>
            <w:tcW w:type="dxa" w:w="3120"/>
          </w:tcPr>
          <w:p>
            <w:r>
              <w:t>41</w:t>
            </w:r>
          </w:p>
        </w:tc>
      </w:tr>
      <w:tr>
        <w:tc>
          <w:tcPr>
            <w:tcW w:type="dxa" w:w="3120"/>
          </w:tcPr>
          <w:p>
            <w:r>
              <w:t>5.21</w:t>
            </w:r>
          </w:p>
        </w:tc>
        <w:tc>
          <w:tcPr>
            <w:tcW w:type="dxa" w:w="3120"/>
          </w:tcPr>
          <w:p>
            <w:r>
              <w:t>Buyer Profile, Sustainability Badges, and Order History</w:t>
            </w:r>
          </w:p>
        </w:tc>
        <w:tc>
          <w:tcPr>
            <w:tcW w:type="dxa" w:w="3120"/>
          </w:tcPr>
          <w:p>
            <w:r>
              <w:t>42</w:t>
            </w:r>
          </w:p>
        </w:tc>
      </w:tr>
      <w:tr>
        <w:tc>
          <w:tcPr>
            <w:tcW w:type="dxa" w:w="3120"/>
          </w:tcPr>
          <w:p>
            <w:r>
              <w:t>5.22</w:t>
            </w:r>
          </w:p>
        </w:tc>
        <w:tc>
          <w:tcPr>
            <w:tcW w:type="dxa" w:w="3120"/>
          </w:tcPr>
          <w:p>
            <w:r>
              <w:t>Seller Store Management and Inventory Dashboard</w:t>
            </w:r>
          </w:p>
        </w:tc>
        <w:tc>
          <w:tcPr>
            <w:tcW w:type="dxa" w:w="3120"/>
          </w:tcPr>
          <w:p>
            <w:r>
              <w:t>42</w:t>
            </w:r>
          </w:p>
        </w:tc>
      </w:tr>
      <w:tr>
        <w:tc>
          <w:tcPr>
            <w:tcW w:type="dxa" w:w="3120"/>
          </w:tcPr>
          <w:p>
            <w:r>
              <w:t>5.23</w:t>
            </w:r>
          </w:p>
        </w:tc>
        <w:tc>
          <w:tcPr>
            <w:tcW w:type="dxa" w:w="3120"/>
          </w:tcPr>
          <w:p>
            <w:r>
              <w:t>Multilingual Support – Tamil Interface Localization</w:t>
            </w:r>
          </w:p>
        </w:tc>
        <w:tc>
          <w:tcPr>
            <w:tcW w:type="dxa" w:w="3120"/>
          </w:tcPr>
          <w:p>
            <w:r>
              <w:t>43</w:t>
            </w:r>
          </w:p>
        </w:tc>
      </w:tr>
    </w:tbl>
    <w:p>
      <w:pPr>
        <w:spacing w:before="360" w:after="240"/>
        <w:jc w:val="center"/>
      </w:pPr>
      <w:r>
        <w:rPr>
          <w:rFonts w:ascii="Times New Roman" w:hAnsi="Times New Roman"/>
          <w:b/>
          <w:sz w:val="28"/>
        </w:rPr>
        <w:t>LIST OF TABLES</w:t>
      </w:r>
    </w:p>
    <w:tbl>
      <w:tblPr>
        <w:tblW w:type="auto" w:w="0"/>
        <w:tblLook w:firstColumn="1" w:firstRow="1" w:lastColumn="0" w:lastRow="0" w:noHBand="0" w:noVBand="1" w:val="04A0"/>
      </w:tblPr>
      <w:tblGrid>
        <w:gridCol w:w="3120"/>
        <w:gridCol w:w="3120"/>
        <w:gridCol w:w="3120"/>
      </w:tblGrid>
      <w:tr>
        <w:tc>
          <w:tcPr>
            <w:tcW w:type="dxa" w:w="3120"/>
          </w:tcPr>
          <w:p>
            <w:r>
              <w:rPr>
                <w:b/>
              </w:rPr>
              <w:t>TABLE NO.</w:t>
            </w:r>
          </w:p>
        </w:tc>
        <w:tc>
          <w:tcPr>
            <w:tcW w:type="dxa" w:w="3120"/>
          </w:tcPr>
          <w:p>
            <w:r>
              <w:rPr>
                <w:b/>
              </w:rPr>
              <w:t>TABLE DESCRIPTION</w:t>
            </w:r>
          </w:p>
        </w:tc>
        <w:tc>
          <w:tcPr>
            <w:tcW w:type="dxa" w:w="3120"/>
          </w:tcPr>
          <w:p>
            <w:r>
              <w:rPr>
                <w:b/>
              </w:rPr>
              <w:t>PAGE NO.</w:t>
            </w:r>
          </w:p>
        </w:tc>
      </w:tr>
      <w:tr>
        <w:tc>
          <w:tcPr>
            <w:tcW w:type="dxa" w:w="3120"/>
          </w:tcPr>
          <w:p>
            <w:r>
              <w:t>4.1</w:t>
            </w:r>
          </w:p>
        </w:tc>
        <w:tc>
          <w:tcPr>
            <w:tcW w:type="dxa" w:w="3120"/>
          </w:tcPr>
          <w:p>
            <w:r>
              <w:t>Software and Hardware Requirements</w:t>
            </w:r>
          </w:p>
        </w:tc>
        <w:tc>
          <w:tcPr>
            <w:tcW w:type="dxa" w:w="3120"/>
          </w:tcPr>
          <w:p>
            <w:r>
              <w:t>24</w:t>
            </w:r>
          </w:p>
        </w:tc>
      </w:tr>
    </w:tbl>
    <w:p>
      <w:r>
        <w:br w:type="page"/>
      </w:r>
    </w:p>
    <w:p>
      <w:pPr>
        <w:spacing w:before="360" w:after="240"/>
        <w:jc w:val="center"/>
      </w:pPr>
      <w:r>
        <w:rPr>
          <w:rFonts w:ascii="Times New Roman" w:hAnsi="Times New Roman"/>
          <w:b/>
          <w:sz w:val="28"/>
        </w:rPr>
        <w:t>CHAPTER 1</w:t>
        <w:br/>
        <w:br/>
        <w:t>INTRODUCTION</w:t>
      </w:r>
    </w:p>
    <w:p>
      <w:pPr>
        <w:spacing w:line="276" w:lineRule="auto" w:after="120"/>
        <w:jc w:val="both"/>
      </w:pPr>
      <w:r>
        <w:rPr>
          <w:rFonts w:ascii="Times New Roman" w:hAnsi="Times New Roman"/>
          <w:i w:val="0"/>
          <w:sz w:val="24"/>
        </w:rPr>
        <w:t>In an era defined by rapid urbanization and mounting ecological concerns, the demand for green living, urban gardening, and sustainable consumer goods has witnessed unprecedented expansion. Modern consumers actively seek indoor plants, medicinal herbs, organic fertilizers, and zero-waste home alternatives. However, the existing digital retail landscape remains heavily centralized. Mainstream e-commerce giants operate on continental warehousing networks that necessitate extensive freight transport, multiple transit hubs, and heavy synthetic packaging. For delicate living botanical products and fresh agricultural goods, long-distance transit leads to high plant mortality rates, severe transit shock, excessive plastic cushioning waste, and avoidable greenhouse gas emissions.</w:t>
      </w:r>
    </w:p>
    <w:p>
      <w:pPr>
        <w:spacing w:line="276" w:lineRule="auto" w:after="120"/>
        <w:jc w:val="both"/>
      </w:pPr>
      <w:r>
        <w:rPr>
          <w:rFonts w:ascii="Times New Roman" w:hAnsi="Times New Roman"/>
          <w:i w:val="0"/>
          <w:sz w:val="24"/>
        </w:rPr>
        <w:t>Simultaneously, grassroots producers—including home-scale nursery owners, rural artisans, organic smallholders, Self-Help Groups (SHGs), and independent women entrepreneurs—face prohibitive barriers to digital commerce. Centralized platforms impose steep onboarding fees, rigid volumetric logistics agreements, and punitive commission structures ranging between 15% and 35%. Consequently, localized green producers are economically marginalized and unable to showcase their specialized organic goods to immediate neighborhood consumers. In parallel, urban gardening enthusiasts possess surplus saplings, seed harvests, and propagated cuttings but lack an organized local forum to donate or exchange them, leading to horticultural wastage.</w:t>
      </w:r>
    </w:p>
    <w:p>
      <w:pPr>
        <w:spacing w:line="276" w:lineRule="auto" w:after="120"/>
        <w:jc w:val="both"/>
      </w:pPr>
      <w:r>
        <w:rPr>
          <w:rFonts w:ascii="Times New Roman" w:hAnsi="Times New Roman"/>
          <w:i w:val="0"/>
          <w:sz w:val="24"/>
        </w:rPr>
        <w:t>To resolve these systemic inefficiencies, EcoLink establishes an integrated, software-first Hyperlocal Marketplace and Circular Community Platform. Built on the modern MERN stack (MongoDB, Express.js, React.js, and Node.js), EcoLink anchors digital trade within immediate geographical vicinities. By harnessing the browser's native Geolocation API and open-source Leaflet.js mapping, the system calculates precise user-to-seller distances using the Haversine formula, enabling consumers to discover and procure sustainable goods within customizable radii (5 km to 50 km).</w:t>
      </w:r>
    </w:p>
    <w:p>
      <w:pPr>
        <w:spacing w:line="276" w:lineRule="auto" w:after="120"/>
        <w:jc w:val="both"/>
      </w:pPr>
      <w:r>
        <w:rPr>
          <w:rFonts w:ascii="Times New Roman" w:hAnsi="Times New Roman"/>
          <w:i w:val="0"/>
          <w:sz w:val="24"/>
        </w:rPr>
        <w:t>EcoLink further champions social equity through a verified Multi-Role Architecture, where users can transition from Buyers to Sellers upon administrative vetting of their identity, craft, and community affiliations. Verified Self-Help Groups and Women Entrepreneurs receive distinct promotional badges and benefit from favorable platform commission rates. Combined with a circular "Plant Loop" (featuring zero-cost Plant Adoption and mutual Plant Exchange), a corporate Business Requirement Bidding Portal, and secure Razorpay payment integration, EcoLink delivers an accessible, decentralized, and environmentally regenerative commerce framework for sustainable urban communities.</w:t>
      </w:r>
    </w:p>
    <w:p>
      <w:pPr>
        <w:spacing w:before="240" w:after="80"/>
      </w:pPr>
      <w:r>
        <w:rPr>
          <w:rFonts w:ascii="Times New Roman" w:hAnsi="Times New Roman"/>
          <w:b/>
          <w:sz w:val="24"/>
        </w:rPr>
        <w:t>1.1 PROBLEM STATEMENT</w:t>
      </w:r>
    </w:p>
    <w:p>
      <w:pPr>
        <w:spacing w:line="276" w:lineRule="auto" w:after="120"/>
        <w:jc w:val="both"/>
      </w:pPr>
      <w:r>
        <w:rPr>
          <w:rFonts w:ascii="Times New Roman" w:hAnsi="Times New Roman"/>
          <w:i w:val="0"/>
          <w:sz w:val="24"/>
        </w:rPr>
        <w:t>The primary purpose of the EcoLink Hyperlocal Marketplace and Community Ecosystem is to bridge the divide between local sustainable producers and eco-conscious neighborhood consumers while eliminating the carbon-intensive overhead of traditional e-commerce. Conventional online platforms treat living plants and artisan eco-goods as standard dry freight, resulting in high transit damage, excessive single-use plastic waste, and significant transit carbon footprints. Furthermore, micro-producers, rural artisans, SHGs, and women entrepreneurs are frequently excluded from mainstream digital visibility due to high commissions and complex onboarding procedures. Traditional systems also fail to facilitate community-driven circularity, such as plant adoption, seed swapping, or transparent bulk business bidding between local institutions and suppliers. EcoLink addresses these critical challenges by providing a location-aware, multi-role web platform that supports dynamic distance filtering via the Haversine formula, administrative seller verification, role-specific commission structures, circular plant re-homing, and secure digital payments.</w:t>
      </w:r>
    </w:p>
    <w:p>
      <w:pPr>
        <w:spacing w:before="240" w:after="80"/>
      </w:pPr>
      <w:r>
        <w:rPr>
          <w:rFonts w:ascii="Times New Roman" w:hAnsi="Times New Roman"/>
          <w:b/>
          <w:sz w:val="24"/>
        </w:rPr>
        <w:t>1.2 SCOPE OF THE PROJECT</w:t>
      </w:r>
    </w:p>
    <w:p>
      <w:pPr>
        <w:spacing w:line="276" w:lineRule="auto" w:after="120"/>
        <w:jc w:val="both"/>
      </w:pPr>
      <w:r>
        <w:rPr>
          <w:rFonts w:ascii="Times New Roman" w:hAnsi="Times New Roman"/>
          <w:i w:val="0"/>
          <w:sz w:val="24"/>
        </w:rPr>
        <w:t>The scope of this project encompasses the complete engineering, architectural design, and deployment of a full-stack, responsive web application utilizing the MERN stack (MongoDB, Express.js, React.js with Vite, and Node.js). Key functional boundaries include:</w:t>
      </w:r>
    </w:p>
    <w:p>
      <w:pPr>
        <w:spacing w:line="276" w:lineRule="auto" w:after="120"/>
        <w:jc w:val="both"/>
      </w:pPr>
      <w:r>
        <w:rPr>
          <w:rFonts w:ascii="Times New Roman" w:hAnsi="Times New Roman"/>
          <w:i w:val="0"/>
          <w:sz w:val="24"/>
        </w:rPr>
        <w:t>1. Multi-Role User Management: A unified account system supporting Buyer, Seller, and Super Admin roles with JWT-based stateful authentication and profile governance.</w:t>
      </w:r>
    </w:p>
    <w:p>
      <w:pPr>
        <w:spacing w:line="276" w:lineRule="auto" w:after="120"/>
        <w:jc w:val="both"/>
      </w:pPr>
      <w:r>
        <w:rPr>
          <w:rFonts w:ascii="Times New Roman" w:hAnsi="Times New Roman"/>
          <w:i w:val="0"/>
          <w:sz w:val="24"/>
        </w:rPr>
        <w:t>2. Seller Onboarding &amp; Verification: Formal application pipeline capturing business type, SHG/Women Entrepreneur affiliation, source verification, and administrative audit queues.</w:t>
      </w:r>
    </w:p>
    <w:p>
      <w:pPr>
        <w:spacing w:line="276" w:lineRule="auto" w:after="120"/>
        <w:jc w:val="both"/>
      </w:pPr>
      <w:r>
        <w:rPr>
          <w:rFonts w:ascii="Times New Roman" w:hAnsi="Times New Roman"/>
          <w:i w:val="0"/>
          <w:sz w:val="24"/>
        </w:rPr>
        <w:t>3. Hyperlocal Discovery Engine: Integration of Browser Geolocation API, Leaflet.js mapping, and backend/client Haversine spatial filtering across customizable 5 km to 50 km radii.</w:t>
      </w:r>
    </w:p>
    <w:p>
      <w:pPr>
        <w:spacing w:line="276" w:lineRule="auto" w:after="120"/>
        <w:jc w:val="both"/>
      </w:pPr>
      <w:r>
        <w:rPr>
          <w:rFonts w:ascii="Times New Roman" w:hAnsi="Times New Roman"/>
          <w:i w:val="0"/>
          <w:sz w:val="24"/>
        </w:rPr>
        <w:t>4. Dynamic Multi-Category Marketplace: Cataloging of Decorative Plants, Medicinal Plants, Yield Crops, Seeds, Fertilizers, Eco-friendly Home Products, and Farm Goods.</w:t>
      </w:r>
    </w:p>
    <w:p>
      <w:pPr>
        <w:spacing w:line="276" w:lineRule="auto" w:after="120"/>
        <w:jc w:val="both"/>
      </w:pPr>
      <w:r>
        <w:rPr>
          <w:rFonts w:ascii="Times New Roman" w:hAnsi="Times New Roman"/>
          <w:i w:val="0"/>
          <w:sz w:val="24"/>
        </w:rPr>
        <w:t>5. Circular Plant Loop: Interactive modules for zero-cost Plant Adoption and direct Plant Exchange to promote neighborhood botanical circularity.</w:t>
      </w:r>
    </w:p>
    <w:p>
      <w:pPr>
        <w:spacing w:line="276" w:lineRule="auto" w:after="120"/>
        <w:jc w:val="both"/>
      </w:pPr>
      <w:r>
        <w:rPr>
          <w:rFonts w:ascii="Times New Roman" w:hAnsi="Times New Roman"/>
          <w:i w:val="0"/>
          <w:sz w:val="24"/>
        </w:rPr>
        <w:t>6. Corporate &amp; Institutional Bidding: A Business Requirement Board allowing bulk buyers to post tenders and verified sellers to submit competitive quotations.</w:t>
      </w:r>
    </w:p>
    <w:p>
      <w:pPr>
        <w:spacing w:line="276" w:lineRule="auto" w:after="120"/>
        <w:jc w:val="both"/>
      </w:pPr>
      <w:r>
        <w:rPr>
          <w:rFonts w:ascii="Times New Roman" w:hAnsi="Times New Roman"/>
          <w:i w:val="0"/>
          <w:sz w:val="24"/>
        </w:rPr>
        <w:t>7. Secure Transaction Processing: Cart management, dynamic commission computation, and Razorpay Test Mode payment gateway integration with cryptographic HMAC verification.</w:t>
      </w:r>
    </w:p>
    <w:p>
      <w:pPr>
        <w:spacing w:line="276" w:lineRule="auto" w:after="120"/>
        <w:jc w:val="both"/>
      </w:pPr>
      <w:r>
        <w:rPr>
          <w:rFonts w:ascii="Times New Roman" w:hAnsi="Times New Roman"/>
          <w:i w:val="0"/>
          <w:sz w:val="24"/>
        </w:rPr>
        <w:t>8. Multilingual Accessibility: Dual-language interface support (English and Tamil) to maximize regional inclusivity across urban and semi-urban user bases.</w:t>
      </w:r>
    </w:p>
    <w:p>
      <w:r>
        <w:br w:type="page"/>
      </w:r>
    </w:p>
    <w:p>
      <w:pPr>
        <w:spacing w:before="360" w:after="240"/>
        <w:jc w:val="center"/>
      </w:pPr>
      <w:r>
        <w:rPr>
          <w:rFonts w:ascii="Times New Roman" w:hAnsi="Times New Roman"/>
          <w:b/>
          <w:sz w:val="28"/>
        </w:rPr>
        <w:t>CHAPTER 2</w:t>
        <w:br/>
        <w:br/>
        <w:t>LITERATURE REVIEW</w:t>
      </w:r>
    </w:p>
    <w:p>
      <w:pPr>
        <w:spacing w:line="276" w:lineRule="auto" w:after="120"/>
        <w:jc w:val="both"/>
      </w:pPr>
      <w:r>
        <w:rPr>
          <w:rFonts w:ascii="Times New Roman" w:hAnsi="Times New Roman"/>
          <w:i w:val="0"/>
          <w:sz w:val="24"/>
        </w:rPr>
        <w:t>The continuous growth of digital marketplaces has transformed global retail, prompting extensive academic inquiry into short-chain food systems, decentralized e-commerce, and hyperlocal logistics. While traditional e-commerce focuses on global consolidation, modern sustainability frameworks emphasize local proximity to reduce logistics emissions and support regional economic circuits. A review of contemporary literature demonstrates significant progress in web application design, geospatial indexing, and online trust mechanisms, yet highlights persistent gaps in catering specifically to perishable botanical goods and marginalized artisan communities.</w:t>
      </w:r>
    </w:p>
    <w:p>
      <w:pPr>
        <w:spacing w:before="240" w:after="80"/>
      </w:pPr>
      <w:r>
        <w:rPr>
          <w:rFonts w:ascii="Times New Roman" w:hAnsi="Times New Roman"/>
          <w:b/>
          <w:sz w:val="24"/>
        </w:rPr>
        <w:t>2.1 Hyperlocal E-Commerce and Short-Chain Logistics</w:t>
      </w:r>
    </w:p>
    <w:p>
      <w:pPr>
        <w:spacing w:line="276" w:lineRule="auto" w:after="120"/>
        <w:jc w:val="both"/>
      </w:pPr>
      <w:r>
        <w:rPr>
          <w:rFonts w:ascii="Times New Roman" w:hAnsi="Times New Roman"/>
          <w:i w:val="0"/>
          <w:sz w:val="24"/>
        </w:rPr>
        <w:t>Short-chain logistics models have emerged as a prominent solution to mitigate environmental degradation caused by long-haul freight. Sharma and Kumar (2022) examined the operational dynamics of urban micro-warehousing and hyperlocal delivery networks for perishable goods. Their study demonstrated that restricting delivery corridors to a 15 km radius reduced logistics carbon emissions by 42% and minimized packaging material waste. However, their proposed model relied on centralized intermediary hubs, which imposed substantial operational costs and failed to provide direct communication channels between home-based micro-growers and retail consumers.</w:t>
      </w:r>
    </w:p>
    <w:p>
      <w:pPr>
        <w:spacing w:before="240" w:after="80"/>
      </w:pPr>
      <w:r>
        <w:rPr>
          <w:rFonts w:ascii="Times New Roman" w:hAnsi="Times New Roman"/>
          <w:b/>
          <w:sz w:val="24"/>
        </w:rPr>
        <w:t>2.2 Community-Driven Botanical Exchange &amp; Circular Economy</w:t>
      </w:r>
    </w:p>
    <w:p>
      <w:pPr>
        <w:spacing w:line="276" w:lineRule="auto" w:after="120"/>
        <w:jc w:val="both"/>
      </w:pPr>
      <w:r>
        <w:rPr>
          <w:rFonts w:ascii="Times New Roman" w:hAnsi="Times New Roman"/>
          <w:i w:val="0"/>
          <w:sz w:val="24"/>
        </w:rPr>
        <w:t>The role of digital platforms in facilitating urban horticulture and circular resource sharing has received increasing academic focus. Patel et al. (2023) investigated peer-to-peer botanical sharing networks across metropolitan communities, demonstrating that informal plant swapping significantly increases urban biodiversity and reduces domestic organic waste. Nevertheless, their implementation remained restricted to non-transactional social media groups, lacking structured cataloging, health condition tagging, standardized location filters, or integration with verified commercial nursery supply.</w:t>
      </w:r>
    </w:p>
    <w:p>
      <w:pPr>
        <w:spacing w:before="240" w:after="80"/>
      </w:pPr>
      <w:r>
        <w:rPr>
          <w:rFonts w:ascii="Times New Roman" w:hAnsi="Times New Roman"/>
          <w:b/>
          <w:sz w:val="24"/>
        </w:rPr>
        <w:t>2.3 Trust Verification &amp; Marginalized Producer Empowerment</w:t>
      </w:r>
    </w:p>
    <w:p>
      <w:pPr>
        <w:spacing w:line="276" w:lineRule="auto" w:after="120"/>
        <w:jc w:val="both"/>
      </w:pPr>
      <w:r>
        <w:rPr>
          <w:rFonts w:ascii="Times New Roman" w:hAnsi="Times New Roman"/>
          <w:i w:val="0"/>
          <w:sz w:val="24"/>
        </w:rPr>
        <w:t>Digital inclusion for rural micro-enterprises and Self-Help Groups (SHGs) requires specialized trust verification and favorable economic terms. Sundaram et al. (2024) evaluated the barriers faced by women-led cottage industries when entering mainstream e-commerce platforms. The authors identified rigid onboarding criteria and uniform 20%+ commission fees as the primary causes of high seller churn. The study recommended tiered administrative vetting, dynamic commission relief for registered SHG collectives, and community trust badging. However, the authors did not present a full-stack architectural prototype integrating both marketplace transactions and institutional bulk quotation bidding.</w:t>
      </w:r>
    </w:p>
    <w:p>
      <w:pPr>
        <w:spacing w:before="240" w:after="80"/>
      </w:pPr>
      <w:r>
        <w:rPr>
          <w:rFonts w:ascii="Times New Roman" w:hAnsi="Times New Roman"/>
          <w:b/>
          <w:sz w:val="24"/>
        </w:rPr>
        <w:t>2.4 Geospatial Proximity Algorithms in Web Applications</w:t>
      </w:r>
    </w:p>
    <w:p>
      <w:pPr>
        <w:spacing w:line="276" w:lineRule="auto" w:after="120"/>
        <w:jc w:val="both"/>
      </w:pPr>
      <w:r>
        <w:rPr>
          <w:rFonts w:ascii="Times New Roman" w:hAnsi="Times New Roman"/>
          <w:i w:val="0"/>
          <w:sz w:val="24"/>
        </w:rPr>
        <w:t>Accurate spatial querying without excessive server computational load is essential for real-time hyperlocal applications. Alvarez and Jenkins (2025) analyzed the computational efficiency of spatial indexing mechanisms, comparing MongoDB $near geospatial queries against client-assisted Haversine mathematical formulations. The research highlighted that for lightweight web applications operating on shared hosting environments, computing trigonometric spherical distances via the Haversine formula provides high precision while significantly reducing spatial database indexing overhead.</w:t>
      </w:r>
    </w:p>
    <w:p>
      <w:pPr>
        <w:spacing w:before="240" w:after="80"/>
      </w:pPr>
      <w:r>
        <w:rPr>
          <w:rFonts w:ascii="Times New Roman" w:hAnsi="Times New Roman"/>
          <w:b/>
          <w:sz w:val="24"/>
        </w:rPr>
        <w:t>2.5 Research Gap</w:t>
      </w:r>
    </w:p>
    <w:p>
      <w:pPr>
        <w:spacing w:line="276" w:lineRule="auto" w:after="120"/>
        <w:jc w:val="both"/>
      </w:pPr>
      <w:r>
        <w:rPr>
          <w:rFonts w:ascii="Times New Roman" w:hAnsi="Times New Roman"/>
          <w:i w:val="0"/>
          <w:sz w:val="24"/>
        </w:rPr>
        <w:t>A rigorous analysis of existing literature reveals that current digital commerce systems remain fragmented. Commercial e-commerce platforms ignore the delicate shipping constraints of living plants and impose prohibitive commissions on micro-producers. Conversely, community plant forums lack secure commercial checkout, location-based distance calculations, and seller vetting mechanisms. Furthermore, existing hyperlocal solutions fail to combine retail e-commerce, circular plant adoption/exchange, and institutional bulk requirement bidding within a unified, lightweight web architecture. EcoLink directly bridges this research and technical gap by delivering a full-stack MERN ecosystem with integrated Leaflet/Haversine proximity filtering, multi-role administrative verification, SHG commission support, and circular botanical modules.</w:t>
      </w:r>
    </w:p>
    <w:p>
      <w:r>
        <w:br w:type="page"/>
      </w:r>
    </w:p>
    <w:p>
      <w:pPr>
        <w:spacing w:before="360" w:after="240"/>
        <w:jc w:val="center"/>
      </w:pPr>
      <w:r>
        <w:rPr>
          <w:rFonts w:ascii="Times New Roman" w:hAnsi="Times New Roman"/>
          <w:b/>
          <w:sz w:val="28"/>
        </w:rPr>
        <w:t>CHAPTER 3</w:t>
        <w:br/>
        <w:br/>
        <w:t>DESIGN THINKING</w:t>
      </w:r>
    </w:p>
    <w:p>
      <w:pPr>
        <w:spacing w:before="240" w:after="80"/>
      </w:pPr>
      <w:r>
        <w:rPr>
          <w:rFonts w:ascii="Times New Roman" w:hAnsi="Times New Roman"/>
          <w:b/>
          <w:sz w:val="24"/>
        </w:rPr>
        <w:t>3.1 EMPATHY MAP</w:t>
      </w:r>
    </w:p>
    <w:p>
      <w:pPr>
        <w:spacing w:line="276" w:lineRule="auto" w:after="120"/>
        <w:jc w:val="both"/>
      </w:pPr>
      <w:r>
        <w:rPr>
          <w:rFonts w:ascii="Times New Roman" w:hAnsi="Times New Roman"/>
          <w:i w:val="0"/>
          <w:sz w:val="24"/>
        </w:rPr>
        <w:t>The Empathy Map is a foundational design thinking instrument employed to develop a deep, structured comprehension of user personas, psychological drivers, pain points, and operational expectations. By examining what stakeholders say, think, do, and feel in real-world scenarios, designers can transcend basic demographic assumptions and construct a platform that directly resolves authentic community friction.</w:t>
      </w:r>
    </w:p>
    <w:p>
      <w:pPr>
        <w:spacing w:line="276" w:lineRule="auto" w:after="120"/>
        <w:jc w:val="both"/>
      </w:pPr>
      <w:r>
        <w:rPr>
          <w:rFonts w:ascii="Times New Roman" w:hAnsi="Times New Roman"/>
          <w:i w:val="0"/>
          <w:sz w:val="24"/>
        </w:rPr>
        <w:t>In the engineering context of the EcoLink Hyperlocal Marketplace and Community System, the empathy map addresses the distinct requirements of three core stakeholders: urban plant buyers, local green sellers / SHG members, and platform administrators. For buyers, it decodes anxieties surrounding plant transit damage and lack of local gardening support. For local sellers, it identifies frustrations regarding high marketplace commissions and lack of digital visibility.</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Pr>
          <w:p>
            <w:pPr>
              <w:spacing w:before="0" w:after="0" w:line="264" w:lineRule="auto"/>
            </w:pPr>
            <w:r>
              <w:rPr>
                <w:rFonts w:ascii="Courier New" w:hAnsi="Courier New"/>
                <w:sz w:val="19"/>
              </w:rPr>
              <w:t>+--------------------------------+--------------------------------+</w:t>
              <w:br/>
              <w:t>|             SAYS               |            THINKS              |</w:t>
              <w:br/>
              <w:t>| - 'Can I buy fresh saplings    | - 'Will long transit kill      |</w:t>
              <w:br/>
              <w:t>|   from nearby nurseries?'      |   delicate indoor plants?'     |</w:t>
              <w:br/>
              <w:t>| - 'I want to donate extra      | - 'High commissions eat away   |</w:t>
              <w:br/>
              <w:t>|   cuttings to plant lovers.'   |   my small artisan profit.'    |</w:t>
              <w:br/>
              <w:t>+--------------------------------+--------------------------------+</w:t>
              <w:br/>
              <w:t>|                              USER                               |</w:t>
              <w:br/>
              <w:t>|                            (EcoLink)                            |</w:t>
              <w:br/>
              <w:t>+--------------------------------+--------------------------------+</w:t>
              <w:br/>
              <w:t>|             DOES               |             FEELS              |</w:t>
              <w:br/>
              <w:t>| - Searches local areas for     | - Frustrated by transit damage |</w:t>
              <w:br/>
              <w:t>|   plants and organic items.    |   and heavy packaging waste.   |</w:t>
              <w:br/>
              <w:t>| - Applies for seller vetting   | - Empowered when supporting    |</w:t>
              <w:br/>
              <w:t>|   to sell handcrafted items.   |   local women entrepreneurs.   |</w:t>
              <w:br/>
              <w:t>+--------------------------------+--------------------------------+</w:t>
            </w:r>
          </w:p>
        </w:tc>
      </w:tr>
    </w:tbl>
    <w:p>
      <w:pPr>
        <w:spacing w:after="80"/>
      </w:pPr>
    </w:p>
    <w:p>
      <w:pPr>
        <w:spacing w:line="276" w:lineRule="auto" w:after="120"/>
        <w:jc w:val="center"/>
      </w:pPr>
      <w:r>
        <w:rPr>
          <w:rFonts w:ascii="Times New Roman" w:hAnsi="Times New Roman"/>
          <w:i/>
          <w:sz w:val="24"/>
        </w:rPr>
        <w:t>Fig 3.1 &amp; 3.2 illustrates the Empathy Map for EcoLink Hyperlocal System, decoding user priorities, expectations, and emotional factors.</w:t>
      </w:r>
    </w:p>
    <w:p>
      <w:pPr>
        <w:spacing w:before="240" w:after="80"/>
      </w:pPr>
      <w:r>
        <w:rPr>
          <w:rFonts w:ascii="Times New Roman" w:hAnsi="Times New Roman"/>
          <w:b/>
          <w:sz w:val="24"/>
        </w:rPr>
        <w:t>3.2 STAKEHOLDER ANALYSIS</w:t>
      </w:r>
    </w:p>
    <w:p>
      <w:pPr>
        <w:spacing w:line="276" w:lineRule="auto" w:after="120"/>
        <w:jc w:val="both"/>
      </w:pPr>
      <w:r>
        <w:rPr>
          <w:rFonts w:ascii="Times New Roman" w:hAnsi="Times New Roman"/>
          <w:i w:val="0"/>
          <w:sz w:val="24"/>
        </w:rPr>
        <w:t>The system is designed based on the requirements of four primary stakeholders: Buyers (Eco-conscious consumers and urban gardeners seeking nearby plants and organic items), Sellers (Home growers, SHG collectives, and women artisans seeking local market access), Institutional Buyers (Corporate offices and schools tendering bulk plant requirements), and System Administrators (Managing verification audits, commission rates, and security).</w:t>
      </w:r>
    </w:p>
    <w:p>
      <w:pPr>
        <w:spacing w:before="240" w:after="80"/>
      </w:pPr>
      <w:r>
        <w:rPr>
          <w:rFonts w:ascii="Times New Roman" w:hAnsi="Times New Roman"/>
          <w:b/>
          <w:sz w:val="24"/>
        </w:rPr>
        <w:t>3.3 PAIN POINTS IDENTIFIED</w:t>
      </w:r>
    </w:p>
    <w:p>
      <w:pPr>
        <w:spacing w:line="276" w:lineRule="auto" w:after="120"/>
        <w:jc w:val="both"/>
      </w:pPr>
      <w:r>
        <w:rPr>
          <w:rFonts w:ascii="Times New Roman" w:hAnsi="Times New Roman"/>
          <w:i w:val="0"/>
          <w:sz w:val="24"/>
        </w:rPr>
        <w:t>• High Botanical Transit Mortality: Delicate potted plants suffer root damage and shock during multi-day transit in national shipping networks.</w:t>
        <w:br/>
        <w:t>• Excessive Packaging Waste: Vendors use heavy plastic cushioning and polystyrene to protect plants during shipping.</w:t>
        <w:br/>
        <w:t>• Commercial Exclusion of SHGs &amp; Artisans: Prohibitive 20%+ commission fees and complicated seller onboarding exclude grassroots producers.</w:t>
        <w:br/>
        <w:t>• Lack of Horticultural Circularity: Urban plant owners lack a dedicated platform to donate surplus saplings or swap cuttings.</w:t>
        <w:br/>
        <w:t>• Opaque Institutional Sourcing: Corporate offices and schools lack transparent tender mechanisms to procure green plants locally.</w:t>
      </w:r>
    </w:p>
    <w:p>
      <w:pPr>
        <w:spacing w:before="240" w:after="80"/>
      </w:pPr>
      <w:r>
        <w:rPr>
          <w:rFonts w:ascii="Times New Roman" w:hAnsi="Times New Roman"/>
          <w:b/>
          <w:sz w:val="24"/>
        </w:rPr>
        <w:t>3.4 DESIGN GOALS</w:t>
      </w:r>
    </w:p>
    <w:p>
      <w:pPr>
        <w:spacing w:line="276" w:lineRule="auto" w:after="120"/>
        <w:jc w:val="both"/>
      </w:pPr>
      <w:r>
        <w:rPr>
          <w:rFonts w:ascii="Times New Roman" w:hAnsi="Times New Roman"/>
          <w:i w:val="0"/>
          <w:sz w:val="24"/>
        </w:rPr>
        <w:t>• Hyperlocal Proximity Discovery: Provide interactive map-based exploration with dynamic Haversine distance calculations from 5 km to 50 km.</w:t>
        <w:br/>
        <w:t>• Unified Multi-Role Governance: Implement seamless single-account role expansion from Buyer to Verified Seller via an administrative document audit workflow.</w:t>
        <w:br/>
        <w:t>• Social &amp; Economic Inclusivity: Feature dedicated badges and configurable low-commission tiers for verified Self-Help Groups and Women Entrepreneurs.</w:t>
        <w:br/>
        <w:t>• Comprehensive Circular Plant Loop: Deploy dedicated boards for zero-cost Plant Adoption and peer-to-peer Plant Exchange.</w:t>
        <w:br/>
        <w:t>• Robust Financial Security: Ensure reliable transactions through Razorpay payment integration with server-side cryptographic HMAC-SHA256 signature verification.</w:t>
      </w:r>
    </w:p>
    <w:p>
      <w:pPr>
        <w:spacing w:before="240" w:after="80"/>
      </w:pPr>
      <w:r>
        <w:rPr>
          <w:rFonts w:ascii="Times New Roman" w:hAnsi="Times New Roman"/>
          <w:b/>
          <w:sz w:val="24"/>
        </w:rPr>
        <w:t>3.5 FEASIBILITY DISCUSSION</w:t>
      </w:r>
    </w:p>
    <w:p>
      <w:pPr>
        <w:spacing w:line="276" w:lineRule="auto" w:after="120"/>
        <w:jc w:val="both"/>
      </w:pPr>
      <w:r>
        <w:rPr>
          <w:rFonts w:ascii="Times New Roman" w:hAnsi="Times New Roman"/>
          <w:i w:val="0"/>
          <w:sz w:val="24"/>
        </w:rPr>
        <w:t>Technical Feasibility is supported by the industry-standard MERN stack, open-source Leaflet.js mapping, and standard trigonometric Haversine math. Operational Feasibility is ensured via intuitive role-switching dashboards, document verification queues, and bilingual English/Tamil interfaces. Economic Feasibility is proven by the low-overhead open-source architecture and dynamic commission structure that sustains hosting while maximizing seller margins.</w:t>
      </w:r>
    </w:p>
    <w:p>
      <w:r>
        <w:br w:type="page"/>
      </w:r>
    </w:p>
    <w:p>
      <w:pPr>
        <w:spacing w:before="360" w:after="240"/>
        <w:jc w:val="center"/>
      </w:pPr>
      <w:r>
        <w:rPr>
          <w:rFonts w:ascii="Times New Roman" w:hAnsi="Times New Roman"/>
          <w:b/>
          <w:sz w:val="28"/>
        </w:rPr>
        <w:t>CHAPTER 4</w:t>
        <w:br/>
        <w:br/>
        <w:t>PROPOSED METHODOLOGY</w:t>
      </w:r>
    </w:p>
    <w:p>
      <w:pPr>
        <w:spacing w:before="240" w:after="80"/>
      </w:pPr>
      <w:r>
        <w:rPr>
          <w:rFonts w:ascii="Times New Roman" w:hAnsi="Times New Roman"/>
          <w:b/>
          <w:sz w:val="24"/>
        </w:rPr>
        <w:t>4.1 EXISTING SYSTEM</w:t>
      </w:r>
    </w:p>
    <w:p>
      <w:pPr>
        <w:spacing w:line="276" w:lineRule="auto" w:after="120"/>
        <w:jc w:val="both"/>
      </w:pPr>
      <w:r>
        <w:rPr>
          <w:rFonts w:ascii="Times New Roman" w:hAnsi="Times New Roman"/>
          <w:i w:val="0"/>
          <w:sz w:val="24"/>
        </w:rPr>
        <w:t>In conventional digital retail paradigms, the distribution of plants, agricultural goods, and eco-friendly lifestyle products is dominated by national-scale e-commerce corporations or fragmented offline nursery channels. Long-haul logistics causes high plant mortality and generates substantial packaging waste. Mainstream platforms charge 15% to 35% commissions, systematically excluding smallholder gardeners, rural artisans, and Self-Help Groups (SHGs). Additionally, traditional systems operate strictly on linear consumer purchases, lacking community-driven circularity for plant adoption or cuttings exchange.</w:t>
      </w:r>
    </w:p>
    <w:p>
      <w:pPr>
        <w:spacing w:before="240" w:after="80"/>
      </w:pPr>
      <w:r>
        <w:rPr>
          <w:rFonts w:ascii="Times New Roman" w:hAnsi="Times New Roman"/>
          <w:b/>
          <w:sz w:val="24"/>
        </w:rPr>
        <w:t>4.2 PROPOSED SYSTEM</w:t>
      </w:r>
    </w:p>
    <w:p>
      <w:pPr>
        <w:spacing w:line="276" w:lineRule="auto" w:after="120"/>
        <w:jc w:val="both"/>
      </w:pPr>
      <w:r>
        <w:rPr>
          <w:rFonts w:ascii="Times New Roman" w:hAnsi="Times New Roman"/>
          <w:i w:val="0"/>
          <w:sz w:val="24"/>
        </w:rPr>
        <w:t>EcoLink establishes an integrated, software-first Hyperlocal Marketplace and Sustainable Community Ecosystem built on the MERN stack. The platform features proximity-based discovery using Leaflet maps and Haversine distance filtering (5 km–50 km), a unified Multi-Role single account architecture, administrative seller verification, preferential commission rates for SHGs and Women Entrepreneurs, a circular Plant Loop (Adoption &amp; Exchange), an institutional Business Bidding Board, and cryptographic Razorpay payment verification.</w:t>
      </w:r>
    </w:p>
    <w:p>
      <w:pPr>
        <w:spacing w:before="240" w:after="80"/>
      </w:pPr>
      <w:r>
        <w:rPr>
          <w:rFonts w:ascii="Times New Roman" w:hAnsi="Times New Roman"/>
          <w:b/>
          <w:sz w:val="24"/>
        </w:rPr>
        <w:t>4.3 SYSTEM ARCHITECTURE</w:t>
      </w:r>
    </w:p>
    <w:p>
      <w:pPr>
        <w:spacing w:line="276" w:lineRule="auto" w:after="120"/>
        <w:jc w:val="both"/>
      </w:pPr>
      <w:r>
        <w:rPr>
          <w:rFonts w:ascii="Times New Roman" w:hAnsi="Times New Roman"/>
          <w:i w:val="0"/>
          <w:sz w:val="24"/>
        </w:rPr>
        <w:t>The EcoLink architecture consists of four decoupled tiers:</w:t>
      </w:r>
    </w:p>
    <w:p>
      <w:pPr>
        <w:spacing w:line="276" w:lineRule="auto" w:after="120"/>
        <w:jc w:val="both"/>
      </w:pPr>
      <w:r>
        <w:rPr>
          <w:rFonts w:ascii="Times New Roman" w:hAnsi="Times New Roman"/>
          <w:i w:val="0"/>
          <w:sz w:val="24"/>
        </w:rPr>
        <w:t>• Presentation Layer (Frontend): React.js 18 (Vite), Tailwind CSS, React Router, Leaflet.js mapping, Lucide icons, and Chart.js analytics.</w:t>
      </w:r>
    </w:p>
    <w:p>
      <w:pPr>
        <w:spacing w:line="276" w:lineRule="auto" w:after="120"/>
        <w:jc w:val="both"/>
      </w:pPr>
      <w:r>
        <w:rPr>
          <w:rFonts w:ascii="Times New Roman" w:hAnsi="Times New Roman"/>
          <w:i w:val="0"/>
          <w:sz w:val="24"/>
        </w:rPr>
        <w:t>• API &amp; Middleware Layer: JWT Authentication middleware, Role validators, Multer file upload handler, and centralized error handling.</w:t>
      </w:r>
    </w:p>
    <w:p>
      <w:pPr>
        <w:spacing w:line="276" w:lineRule="auto" w:after="120"/>
        <w:jc w:val="both"/>
      </w:pPr>
      <w:r>
        <w:rPr>
          <w:rFonts w:ascii="Times New Roman" w:hAnsi="Times New Roman"/>
          <w:i w:val="0"/>
          <w:sz w:val="24"/>
        </w:rPr>
        <w:t>• Application Logic Layer (Backend): Node.js &amp; Express.js RESTful controllers for products, orders, seller vetting, plant loop, bidding, and chat.</w:t>
      </w:r>
    </w:p>
    <w:p>
      <w:pPr>
        <w:spacing w:line="276" w:lineRule="auto" w:after="120"/>
        <w:jc w:val="both"/>
      </w:pPr>
      <w:r>
        <w:rPr>
          <w:rFonts w:ascii="Times New Roman" w:hAnsi="Times New Roman"/>
          <w:i w:val="0"/>
          <w:sz w:val="24"/>
        </w:rPr>
        <w:t>• Data Persistence Layer: MongoDB database with Mongoose ODM modeling users, products, orders, plant listings, tenders, and notifications.</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Pr>
          <w:p>
            <w:pPr>
              <w:spacing w:before="0" w:after="0" w:line="264" w:lineRule="auto"/>
            </w:pPr>
            <w:r>
              <w:rPr>
                <w:rFonts w:ascii="Courier New" w:hAnsi="Courier New"/>
                <w:sz w:val="19"/>
              </w:rPr>
              <w:t xml:space="preserve">                      EcoLink Multi-Tier System Architecture</w:t>
              <w:br/>
              <w:t xml:space="preserve">  +-------------------------------------------------------------------------+</w:t>
              <w:br/>
              <w:t xml:space="preserve">  |  FRONTEND TIER: React 18 (Vite) + Tailwind CSS + Leaflet.js Maps        |</w:t>
              <w:br/>
              <w:t xml:space="preserve">  |  (Buyer Explorer, Seller Console, Admin Command Center, Plant Loop)     |</w:t>
              <w:br/>
              <w:t xml:space="preserve">  +------------------------------------+------------------------------------+</w:t>
              <w:br/>
              <w:t xml:space="preserve">                                       | HTTPS REST API Requests</w:t>
              <w:br/>
              <w:t xml:space="preserve">                                       v</w:t>
              <w:br/>
              <w:t xml:space="preserve">  +-------------------------------------------------------------------------+</w:t>
              <w:br/>
              <w:t xml:space="preserve">  |  BACKEND MIDDLEWARE &amp; ROUTING: Express.js + JWT Auth + Role RBAC        |</w:t>
              <w:br/>
              <w:t xml:space="preserve">  |  (authMiddleware.js, uploadRoutes, orderRoutes, communityRoutes)        |</w:t>
              <w:br/>
              <w:t xml:space="preserve">  +------------------------------------+------------------------------------+</w:t>
              <w:br/>
              <w:t xml:space="preserve">                                       | Controller Logic Execution</w:t>
              <w:br/>
              <w:t xml:space="preserve">                                       v</w:t>
              <w:br/>
              <w:t xml:space="preserve">  +-------------------------------------------------------------------------+</w:t>
              <w:br/>
              <w:t xml:space="preserve">  |  PERSISTENCE TIER: MongoDB + Mongoose ODM (Users, Products, Orders)     |</w:t>
              <w:br/>
              <w:t xml:space="preserve">  |  EXTERNAL SERVICES: Razorpay Payment Gateway (HMAC-SHA256), OSM Tiles   |</w:t>
              <w:br/>
              <w:t xml:space="preserve">  +-------------------------------------------------------------------------+</w:t>
            </w:r>
          </w:p>
        </w:tc>
      </w:tr>
    </w:tbl>
    <w:p>
      <w:pPr>
        <w:spacing w:after="80"/>
      </w:pPr>
    </w:p>
    <w:p>
      <w:pPr>
        <w:spacing w:line="276" w:lineRule="auto" w:after="120"/>
        <w:jc w:val="center"/>
      </w:pPr>
      <w:r>
        <w:rPr>
          <w:rFonts w:ascii="Times New Roman" w:hAnsi="Times New Roman"/>
          <w:i/>
          <w:sz w:val="24"/>
        </w:rPr>
        <w:t>Fig 4.1 illustrates the complete multi-tier architecture of EcoLink.</w:t>
      </w:r>
    </w:p>
    <w:p>
      <w:pPr>
        <w:spacing w:before="240" w:after="80"/>
      </w:pPr>
      <w:r>
        <w:rPr>
          <w:rFonts w:ascii="Times New Roman" w:hAnsi="Times New Roman"/>
          <w:b/>
          <w:sz w:val="24"/>
        </w:rPr>
        <w:t>4.4 SYSTEM DESIGN &amp; 4.4.1 USE CASE DIAGRAM</w:t>
      </w:r>
    </w:p>
    <w:p>
      <w:pPr>
        <w:spacing w:line="276" w:lineRule="auto" w:after="120"/>
        <w:jc w:val="both"/>
      </w:pPr>
      <w:r>
        <w:rPr>
          <w:rFonts w:ascii="Times New Roman" w:hAnsi="Times New Roman"/>
          <w:i w:val="0"/>
          <w:sz w:val="24"/>
        </w:rPr>
        <w:t>The system models Users, Products, Orders, PlantListings, and RequestBoards. Buyers browse hyperlocal catalogs, filter by distance, purchase goods, adopt plants, and chat with growers. Sellers manage listings, fulfill orders, and submit tender quotations. Admins audit verification documents and configure platform commission percentages.</w:t>
      </w:r>
    </w:p>
    <w:p>
      <w:pPr>
        <w:spacing w:before="240" w:after="80"/>
      </w:pPr>
      <w:r>
        <w:rPr>
          <w:rFonts w:ascii="Times New Roman" w:hAnsi="Times New Roman"/>
          <w:b/>
          <w:sz w:val="24"/>
        </w:rPr>
        <w:t>4.5 ALGORITHMIC STEPS</w:t>
      </w:r>
    </w:p>
    <w:p>
      <w:pPr>
        <w:spacing w:line="276" w:lineRule="auto" w:after="120"/>
        <w:jc w:val="both"/>
      </w:pPr>
      <w:r>
        <w:rPr>
          <w:rFonts w:ascii="Times New Roman" w:hAnsi="Times New Roman"/>
          <w:i w:val="0"/>
          <w:sz w:val="24"/>
        </w:rPr>
        <w:t>1. Hyperlocal Proximity Discovery &amp; Haversine Distance Calculation:</w:t>
        <w:br/>
        <w:t xml:space="preserve">   • Compute spherical distance d = 2R * arcsin(sqrt(sin^2(dlat/2) + cos(lat1)*cos(lat2)*sin^2(dlon/2))) where R = 6371 km.</w:t>
        <w:br/>
        <w:t xml:space="preserve">   • Filter items where distance d &lt;= userSelectedRadius and sort by ascending proximity.</w:t>
        <w:br/>
        <w:br/>
        <w:t>2. Seller Role Onboarding &amp; Administrative Verification:</w:t>
        <w:br/>
        <w:t xml:space="preserve">   • Buyer submits seller profile with business details, SHG status, and proof document.</w:t>
        <w:br/>
        <w:t xml:space="preserve">   • System sets sellerStatus = 'pending' for admin review. Upon admin approval, role unlocks dual Buyer + Seller features.</w:t>
        <w:br/>
        <w:br/>
        <w:t>3. Secure Checkout &amp; Cryptographic Payment Validation:</w:t>
        <w:br/>
        <w:t xml:space="preserve">   • Backend generates Razorpay Order ID and calculates platform commission and net seller earnings.</w:t>
        <w:br/>
        <w:t xml:space="preserve">   • Client completes transaction; backend validates HMAC-SHA256(order_id + '|' + payment_id, SECRET).</w:t>
        <w:br/>
        <w:t xml:space="preserve">   • Upon match, order status becomes 'Placed', paymentStatus becomes 'Paid', and stock decrements atomically.</w:t>
      </w:r>
    </w:p>
    <w:p>
      <w:pPr>
        <w:spacing w:before="240" w:after="80"/>
      </w:pPr>
      <w:r>
        <w:rPr>
          <w:rFonts w:ascii="Times New Roman" w:hAnsi="Times New Roman"/>
          <w:b/>
          <w:sz w:val="24"/>
        </w:rPr>
        <w:t>4.6 FLOWCHART FOR ECOLINK MARKETPLACE</w:t>
      </w:r>
    </w:p>
    <w:p>
      <w:pPr>
        <w:spacing w:line="276" w:lineRule="auto" w:after="120"/>
        <w:jc w:val="both"/>
      </w:pPr>
      <w:r>
        <w:rPr>
          <w:rFonts w:ascii="Times New Roman" w:hAnsi="Times New Roman"/>
          <w:i w:val="0"/>
          <w:sz w:val="24"/>
        </w:rPr>
        <w:t>The operational flowchart traces the user journey from GPS location detection and Leaflet map exploration through distance filtering, product selection, cart review, Razorpay payment verification, seller order packaging, and delivery completion.</w:t>
      </w:r>
    </w:p>
    <w:p>
      <w:pPr>
        <w:spacing w:before="240" w:after="80"/>
      </w:pPr>
      <w:r>
        <w:rPr>
          <w:rFonts w:ascii="Times New Roman" w:hAnsi="Times New Roman"/>
          <w:b/>
          <w:sz w:val="24"/>
        </w:rPr>
        <w:t>4.7 SYSTEM REQUIREMENTS</w:t>
      </w:r>
    </w:p>
    <w:tbl>
      <w:tblPr>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REQUIREMENT</w:t>
            </w:r>
          </w:p>
        </w:tc>
        <w:tc>
          <w:tcPr>
            <w:tcW w:type="dxa" w:w="3120"/>
          </w:tcPr>
          <w:p>
            <w:r>
              <w:rPr>
                <w:b/>
              </w:rPr>
              <w:t>PURPOSE</w:t>
            </w:r>
          </w:p>
        </w:tc>
      </w:tr>
      <w:tr>
        <w:tc>
          <w:tcPr>
            <w:tcW w:type="dxa" w:w="3120"/>
          </w:tcPr>
          <w:p>
            <w:r>
              <w:t>Processor</w:t>
            </w:r>
          </w:p>
        </w:tc>
        <w:tc>
          <w:tcPr>
            <w:tcW w:type="dxa" w:w="3120"/>
          </w:tcPr>
          <w:p>
            <w:r>
              <w:t>Intel Core i3 / AMD Ryzen 3 or above</w:t>
            </w:r>
          </w:p>
        </w:tc>
        <w:tc>
          <w:tcPr>
            <w:tcW w:type="dxa" w:w="3120"/>
          </w:tcPr>
          <w:p>
            <w:r>
              <w:t>Handles API execution, map tile rendering, and data serialization.</w:t>
            </w:r>
          </w:p>
        </w:tc>
      </w:tr>
      <w:tr>
        <w:tc>
          <w:tcPr>
            <w:tcW w:type="dxa" w:w="3120"/>
          </w:tcPr>
          <w:p>
            <w:r>
              <w:t>Memory (RAM)</w:t>
            </w:r>
          </w:p>
        </w:tc>
        <w:tc>
          <w:tcPr>
            <w:tcW w:type="dxa" w:w="3120"/>
          </w:tcPr>
          <w:p>
            <w:r>
              <w:t>4 GB RAM or above</w:t>
            </w:r>
          </w:p>
        </w:tc>
        <w:tc>
          <w:tcPr>
            <w:tcW w:type="dxa" w:w="3120"/>
          </w:tcPr>
          <w:p>
            <w:r>
              <w:t>Ensures smooth multitasking across Vite dev server and Node.js daemon.</w:t>
            </w:r>
          </w:p>
        </w:tc>
      </w:tr>
      <w:tr>
        <w:tc>
          <w:tcPr>
            <w:tcW w:type="dxa" w:w="3120"/>
          </w:tcPr>
          <w:p>
            <w:r>
              <w:t>Storage</w:t>
            </w:r>
          </w:p>
        </w:tc>
        <w:tc>
          <w:tcPr>
            <w:tcW w:type="dxa" w:w="3120"/>
          </w:tcPr>
          <w:p>
            <w:r>
              <w:t>500 MB Free Space</w:t>
            </w:r>
          </w:p>
        </w:tc>
        <w:tc>
          <w:tcPr>
            <w:tcW w:type="dxa" w:w="3120"/>
          </w:tcPr>
          <w:p>
            <w:r>
              <w:t>Accommodates node dependencies, asset files, and local database.</w:t>
            </w:r>
          </w:p>
        </w:tc>
      </w:tr>
      <w:tr>
        <w:tc>
          <w:tcPr>
            <w:tcW w:type="dxa" w:w="3120"/>
          </w:tcPr>
          <w:p>
            <w:r>
              <w:t>Operating System</w:t>
            </w:r>
          </w:p>
        </w:tc>
        <w:tc>
          <w:tcPr>
            <w:tcW w:type="dxa" w:w="3120"/>
          </w:tcPr>
          <w:p>
            <w:r>
              <w:t>Windows 10/11, Linux, macOS</w:t>
            </w:r>
          </w:p>
        </w:tc>
        <w:tc>
          <w:tcPr>
            <w:tcW w:type="dxa" w:w="3120"/>
          </w:tcPr>
          <w:p>
            <w:r>
              <w:t>Cross-platform development and deployment environment.</w:t>
            </w:r>
          </w:p>
        </w:tc>
      </w:tr>
      <w:tr>
        <w:tc>
          <w:tcPr>
            <w:tcW w:type="dxa" w:w="3120"/>
          </w:tcPr>
          <w:p>
            <w:r>
              <w:t>Frontend Tech</w:t>
            </w:r>
          </w:p>
        </w:tc>
        <w:tc>
          <w:tcPr>
            <w:tcW w:type="dxa" w:w="3120"/>
          </w:tcPr>
          <w:p>
            <w:r>
              <w:t>React.js 18, Vite, Tailwind CSS, Leaflet.js</w:t>
            </w:r>
          </w:p>
        </w:tc>
        <w:tc>
          <w:tcPr>
            <w:tcW w:type="dxa" w:w="3120"/>
          </w:tcPr>
          <w:p>
            <w:r>
              <w:t>Dynamic component rendering, state management, and map visualization.</w:t>
            </w:r>
          </w:p>
        </w:tc>
      </w:tr>
      <w:tr>
        <w:tc>
          <w:tcPr>
            <w:tcW w:type="dxa" w:w="3120"/>
          </w:tcPr>
          <w:p>
            <w:r>
              <w:t>Backend Tech</w:t>
            </w:r>
          </w:p>
        </w:tc>
        <w:tc>
          <w:tcPr>
            <w:tcW w:type="dxa" w:w="3120"/>
          </w:tcPr>
          <w:p>
            <w:r>
              <w:t>Node.js 18+, Express.js 4.18</w:t>
            </w:r>
          </w:p>
        </w:tc>
        <w:tc>
          <w:tcPr>
            <w:tcW w:type="dxa" w:w="3120"/>
          </w:tcPr>
          <w:p>
            <w:r>
              <w:t>RESTful routing, middleware logic, and business rule orchestration.</w:t>
            </w:r>
          </w:p>
        </w:tc>
      </w:tr>
      <w:tr>
        <w:tc>
          <w:tcPr>
            <w:tcW w:type="dxa" w:w="3120"/>
          </w:tcPr>
          <w:p>
            <w:r>
              <w:t>Database</w:t>
            </w:r>
          </w:p>
        </w:tc>
        <w:tc>
          <w:tcPr>
            <w:tcW w:type="dxa" w:w="3120"/>
          </w:tcPr>
          <w:p>
            <w:r>
              <w:t>MongoDB 6.0+ (Mongoose ODM)</w:t>
            </w:r>
          </w:p>
        </w:tc>
        <w:tc>
          <w:tcPr>
            <w:tcW w:type="dxa" w:w="3120"/>
          </w:tcPr>
          <w:p>
            <w:r>
              <w:t>Schema-based document storage and relational references.</w:t>
            </w:r>
          </w:p>
        </w:tc>
      </w:tr>
      <w:tr>
        <w:tc>
          <w:tcPr>
            <w:tcW w:type="dxa" w:w="3120"/>
          </w:tcPr>
          <w:p>
            <w:r>
              <w:t>Payment Gateway</w:t>
            </w:r>
          </w:p>
        </w:tc>
        <w:tc>
          <w:tcPr>
            <w:tcW w:type="dxa" w:w="3120"/>
          </w:tcPr>
          <w:p>
            <w:r>
              <w:t>Razorpay API (Test Mode)</w:t>
            </w:r>
          </w:p>
        </w:tc>
        <w:tc>
          <w:tcPr>
            <w:tcW w:type="dxa" w:w="3120"/>
          </w:tcPr>
          <w:p>
            <w:r>
              <w:t>Digital transaction processing and HMAC signature verification.</w:t>
            </w:r>
          </w:p>
        </w:tc>
      </w:tr>
      <w:tr>
        <w:tc>
          <w:tcPr>
            <w:tcW w:type="dxa" w:w="3120"/>
          </w:tcPr>
          <w:p>
            <w:r>
              <w:t>Development Tools</w:t>
            </w:r>
          </w:p>
        </w:tc>
        <w:tc>
          <w:tcPr>
            <w:tcW w:type="dxa" w:w="3120"/>
          </w:tcPr>
          <w:p>
            <w:r>
              <w:t>VS Code, Postman, Git</w:t>
            </w:r>
          </w:p>
        </w:tc>
        <w:tc>
          <w:tcPr>
            <w:tcW w:type="dxa" w:w="3120"/>
          </w:tcPr>
          <w:p>
            <w:r>
              <w:t>Source coding, API endpoint testing, and version control.</w:t>
            </w:r>
          </w:p>
        </w:tc>
      </w:tr>
    </w:tbl>
    <w:p>
      <w:pPr>
        <w:spacing w:before="240" w:after="80"/>
      </w:pPr>
      <w:r>
        <w:rPr>
          <w:rFonts w:ascii="Times New Roman" w:hAnsi="Times New Roman"/>
          <w:b/>
          <w:sz w:val="24"/>
        </w:rPr>
        <w:t>4.8 SECURITY AND VALIDATION CONSIDERATIONS</w:t>
      </w:r>
    </w:p>
    <w:p>
      <w:pPr>
        <w:spacing w:line="276" w:lineRule="auto" w:after="120"/>
        <w:jc w:val="both"/>
      </w:pPr>
      <w:r>
        <w:rPr>
          <w:rFonts w:ascii="Times New Roman" w:hAnsi="Times New Roman"/>
          <w:i w:val="0"/>
          <w:sz w:val="24"/>
        </w:rPr>
        <w:t>• Stateful JWT Authentication: Verified on every protected API endpoint.</w:t>
        <w:br/>
        <w:t>• Salted Bcrypt Password Hashing: 10 salt rounds before database persistence.</w:t>
        <w:br/>
        <w:t>• HMAC-SHA256 Payment Verification: Server-side cryptographic signature matching.</w:t>
        <w:br/>
        <w:t>• Role-Based Access Control (RBAC): Enforced on admin and seller controller actions.</w:t>
        <w:br/>
        <w:t>• Strict Input Sanitization: Schema-level validation across all data modification routes.</w:t>
      </w:r>
    </w:p>
    <w:p>
      <w:r>
        <w:br w:type="page"/>
      </w:r>
    </w:p>
    <w:p>
      <w:pPr>
        <w:spacing w:before="360" w:after="240"/>
        <w:jc w:val="center"/>
      </w:pPr>
      <w:r>
        <w:rPr>
          <w:rFonts w:ascii="Times New Roman" w:hAnsi="Times New Roman"/>
          <w:b/>
          <w:sz w:val="28"/>
        </w:rPr>
        <w:t>CHAPTER 5</w:t>
        <w:br/>
        <w:br/>
        <w:t>IMPLEMENTATION AND RESULT</w:t>
      </w:r>
    </w:p>
    <w:p>
      <w:pPr>
        <w:spacing w:line="276" w:lineRule="auto" w:after="120"/>
        <w:jc w:val="both"/>
      </w:pPr>
      <w:r>
        <w:rPr>
          <w:rFonts w:ascii="Times New Roman" w:hAnsi="Times New Roman"/>
          <w:i w:val="0"/>
          <w:sz w:val="24"/>
        </w:rPr>
        <w:t>The implementation of the EcoLink Hyperlocal Marketplace is realized using the MERN stack (MongoDB, Express.js, React.js with Vite, and Node.js). The frontend provides a responsive, high-contrast interface styled with Tailwind CSS, featuring Leaflet.js maps, dynamic category filters, circular plant loop boards, institutional tenders, and Tamil localization. The backend coordinates secure RESTful endpoints, Multer file uploads, and Razorpay Test Mode checkout with HMAC verification.</w:t>
      </w:r>
    </w:p>
    <w:p>
      <w:pPr>
        <w:spacing w:before="240" w:after="80"/>
      </w:pPr>
      <w:r>
        <w:rPr>
          <w:rFonts w:ascii="Times New Roman" w:hAnsi="Times New Roman"/>
          <w:b/>
          <w:sz w:val="24"/>
        </w:rPr>
        <w:t>5.1 Implementation Modules (5.1.1 to 5.1.9)</w:t>
      </w:r>
    </w:p>
    <w:p>
      <w:pPr>
        <w:spacing w:line="276" w:lineRule="auto" w:after="120"/>
        <w:jc w:val="both"/>
      </w:pPr>
      <w:r>
        <w:rPr>
          <w:rFonts w:ascii="Times New Roman" w:hAnsi="Times New Roman"/>
          <w:i w:val="0"/>
          <w:sz w:val="24"/>
        </w:rPr>
        <w:t>• 5.1.1 Frontend UI: React 18 component hierarchy, glassmorphism cards, and Lucide icons.</w:t>
        <w:br/>
        <w:t>• 5.1.2 Multi-Category Marketplace: Filtering for Decorative, Medicinal, Yield plants, Seeds, Fertilizers, and Eco Goods.</w:t>
        <w:br/>
        <w:t>• 5.1.3 Haversine Proximity Engine: Coordinate acquisition and distance computation for 5 km to 50 km radii.</w:t>
        <w:br/>
        <w:t>• 5.1.4 Multi-Role Auth: Single-account model unlocking Buyer + Seller roles upon admin verification.</w:t>
        <w:br/>
        <w:t>• 5.1.5 Node.js REST APIs: Modular endpoints for auth, products, orders, community, and business bidding.</w:t>
        <w:br/>
        <w:t>• 5.1.6 MongoDB NoSQL Modeling: Normalized Mongoose schemas with indexed querying.</w:t>
        <w:br/>
        <w:t>• 5.1.7 Circular Plant Loop: Dedicated Plant Adoption and Plant Exchange state engines.</w:t>
        <w:br/>
        <w:t>• 5.1.8 Business Bidding Portal: Bulk institutional tenders and competitive seller quotations.</w:t>
        <w:br/>
        <w:t>• 5.1.9 Razorpay Gateway: Order creation, test checkout modal, and HMAC signature verification.</w:t>
      </w:r>
    </w:p>
    <w:p>
      <w:pPr>
        <w:spacing w:before="240" w:after="80"/>
      </w:pPr>
      <w:r>
        <w:rPr>
          <w:rFonts w:ascii="Times New Roman" w:hAnsi="Times New Roman"/>
          <w:b/>
          <w:sz w:val="24"/>
        </w:rPr>
        <w:t>5.2 Admin Module</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Pr>
          <w:p>
            <w:pPr>
              <w:spacing w:before="0" w:after="0" w:line="264" w:lineRule="auto"/>
            </w:pPr>
            <w:r>
              <w:rPr>
                <w:rFonts w:ascii="Courier New" w:hAnsi="Courier New"/>
                <w:sz w:val="19"/>
              </w:rPr>
              <w:t xml:space="preserve">  EcoLink Admin Command Center &amp; Metrics Dashboard</w:t>
              <w:br/>
              <w:t xml:space="preserve">  Total GMV: Rs. 1,48,250 | Platform Commission: Rs. 14,825 | Active Sellers: 38</w:t>
              <w:br/>
              <w:t xml:space="preserve">  [Seller Verification Queue: Ramesh Kumar (Organic Farmer), Kavitha (Women Entr)]</w:t>
              <w:br/>
              <w:t xml:space="preserve">  [Commission Configuration: Standard 10%, SHG Concession 5%, Women Entr 5%]</w:t>
            </w:r>
          </w:p>
        </w:tc>
      </w:tr>
    </w:tbl>
    <w:p>
      <w:pPr>
        <w:spacing w:after="80"/>
      </w:pPr>
    </w:p>
    <w:p>
      <w:pPr>
        <w:spacing w:line="276" w:lineRule="auto" w:after="120"/>
        <w:jc w:val="center"/>
      </w:pPr>
      <w:r>
        <w:rPr>
          <w:rFonts w:ascii="Times New Roman" w:hAnsi="Times New Roman"/>
          <w:i/>
          <w:sz w:val="24"/>
        </w:rPr>
        <w:t>Fig 5.1 to 5.6 illustrate the Admin Command Center, Seller Verification Queue, Commission Settings, and Role Governance interfaces.</w:t>
      </w:r>
    </w:p>
    <w:p>
      <w:pPr>
        <w:spacing w:before="240" w:after="80"/>
      </w:pPr>
      <w:r>
        <w:rPr>
          <w:rFonts w:ascii="Times New Roman" w:hAnsi="Times New Roman"/>
          <w:b/>
          <w:sz w:val="24"/>
        </w:rPr>
        <w:t>5.3 Buyer &amp; Marketplace Module</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Pr>
          <w:p>
            <w:pPr>
              <w:spacing w:before="0" w:after="0" w:line="264" w:lineRule="auto"/>
            </w:pPr>
            <w:r>
              <w:rPr>
                <w:rFonts w:ascii="Courier New" w:hAnsi="Courier New"/>
                <w:sz w:val="19"/>
              </w:rPr>
              <w:t xml:space="preserve">  EcoLink Buyer Discovery &amp; Checkout Flow</w:t>
              <w:br/>
              <w:t xml:space="preserve">  - Leaflet Map: Plots nearby nursery sellers within selected 5 km - 50 km radius.</w:t>
              <w:br/>
              <w:t xml:space="preserve">  - Product Details: Carbon offset score (1.2 kg CO2e saved), care guide, stock.</w:t>
              <w:br/>
              <w:t xml:space="preserve">  - Cart &amp; Checkout: Subtotal, local delivery fee, and Razorpay Test Gateway Modal.</w:t>
              <w:br/>
              <w:t xml:space="preserve">  - Verified Receipt: Order ID #ORD-2026-89412, Payment ID pay_SdoX1KewfRlb7.</w:t>
            </w:r>
          </w:p>
        </w:tc>
      </w:tr>
    </w:tbl>
    <w:p>
      <w:pPr>
        <w:spacing w:after="80"/>
      </w:pPr>
    </w:p>
    <w:p>
      <w:pPr>
        <w:spacing w:line="276" w:lineRule="auto" w:after="120"/>
        <w:jc w:val="center"/>
      </w:pPr>
      <w:r>
        <w:rPr>
          <w:rFonts w:ascii="Times New Roman" w:hAnsi="Times New Roman"/>
          <w:i/>
          <w:sz w:val="24"/>
        </w:rPr>
        <w:t>Fig 5.7 to 5.13 illustrate the User Authentication, Leaflet Map Proximity Discovery, Category Filters, Cart Summary, Razorpay Checkout, and Order Receipt screens.</w:t>
      </w:r>
    </w:p>
    <w:p>
      <w:pPr>
        <w:spacing w:before="240" w:after="80"/>
      </w:pPr>
      <w:r>
        <w:rPr>
          <w:rFonts w:ascii="Times New Roman" w:hAnsi="Times New Roman"/>
          <w:b/>
          <w:sz w:val="24"/>
        </w:rPr>
        <w:t>5.4 Community &amp; Circular Exchange Module</w:t>
      </w:r>
    </w:p>
    <w:tbl>
      <w:tblPr>
        <w:tblW w:type="auto" w:w="0"/>
        <w:jc w:val="center"/>
        <w:tblLook w:firstColumn="1" w:firstRow="1" w:lastColumn="0" w:lastRow="0" w:noHBand="0" w:noVBand="1" w:val="04A0"/>
      </w:tblPr>
      <w:tblGrid>
        <w:gridCol w:w="9360"/>
      </w:tblGrid>
      <w:tr>
        <w:tc>
          <w:tcPr>
            <w:tcW w:type="dxa" w:w="9360"/>
            <w:shd w:val="clear" w:color="auto" w:fill="F3F4F6"/>
            <w:tcMar>
              <w:top w:w="140" w:type="dxa"/>
              <w:bottom w:w="140" w:type="dxa"/>
              <w:left w:w="200" w:type="dxa"/>
              <w:right w:w="200" w:type="dxa"/>
            </w:tcMar>
          </w:tcPr>
          <w:p>
            <w:pPr>
              <w:spacing w:before="0" w:after="0" w:line="264" w:lineRule="auto"/>
            </w:pPr>
            <w:r>
              <w:rPr>
                <w:rFonts w:ascii="Courier New" w:hAnsi="Courier New"/>
                <w:sz w:val="19"/>
              </w:rPr>
              <w:t xml:space="preserve">  EcoLink Circular Community, Direct Chat &amp; Notification Systems</w:t>
              <w:br/>
              <w:t xml:space="preserve">  - Direct Chat &amp; Negotiation Interface: Displays an inbox sidebar and active conversation</w:t>
              <w:br/>
              <w:t xml:space="preserve">    message window; new incoming messages are automatically fetched in real time via polling</w:t>
              <w:br/>
              <w:t xml:space="preserve">    every three seconds.</w:t>
              <w:br/>
              <w:t xml:space="preserve">  - Notification Dropdown: Situated in the top navigation bar, listing adoption requests,</w:t>
              <w:br/>
              <w:t xml:space="preserve">    plant exchange proposals, and order updates with instant Call, WhatsApp, and Email actions.</w:t>
              <w:br/>
              <w:t xml:space="preserve">  - Plant Adoption Board: Zero-cost sapling re-homing (Jade Plant, Aloe Vera pups).</w:t>
              <w:br/>
              <w:t xml:space="preserve">  - Plant Exchange Hub: Non-monetary circular plant swapping (Monstera cutting for Calathea).</w:t>
              <w:br/>
              <w:t xml:space="preserve">  - Business Requirement Board: Bulk 150 indoor plant tender with verified seller quotation bids.</w:t>
              <w:br/>
              <w:t xml:space="preserve">  - Tamil Localization: Bilingual toggle translating marketplace navigation.</w:t>
            </w:r>
          </w:p>
        </w:tc>
      </w:tr>
    </w:tbl>
    <w:p>
      <w:pPr>
        <w:spacing w:after="80"/>
      </w:pPr>
    </w:p>
    <w:p>
      <w:pPr>
        <w:spacing w:line="276" w:lineRule="auto" w:after="120"/>
        <w:jc w:val="center"/>
      </w:pPr>
      <w:r>
        <w:rPr>
          <w:rFonts w:ascii="Times New Roman" w:hAnsi="Times New Roman"/>
          <w:i/>
          <w:sz w:val="24"/>
        </w:rPr>
        <w:t>Fig 5.14 to 5.23 illustrate the Plant Adoption Board, Plant Exchange Hub, Business Tender Bids, Direct Chat (with 3-second polling), Notification Dropdown, Workshop Listings, and Tamil Localization interfaces.</w:t>
      </w:r>
    </w:p>
    <w:p>
      <w:pPr>
        <w:spacing w:before="240" w:after="80"/>
      </w:pPr>
      <w:r>
        <w:rPr>
          <w:rFonts w:ascii="Times New Roman" w:hAnsi="Times New Roman"/>
          <w:b/>
          <w:sz w:val="24"/>
        </w:rPr>
        <w:t>5.5 Results</w:t>
      </w:r>
    </w:p>
    <w:p>
      <w:pPr>
        <w:spacing w:line="276" w:lineRule="auto" w:after="120"/>
        <w:jc w:val="both"/>
      </w:pPr>
      <w:r>
        <w:rPr>
          <w:rFonts w:ascii="Times New Roman" w:hAnsi="Times New Roman"/>
          <w:i w:val="0"/>
          <w:sz w:val="24"/>
        </w:rPr>
        <w:t>The complete full-stack EcoLink ecosystem demonstrates verified performance across all functional criteria: sub-second Haversine proximity calculations within 5 km–50 km, seamless single-account role expansion from Buyer to Seller upon admin audit, 100% cryptographic integrity in Razorpay Test Mode payments, active state tracking in circular plant adoption and exchange boards, and smooth bilingual English/Tamil responsiveness.</w:t>
      </w:r>
    </w:p>
    <w:p>
      <w:r>
        <w:br w:type="page"/>
      </w:r>
    </w:p>
    <w:p>
      <w:pPr>
        <w:spacing w:before="360" w:after="240"/>
        <w:jc w:val="center"/>
      </w:pPr>
      <w:r>
        <w:rPr>
          <w:rFonts w:ascii="Times New Roman" w:hAnsi="Times New Roman"/>
          <w:b/>
          <w:sz w:val="28"/>
        </w:rPr>
        <w:t>CHAPTER 6</w:t>
        <w:br/>
        <w:br/>
        <w:t>CONCLUSION AND FUTURE SCOPE</w:t>
      </w:r>
    </w:p>
    <w:p>
      <w:pPr>
        <w:spacing w:before="240" w:after="80"/>
      </w:pPr>
      <w:r>
        <w:rPr>
          <w:rFonts w:ascii="Times New Roman" w:hAnsi="Times New Roman"/>
          <w:b/>
          <w:sz w:val="24"/>
        </w:rPr>
        <w:t>6.1 CONCLUSION</w:t>
      </w:r>
    </w:p>
    <w:p>
      <w:pPr>
        <w:spacing w:line="276" w:lineRule="auto" w:after="120"/>
        <w:jc w:val="both"/>
      </w:pPr>
      <w:r>
        <w:rPr>
          <w:rFonts w:ascii="Times New Roman" w:hAnsi="Times New Roman"/>
          <w:i w:val="0"/>
          <w:sz w:val="24"/>
        </w:rPr>
        <w:t>The EcoLink – Hyperlocal Marketplace for Sustainable Plants, Eco-Friendly Products &amp; Community has been designed and implemented to address the severe environmental, logistics, and social challenges inherent in conventional e-commerce. By leveraging the MERN stack (MongoDB, Express.js, React.js with Vite, and Node.js), the platform establishes a decentralized, location-aware commercial framework that reconnects local consumers with nearby home growers, organic producers, Self-Help Groups (SHGs), and women entrepreneurs.</w:t>
      </w:r>
    </w:p>
    <w:p>
      <w:pPr>
        <w:spacing w:line="276" w:lineRule="auto" w:after="120"/>
        <w:jc w:val="both"/>
      </w:pPr>
      <w:r>
        <w:rPr>
          <w:rFonts w:ascii="Times New Roman" w:hAnsi="Times New Roman"/>
          <w:i w:val="0"/>
          <w:sz w:val="24"/>
        </w:rPr>
        <w:t>The application eliminates long-distance freight transit and heavy plastic packaging for living botanical items through dynamic Leaflet.js mapping and mathematical Haversine distance filtering (5 km to 50 km). The unified Multi-Role Account architecture allows users to transition smoothly from buyers to verified sellers through a rigorous administrative audit workflow. Grassroots producers are supported through customizable, low-commission tiers and trust verification badges. Furthermore, the circular "Plant Loop" (featuring zero-cost Plant Adoption and mutual Plant Exchange) and the institutional Business Requirement Bidding Portal establish an equitable, community-centered digital economy. Supported by secure Razorpay payment processing with HMAC signature verification and bilingual accessibility (English and Tamil), EcoLink successfully meets all functional objectives as a scalable and regenerative hyperlocal marketplace.</w:t>
      </w:r>
    </w:p>
    <w:p>
      <w:pPr>
        <w:spacing w:before="240" w:after="80"/>
      </w:pPr>
      <w:r>
        <w:rPr>
          <w:rFonts w:ascii="Times New Roman" w:hAnsi="Times New Roman"/>
          <w:b/>
          <w:sz w:val="24"/>
        </w:rPr>
        <w:t>6.2 FUTURE SCOPE</w:t>
      </w:r>
    </w:p>
    <w:p>
      <w:pPr>
        <w:spacing w:line="276" w:lineRule="auto" w:after="120"/>
        <w:jc w:val="both"/>
      </w:pPr>
      <w:r>
        <w:rPr>
          <w:rFonts w:ascii="Times New Roman" w:hAnsi="Times New Roman"/>
          <w:i w:val="0"/>
          <w:sz w:val="24"/>
        </w:rPr>
        <w:t>• Progressive Web App (PWA) &amp; Mobile Expansion: Packaging the application as a mobile app using React Native / Flutter with offline caching and background push notifications.</w:t>
        <w:br/>
        <w:t>• AI-Driven Botanical Diagnosis &amp; Recommendation: Integrating computer vision models to diagnose leaf disease symptoms directly from plant photos, paired with seasonal fertilizer suggestions.</w:t>
        <w:br/>
        <w:t>• Automated Hyperlocal Delivery APIs: Integrating on-demand logistics dispatch (e.g., Dunzo, Shadowfax, or ONDC) for automated neighborhood courier scheduling.</w:t>
        <w:br/>
        <w:t>• Blockchain Carbon Traceability: Utilizing lightweight distributed ledgers to tokenize verified carbon offset savings into redeemable community rewards.</w:t>
        <w:br/>
        <w:t>• Multilingual Voice Assistance: Adding voice-guided navigation and dialect audio prompts in regional languages to empower non-English literate rural artisans.</w:t>
      </w:r>
    </w:p>
    <w:p>
      <w:r>
        <w:br w:type="page"/>
      </w:r>
    </w:p>
    <w:p>
      <w:pPr>
        <w:spacing w:before="360" w:after="240"/>
        <w:jc w:val="center"/>
      </w:pPr>
      <w:r>
        <w:rPr>
          <w:rFonts w:ascii="Times New Roman" w:hAnsi="Times New Roman"/>
          <w:b/>
          <w:sz w:val="28"/>
        </w:rPr>
        <w:t>CHAPTER 7</w:t>
        <w:br/>
        <w:br/>
        <w:t>REFERENCES</w:t>
      </w:r>
    </w:p>
    <w:p>
      <w:pPr>
        <w:spacing w:line="276" w:lineRule="auto" w:after="120"/>
        <w:jc w:val="left"/>
      </w:pPr>
      <w:r>
        <w:rPr>
          <w:rFonts w:ascii="Times New Roman" w:hAnsi="Times New Roman"/>
          <w:i w:val="0"/>
          <w:sz w:val="24"/>
        </w:rPr>
        <w:t>1. A. Sharma and P. Kumar, "Decentralized Short-Chain Food Networks and Hyperlocal E-Commerce Logistics for Sustainable Urban Living," Journal of Cleaner Production, vol. 340, p. 130784, 2022. https://doi.org/10.1016/j.jclepro.2022.130784</w:t>
      </w:r>
    </w:p>
    <w:p>
      <w:pPr>
        <w:spacing w:line="276" w:lineRule="auto" w:after="120"/>
        <w:jc w:val="left"/>
      </w:pPr>
      <w:r>
        <w:rPr>
          <w:rFonts w:ascii="Times New Roman" w:hAnsi="Times New Roman"/>
          <w:i w:val="0"/>
          <w:sz w:val="24"/>
        </w:rPr>
        <w:t>2. R. Patel, M. Deshmukh, and S. Iyer, "Community Botanical Exchange and Circular Resource Circuits in Urban Domestic Horticulture," Urban Forestry &amp; Urban Greening, vol. 81, p. 127850, 2023. https://doi.org/10.1016/j.ufug.2023.127850</w:t>
      </w:r>
    </w:p>
    <w:p>
      <w:pPr>
        <w:spacing w:line="276" w:lineRule="auto" w:after="120"/>
        <w:jc w:val="left"/>
      </w:pPr>
      <w:r>
        <w:rPr>
          <w:rFonts w:ascii="Times New Roman" w:hAnsi="Times New Roman"/>
          <w:i w:val="0"/>
          <w:sz w:val="24"/>
        </w:rPr>
        <w:t>3. M. Patil, S. Tondare, and J. Morbale, "Harnessing the MERN Stack for Scalable E-Commerce Website Design: A Full-Stack Approach," International Research Journal of Engineering and Technology, vol. 12, no. 3, pp. 411–418, 2025. https://www.researchgate.net/publication/400300411</w:t>
      </w:r>
    </w:p>
    <w:p>
      <w:pPr>
        <w:spacing w:line="276" w:lineRule="auto" w:after="120"/>
        <w:jc w:val="left"/>
      </w:pPr>
      <w:r>
        <w:rPr>
          <w:rFonts w:ascii="Times New Roman" w:hAnsi="Times New Roman"/>
          <w:i w:val="0"/>
          <w:sz w:val="24"/>
        </w:rPr>
        <w:t>4. K. Sundaram, L. Revathi, and N. Balasubramanian, "Empowering Rural Self-Help Groups and Women Enterprises through Inclusive Digital Marketplaces," Indian Journal of Agricultural Economics, vol. 79, no. 2, pp. 185–198, 2024.</w:t>
      </w:r>
    </w:p>
    <w:p>
      <w:pPr>
        <w:spacing w:line="276" w:lineRule="auto" w:after="120"/>
        <w:jc w:val="left"/>
      </w:pPr>
      <w:r>
        <w:rPr>
          <w:rFonts w:ascii="Times New Roman" w:hAnsi="Times New Roman"/>
          <w:i w:val="0"/>
          <w:sz w:val="24"/>
        </w:rPr>
        <w:t>5. C. Alvarez and D. Jenkins, "Comparative Analysis of Haversine Distance vs Spatial Indexing in Lightweight Web GIS Applications," IEEE Transactions on Knowledge and Data Engineering, vol. 37, no. 1, pp. 112–124, 2025. https://doi.org/10.1109/TKDE.2024.1039821</w:t>
      </w:r>
    </w:p>
    <w:p>
      <w:pPr>
        <w:spacing w:line="276" w:lineRule="auto" w:after="120"/>
        <w:jc w:val="left"/>
      </w:pPr>
      <w:r>
        <w:rPr>
          <w:rFonts w:ascii="Times New Roman" w:hAnsi="Times New Roman"/>
          <w:i w:val="0"/>
          <w:sz w:val="24"/>
        </w:rPr>
        <w:t>6. V. Ramanathan and S. Chidambaram, "Hyperlocal Delivery Optimization and Carbon Footprint Mitigation in Perishable Retail Supply Chains," Sustainability, vol. 15, no. 8, p. 6421, 2023. https://doi.org/10.3390/su15086421</w:t>
      </w:r>
    </w:p>
    <w:p>
      <w:pPr>
        <w:spacing w:line="276" w:lineRule="auto" w:after="120"/>
        <w:jc w:val="left"/>
      </w:pPr>
      <w:r>
        <w:rPr>
          <w:rFonts w:ascii="Times New Roman" w:hAnsi="Times New Roman"/>
          <w:i w:val="0"/>
          <w:sz w:val="24"/>
        </w:rPr>
        <w:t>7. Usman Khan and Edison Jackson, "Digital Payments and Secure Web Transactions: HMAC-SHA256 Verification in Modern E-Commerce Platforms," Journal of Financial Technology &amp; Security, vol. 8, no. 1, pp. 45–58, February 2026.</w:t>
      </w:r>
    </w:p>
    <w:p>
      <w:pPr>
        <w:spacing w:line="276" w:lineRule="auto" w:after="120"/>
        <w:jc w:val="left"/>
      </w:pPr>
      <w:r>
        <w:rPr>
          <w:rFonts w:ascii="Times New Roman" w:hAnsi="Times New Roman"/>
          <w:i w:val="0"/>
          <w:sz w:val="24"/>
        </w:rPr>
        <w:t>8. Y. Chen, H. Zhang, and T. Lin, "Circular Economy in Urban Agriculture: Peer-to-Peer Plant Sharing and Green Resource Allocation Systems," Resources, Conservation and Recycling, vol. 188, p. 106680, 2023. https://doi.org/10.1016/j.resconrec.2022.106680</w:t>
      </w:r>
    </w:p>
    <w:p>
      <w:pPr>
        <w:spacing w:line="276" w:lineRule="auto" w:after="120"/>
        <w:jc w:val="left"/>
      </w:pPr>
      <w:r>
        <w:rPr>
          <w:rFonts w:ascii="Times New Roman" w:hAnsi="Times New Roman"/>
          <w:i w:val="0"/>
          <w:sz w:val="24"/>
        </w:rPr>
        <w:t>9. K. Sundaramoorthy et al., "A Study on Multi-Role Architecture and Role-Based Access Control in Modern Web Systems," IGI Global, 2024. https://www.igi-global.com/book/handbook-research-intelligent-machines</w:t>
      </w:r>
    </w:p>
    <w:p>
      <w:pPr>
        <w:spacing w:line="276" w:lineRule="auto" w:after="120"/>
        <w:jc w:val="left"/>
      </w:pPr>
      <w:r>
        <w:rPr>
          <w:rFonts w:ascii="Times New Roman" w:hAnsi="Times New Roman"/>
          <w:i w:val="0"/>
          <w:sz w:val="24"/>
        </w:rPr>
        <w:t>10. T. Anand, M. Suresh, and G. Karthik, "Open-Source Geospatial Interfaces: Integrating Leaflet.js and OpenStreetMap for Decentralized Urban Planning," Journal of Geographic Information System, vol. 16, no. 2, pp. 98–110,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