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sz w:val="24"/>
        </w:rPr>
        <w:t>PROJECT-I | SUBMISSION-3 | WEEK 5 | 20 MARKS</w:t>
      </w:r>
    </w:p>
    <w:p>
      <w:pPr>
        <w:spacing w:after="720"/>
        <w:jc w:val="center"/>
      </w:pPr>
      <w:r>
        <w:rPr>
          <w:b/>
          <w:sz w:val="28"/>
        </w:rPr>
        <w:t>DEPARTMENT OF COMPUTER SCIENCE &amp; ASTROPHYSICS</w:t>
      </w:r>
    </w:p>
    <w:p>
      <w:pPr>
        <w:spacing w:after="960"/>
        <w:jc w:val="center"/>
      </w:pPr>
      <w:r>
        <w:rPr>
          <w:b/>
          <w:sz w:val="48"/>
        </w:rPr>
        <w:t>EXOPLANET EVIDENCE FUSION NETWORK (EEFN) V2</w:t>
        <w:br/>
      </w:r>
      <w:r>
        <w:rPr>
          <w:i/>
          <w:sz w:val="28"/>
        </w:rPr>
        <w:t>A Multi-Catalog Vetting and Data-Discrepancy Auditing System</w:t>
      </w:r>
    </w:p>
    <w:p>
      <w:pPr>
        <w:spacing w:after="960"/>
        <w:jc w:val="center"/>
      </w:pPr>
      <w:r>
        <w:t>A System Design Document submitted for Project-I (Week 5)</w:t>
        <w:br/>
        <w:br/>
      </w:r>
      <w:r>
        <w:rPr>
          <w:sz w:val="24"/>
        </w:rPr>
        <w:t>Student Name:        Jai Surya</w:t>
        <w:br/>
        <w:t>Register Number:     22BCE1135</w:t>
        <w:br/>
        <w:t>Programme / Class:   B.Tech Computer Science and Engineering</w:t>
        <w:br/>
        <w:t>Faculty Guide Name:  Dr. Amit Kumar</w:t>
        <w:br/>
        <w:t>Academic Year:       2026 - 2027</w:t>
        <w:br/>
      </w:r>
    </w:p>
    <w:p>
      <w:pPr>
        <w:spacing w:after="480"/>
        <w:jc w:val="center"/>
      </w:pPr>
      <w:r>
        <w:t>__________________________________________________________________</w:t>
      </w:r>
    </w:p>
    <w:p>
      <w:pPr>
        <w:spacing w:before="240" w:after="960"/>
        <w:jc w:val="both"/>
      </w:pPr>
      <w:r>
        <w:rPr>
          <w:b/>
        </w:rPr>
        <w:t>Student Declaration:</w:t>
        <w:br/>
      </w:r>
      <w:r>
        <w:t>We hereby declare that the proposed project work is original and will be carried out under the guidance of the faculty mentor.</w:t>
      </w:r>
    </w:p>
    <w:p>
      <w:pPr>
        <w:jc w:val="left"/>
      </w:pPr>
      <w:r>
        <w:t>Student Signature: _________________          Date: _________________</w:t>
        <w:br/>
        <w:br/>
        <w:t>Faculty Guide Signature: _________________</w:t>
        <w:br/>
      </w:r>
    </w:p>
    <w:p>
      <w:r>
        <w:br w:type="page"/>
      </w:r>
    </w:p>
    <w:p>
      <w:pPr>
        <w:keepNext/>
        <w:spacing w:before="240" w:after="120"/>
      </w:pPr>
      <w:r>
        <w:rPr>
          <w:rFonts w:ascii="Times New Roman" w:hAnsi="Times New Roman"/>
          <w:b/>
          <w:sz w:val="28"/>
        </w:rPr>
        <w:t>1. System Architecture</w:t>
      </w:r>
    </w:p>
    <w:p>
      <w:r>
        <w:t>The Exoplanet Evidence Fusion Network (EEFN) v2 is an advanced exoplanet candidate vetting pipeline designed to solve the 'Stellar Parameter Multiplier' problem inherent in conventional exoplanet classifiers. Standard pipelines (such as AstroNet or ExoMiner) evaluate light curve flux signals in isolation. However, because transit depth is a relative ratio, δ = (R_p / R_*)², host star radius errors (R_*) directly propagate into planetary size calculations, causing up to 40% of subgiant companions to be misclassified as planets. EEFN v2 integrates multi-catalog parameters, engineering catalog discrepancy deltas and physics invariants as inputs to a unified deep neural network.</w:t>
      </w:r>
    </w:p>
    <w:p>
      <w:pPr>
        <w:keepNext/>
        <w:spacing w:before="160" w:after="80"/>
      </w:pPr>
      <w:r>
        <w:rPr>
          <w:rFonts w:ascii="Times New Roman" w:hAnsi="Times New Roman"/>
          <w:b/>
          <w:sz w:val="24"/>
        </w:rPr>
        <w:t>Overall System Architecture Diagram</w:t>
      </w:r>
    </w:p>
    <w:p>
      <w:pPr>
        <w:spacing w:after="240"/>
        <w:jc w:val="center"/>
      </w:pPr>
      <w:r>
        <w:rPr>
          <w:rFonts w:ascii="Consolas" w:hAnsi="Consolas"/>
          <w:sz w:val="17"/>
        </w:rPr>
        <w:t>+----------------------------------------------------------------------------------+</w:t>
        <w:br/>
        <w:t>|                             DATA ACQUISITION &amp; INGESTION LAYER                   |</w:t>
        <w:br/>
        <w:t>|  +------------------+  +-----------------+  +-------------------+  +-----------+ |</w:t>
        <w:br/>
        <w:t>|  | NASA TOI Archive |  | Gaia DR3 Source |  | 2MASS Photometry  |  | High-Res  | |</w:t>
        <w:br/>
        <w:t>|  |  (Orbital Period)|  | (RUWE, Parallax)|  | (J, H, K Band Mag)|  | Spec Catalog| |</w:t>
        <w:br/>
        <w:t>|  +--------+---------+  +--------+--------+  +---------+---------+  +-----+-----+ |</w:t>
        <w:br/>
        <w:t>+-----------|---------------------|---------------------|------------------|-------+</w:t>
        <w:br/>
        <w:t xml:space="preserve">            |                     |                     |                  |        </w:t>
        <w:br/>
        <w:t xml:space="preserve">            v                     v                     v                  v        </w:t>
        <w:br/>
        <w:t>+----------------------------------------------------------------------------------+</w:t>
        <w:br/>
        <w:t>|                         proper motion EPOCH CORRELATION ENGINE                   |</w:t>
        <w:br/>
        <w:t>|         Calculates coordinate drift from J2000.0 epoch to Gaia DR3 J2016.0       |</w:t>
        <w:br/>
        <w:t>+----------------------------------------+-----------------------------------------+</w:t>
        <w:br/>
        <w:t xml:space="preserve">                                         |                                          </w:t>
        <w:br/>
        <w:t xml:space="preserve">                                         v                                          </w:t>
        <w:br/>
        <w:t>+----------------------------------------------------------------------------------+</w:t>
        <w:br/>
        <w:t>|                          RELATIONAL DATA FUSION &amp; SCHEMA                         |</w:t>
        <w:br/>
        <w:t>|              [SQLite DB Engine: HostStar, ExoplanetCandidate, Metrics]           |</w:t>
        <w:br/>
        <w:t>+----------------------------------------+-----------------------------------------+</w:t>
        <w:br/>
        <w:t xml:space="preserve">                                         |                                          </w:t>
        <w:br/>
        <w:t xml:space="preserve">                                         v                                          </w:t>
        <w:br/>
        <w:t>+----------------------------------------------------------------------------------+</w:t>
        <w:br/>
        <w:t>|                         4-BRANCH DEEP NEURAL NETWORK (V2)                        |</w:t>
        <w:br/>
        <w:t>|  +--------------------+  +--------------------+  +---------------+  +----------+ |</w:t>
        <w:br/>
        <w:t>|  |  Global View CNN   |  |   Local View CNN   |  | Centroid CNN  |  | Metadata | |</w:t>
        <w:br/>
        <w:t>|  | (Global 1D Transit)|  | (Transit Ingress)  |  | (Centroid 2D) |  |   MLP    | |</w:t>
        <w:br/>
        <w:t>|  +---------+----------+  +---------+----------+  +-------+-------+  +----+-----+ |</w:t>
        <w:br/>
        <w:t xml:space="preserve">             |                       |                     |               |        </w:t>
        <w:br/>
        <w:t xml:space="preserve">             +-----------------------+----------+----------+---------------+        </w:t>
        <w:br/>
        <w:t xml:space="preserve">                                                |                                   </w:t>
        <w:br/>
        <w:t xml:space="preserve">                                                v                                   </w:t>
        <w:br/>
        <w:t xml:space="preserve">                                   +------------+------------+                      </w:t>
        <w:br/>
        <w:t xml:space="preserve">                                   |   576-Dim Late Fusion   |                      </w:t>
        <w:br/>
        <w:t xml:space="preserve">                                   +------------+------------+                      </w:t>
        <w:br/>
        <w:t xml:space="preserve">                                                |                                   </w:t>
        <w:br/>
        <w:t xml:space="preserve">                                                v                                   </w:t>
        <w:br/>
        <w:t xml:space="preserve">                                   +------------+------------+                      </w:t>
        <w:br/>
        <w:t xml:space="preserve">                                   | Calibrated Softmax Head |                      </w:t>
        <w:br/>
        <w:t xml:space="preserve">                                   +------------+------------+                      </w:t>
        <w:br/>
        <w:t>+-----------------------------------------------|----------------------------------+</w:t>
        <w:br/>
        <w:t xml:space="preserve">                                                v                                   </w:t>
        <w:br/>
        <w:t>+----------------------------------------------------------------------------------+</w:t>
        <w:br/>
        <w:t>|                         DETERMINISTIC PHYSICS SAFETY AUDIT                       |</w:t>
        <w:br/>
        <w:t>|         • Rp &lt;= 2.0 R_Jup Size Veto    • Transit vs Gaia density consistency     |</w:t>
        <w:br/>
        <w:t>+-----------------------------------------------|----------------------------------+</w:t>
        <w:br/>
        <w:t xml:space="preserve">                                                v                                   </w:t>
        <w:br/>
        <w:t>+----------------------------------------------------------------------------------+</w:t>
        <w:br/>
        <w:t>|                               NEXT.JS MISSION CONTROL                            |</w:t>
        <w:br/>
        <w:t>|          Displays Vetting Grades (A-F), Attribution Maps, and Diagnostics        |</w:t>
        <w:br/>
        <w:t>+----------------------------------------------------------------------------------+</w:t>
      </w:r>
    </w:p>
    <w:p>
      <w:pPr>
        <w:keepNext/>
        <w:spacing w:before="160" w:after="80"/>
      </w:pPr>
      <w:r>
        <w:rPr>
          <w:rFonts w:ascii="Times New Roman" w:hAnsi="Times New Roman"/>
          <w:b/>
          <w:sz w:val="24"/>
        </w:rPr>
        <w:t>Component Description &amp; Interactions</w:t>
      </w:r>
    </w:p>
    <w:p>
      <w:r>
        <w:rPr>
          <w:b/>
        </w:rPr>
        <w:t xml:space="preserve">1. Data Acquisition &amp; Ingestion Layer: </w:t>
      </w:r>
      <w:r>
        <w:t>Queries multiple catalogs using TAP and VizieR APIs. Coordinates are dynamically propagated over 16 years to resolve spatial drift before querying CDS X-Match. The system tracks J2000.0 coordinates relative to Gaia J2016.0.</w:t>
      </w:r>
    </w:p>
    <w:p>
      <w:r>
        <w:rPr>
          <w:b/>
        </w:rPr>
        <w:t xml:space="preserve">2. Relational Data Fusion: </w:t>
      </w:r>
      <w:r>
        <w:t>Fuses all heterogeneous records into an SQLite schema consisting of HostStar, ExoplanetCandidate, MeasurementHistory, AgreementMetrics, and MLPrediction models. Cross-catalog parameter discrepancies (ΔT_eff, ΔR_*, Δd) are dynamically computed and stored.</w:t>
      </w:r>
    </w:p>
    <w:p>
      <w:r>
        <w:rPr>
          <w:b/>
        </w:rPr>
        <w:t xml:space="preserve">3. 4-Branch Multi-Modal Neural Network: </w:t>
      </w:r>
      <w:r>
        <w:t>Ingests Global Light Curves (2001 bins), Local Transit Curves (201 bins), Centroid Spatial Drift (201 bins x 2 channels dx/dy), and a 16-parameter metadata vector. Features are merged in a 576-dimensional late-fusion layer.</w:t>
      </w:r>
    </w:p>
    <w:p>
      <w:r>
        <w:rPr>
          <w:b/>
        </w:rPr>
        <w:t xml:space="preserve">4. Deterministic Physics Safety Audit: </w:t>
      </w:r>
      <w:r>
        <w:t>Evaluates derived planet size (R_p = R_* √δ). If R_p &gt; 22.0 R_earth (2.0 R_Jup), a hard override is triggered, capping planet probability at &lt;4% and classifying the target as an Eclipsing Binary. Density consistency (|ρ_transit - ρ_Gaia|) is cross-checked to calculate an Evidence Health Grade (A-F).</w:t>
      </w:r>
    </w:p>
    <w:p>
      <w:r>
        <w:rPr>
          <w:b/>
        </w:rPr>
        <w:t xml:space="preserve">5. Next.js Mission Control: </w:t>
      </w:r>
      <w:r>
        <w:t>A dark-themed observatory interface displaying model class distributions, feature importances, and diagnostic metrics without visual clutter.</w:t>
      </w:r>
    </w:p>
    <w:p>
      <w:r>
        <w:br w:type="page"/>
      </w:r>
    </w:p>
    <w:p>
      <w:pPr>
        <w:keepNext/>
        <w:spacing w:before="240" w:after="120"/>
      </w:pPr>
      <w:r>
        <w:rPr>
          <w:rFonts w:ascii="Times New Roman" w:hAnsi="Times New Roman"/>
          <w:b/>
          <w:sz w:val="28"/>
        </w:rPr>
        <w:t>2. Module Design</w:t>
      </w:r>
    </w:p>
    <w:p>
      <w:r>
        <w:t>The system is organized into five functional modules. The input and output structures for each module are designed to enforce data integrity and prevent look-ahead and target leakage biases:</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c>
          <w:tcPr>
            <w:tcW w:type="dxa" w:w="2160"/>
            <w:shd w:fill="1B365D"/>
            <w:tcMar>
              <w:top w:w="80" w:type="dxa"/>
              <w:bottom w:w="80" w:type="dxa"/>
              <w:left w:w="100" w:type="dxa"/>
              <w:right w:w="100" w:type="dxa"/>
            </w:tcMar>
          </w:tcPr>
          <w:p>
            <w:r>
              <w:rPr>
                <w:b/>
                <w:color w:val="FFFFFF"/>
                <w:sz w:val="20"/>
              </w:rPr>
              <w:t>Functional Module</w:t>
            </w:r>
          </w:p>
        </w:tc>
        <w:tc>
          <w:tcPr>
            <w:tcW w:type="dxa" w:w="3168"/>
            <w:shd w:fill="1B365D"/>
            <w:tcMar>
              <w:top w:w="80" w:type="dxa"/>
              <w:bottom w:w="80" w:type="dxa"/>
              <w:left w:w="100" w:type="dxa"/>
              <w:right w:w="100" w:type="dxa"/>
            </w:tcMar>
          </w:tcPr>
          <w:p>
            <w:r>
              <w:rPr>
                <w:b/>
                <w:color w:val="FFFFFF"/>
                <w:sz w:val="20"/>
              </w:rPr>
              <w:t>Description</w:t>
            </w:r>
          </w:p>
        </w:tc>
        <w:tc>
          <w:tcPr>
            <w:tcW w:type="dxa" w:w="2016"/>
            <w:shd w:fill="1B365D"/>
            <w:tcMar>
              <w:top w:w="80" w:type="dxa"/>
              <w:bottom w:w="80" w:type="dxa"/>
              <w:left w:w="100" w:type="dxa"/>
              <w:right w:w="100" w:type="dxa"/>
            </w:tcMar>
          </w:tcPr>
          <w:p>
            <w:r>
              <w:rPr>
                <w:b/>
                <w:color w:val="FFFFFF"/>
                <w:sz w:val="20"/>
              </w:rPr>
              <w:t>Inputs</w:t>
            </w:r>
          </w:p>
        </w:tc>
        <w:tc>
          <w:tcPr>
            <w:tcW w:type="dxa" w:w="2016"/>
            <w:shd w:fill="1B365D"/>
            <w:tcMar>
              <w:top w:w="80" w:type="dxa"/>
              <w:bottom w:w="80" w:type="dxa"/>
              <w:left w:w="100" w:type="dxa"/>
              <w:right w:w="100" w:type="dxa"/>
            </w:tcMar>
          </w:tcPr>
          <w:p>
            <w:r>
              <w:rPr>
                <w:b/>
                <w:color w:val="FFFFFF"/>
                <w:sz w:val="20"/>
              </w:rPr>
              <w:t>Outputs</w:t>
            </w:r>
          </w:p>
        </w:tc>
      </w:tr>
      <w:tr>
        <w:tc>
          <w:tcPr>
            <w:tcW w:type="dxa" w:w="2160"/>
            <w:shd w:fill="FFFFFF"/>
            <w:tcMar>
              <w:top w:w="60" w:type="dxa"/>
              <w:bottom w:w="60" w:type="dxa"/>
              <w:left w:w="100" w:type="dxa"/>
              <w:right w:w="100" w:type="dxa"/>
            </w:tcMar>
          </w:tcPr>
          <w:p>
            <w:r>
              <w:rPr>
                <w:b/>
                <w:sz w:val="19"/>
              </w:rPr>
              <w:t>1. Ingestion &amp; PM Propagation</w:t>
            </w:r>
          </w:p>
        </w:tc>
        <w:tc>
          <w:tcPr>
            <w:tcW w:type="dxa" w:w="3168"/>
            <w:shd w:fill="FFFFFF"/>
            <w:tcMar>
              <w:top w:w="60" w:type="dxa"/>
              <w:bottom w:w="60" w:type="dxa"/>
              <w:left w:w="100" w:type="dxa"/>
              <w:right w:w="100" w:type="dxa"/>
            </w:tcMar>
          </w:tcPr>
          <w:p>
            <w:r>
              <w:rPr>
                <w:sz w:val="19"/>
              </w:rPr>
              <w:t>Queries TAP/VizieR catalogs and applies proper motion epoch drift updates.</w:t>
            </w:r>
          </w:p>
        </w:tc>
        <w:tc>
          <w:tcPr>
            <w:tcW w:type="dxa" w:w="2016"/>
            <w:shd w:fill="FFFFFF"/>
            <w:tcMar>
              <w:top w:w="60" w:type="dxa"/>
              <w:bottom w:w="60" w:type="dxa"/>
              <w:left w:w="100" w:type="dxa"/>
              <w:right w:w="100" w:type="dxa"/>
            </w:tcMar>
          </w:tcPr>
          <w:p>
            <w:r>
              <w:rPr>
                <w:sz w:val="19"/>
              </w:rPr>
              <w:t>Candidate RA/Dec, pmRA/pmDE, Catalog Sources.</w:t>
            </w:r>
          </w:p>
        </w:tc>
        <w:tc>
          <w:tcPr>
            <w:tcW w:type="dxa" w:w="2016"/>
            <w:shd w:fill="FFFFFF"/>
            <w:tcMar>
              <w:top w:w="60" w:type="dxa"/>
              <w:bottom w:w="60" w:type="dxa"/>
              <w:left w:w="100" w:type="dxa"/>
              <w:right w:w="100" w:type="dxa"/>
            </w:tcMar>
          </w:tcPr>
          <w:p>
            <w:r>
              <w:rPr>
                <w:sz w:val="19"/>
              </w:rPr>
              <w:t>Gaia DR3, 2MASS, Spec raw catalog data.</w:t>
            </w:r>
          </w:p>
        </w:tc>
      </w:tr>
      <w:tr>
        <w:tc>
          <w:tcPr>
            <w:tcW w:type="dxa" w:w="2160"/>
            <w:shd w:fill="F9FBFD"/>
            <w:tcMar>
              <w:top w:w="60" w:type="dxa"/>
              <w:bottom w:w="60" w:type="dxa"/>
              <w:left w:w="100" w:type="dxa"/>
              <w:right w:w="100" w:type="dxa"/>
            </w:tcMar>
          </w:tcPr>
          <w:p>
            <w:r>
              <w:rPr>
                <w:b/>
                <w:sz w:val="19"/>
              </w:rPr>
              <w:t>2. Data Fusion &amp; Discrepancy Audit</w:t>
            </w:r>
          </w:p>
        </w:tc>
        <w:tc>
          <w:tcPr>
            <w:tcW w:type="dxa" w:w="3168"/>
            <w:shd w:fill="F9FBFD"/>
            <w:tcMar>
              <w:top w:w="60" w:type="dxa"/>
              <w:bottom w:w="60" w:type="dxa"/>
              <w:left w:w="100" w:type="dxa"/>
              <w:right w:w="100" w:type="dxa"/>
            </w:tcMar>
          </w:tcPr>
          <w:p>
            <w:r>
              <w:rPr>
                <w:sz w:val="19"/>
              </w:rPr>
              <w:t>Computes discrepancy deltas (Delta Teff, Delta Rad) and registers relational DB history.</w:t>
            </w:r>
          </w:p>
        </w:tc>
        <w:tc>
          <w:tcPr>
            <w:tcW w:type="dxa" w:w="2016"/>
            <w:shd w:fill="F9FBFD"/>
            <w:tcMar>
              <w:top w:w="60" w:type="dxa"/>
              <w:bottom w:w="60" w:type="dxa"/>
              <w:left w:w="100" w:type="dxa"/>
              <w:right w:w="100" w:type="dxa"/>
            </w:tcMar>
          </w:tcPr>
          <w:p>
            <w:r>
              <w:rPr>
                <w:sz w:val="19"/>
              </w:rPr>
              <w:t>Raw ingested catalog parameters.</w:t>
            </w:r>
          </w:p>
        </w:tc>
        <w:tc>
          <w:tcPr>
            <w:tcW w:type="dxa" w:w="2016"/>
            <w:shd w:fill="F9FBFD"/>
            <w:tcMar>
              <w:top w:w="60" w:type="dxa"/>
              <w:bottom w:w="60" w:type="dxa"/>
              <w:left w:w="100" w:type="dxa"/>
              <w:right w:w="100" w:type="dxa"/>
            </w:tcMar>
          </w:tcPr>
          <w:p>
            <w:r>
              <w:rPr>
                <w:sz w:val="19"/>
              </w:rPr>
              <w:t>HostStar, ExoplanetCandidate SQLite models.</w:t>
            </w:r>
          </w:p>
        </w:tc>
      </w:tr>
      <w:tr>
        <w:tc>
          <w:tcPr>
            <w:tcW w:type="dxa" w:w="2160"/>
            <w:shd w:fill="FFFFFF"/>
            <w:tcMar>
              <w:top w:w="60" w:type="dxa"/>
              <w:bottom w:w="60" w:type="dxa"/>
              <w:left w:w="100" w:type="dxa"/>
              <w:right w:w="100" w:type="dxa"/>
            </w:tcMar>
          </w:tcPr>
          <w:p>
            <w:r>
              <w:rPr>
                <w:b/>
                <w:sz w:val="19"/>
              </w:rPr>
              <w:t>3. Preprocessing Engine</w:t>
            </w:r>
          </w:p>
        </w:tc>
        <w:tc>
          <w:tcPr>
            <w:tcW w:type="dxa" w:w="3168"/>
            <w:shd w:fill="FFFFFF"/>
            <w:tcMar>
              <w:top w:w="60" w:type="dxa"/>
              <w:bottom w:w="60" w:type="dxa"/>
              <w:left w:w="100" w:type="dxa"/>
              <w:right w:w="100" w:type="dxa"/>
            </w:tcMar>
          </w:tcPr>
          <w:p>
            <w:r>
              <w:rPr>
                <w:sz w:val="19"/>
              </w:rPr>
              <w:t>Detrends light curves and structures Global, Local, and Centroid arrays.</w:t>
            </w:r>
          </w:p>
        </w:tc>
        <w:tc>
          <w:tcPr>
            <w:tcW w:type="dxa" w:w="2016"/>
            <w:shd w:fill="FFFFFF"/>
            <w:tcMar>
              <w:top w:w="60" w:type="dxa"/>
              <w:bottom w:w="60" w:type="dxa"/>
              <w:left w:w="100" w:type="dxa"/>
              <w:right w:w="100" w:type="dxa"/>
            </w:tcMar>
          </w:tcPr>
          <w:p>
            <w:r>
              <w:rPr>
                <w:sz w:val="19"/>
              </w:rPr>
              <w:t>Raw time-series time, flux, centroid pixel arrays.</w:t>
            </w:r>
          </w:p>
        </w:tc>
        <w:tc>
          <w:tcPr>
            <w:tcW w:type="dxa" w:w="2016"/>
            <w:shd w:fill="FFFFFF"/>
            <w:tcMar>
              <w:top w:w="60" w:type="dxa"/>
              <w:bottom w:w="60" w:type="dxa"/>
              <w:left w:w="100" w:type="dxa"/>
              <w:right w:w="100" w:type="dxa"/>
            </w:tcMar>
          </w:tcPr>
          <w:p>
            <w:r>
              <w:rPr>
                <w:sz w:val="19"/>
              </w:rPr>
              <w:t>2001-bin Global LC, 201-bin Local LC, 201-bin Centroid dx/dy matrix.</w:t>
            </w:r>
          </w:p>
        </w:tc>
      </w:tr>
      <w:tr>
        <w:tc>
          <w:tcPr>
            <w:tcW w:type="dxa" w:w="2160"/>
            <w:shd w:fill="F9FBFD"/>
            <w:tcMar>
              <w:top w:w="60" w:type="dxa"/>
              <w:bottom w:w="60" w:type="dxa"/>
              <w:left w:w="100" w:type="dxa"/>
              <w:right w:w="100" w:type="dxa"/>
            </w:tcMar>
          </w:tcPr>
          <w:p>
            <w:r>
              <w:rPr>
                <w:b/>
                <w:sz w:val="19"/>
              </w:rPr>
              <w:t>4. 4-Branch Vetting Engine</w:t>
            </w:r>
          </w:p>
        </w:tc>
        <w:tc>
          <w:tcPr>
            <w:tcW w:type="dxa" w:w="3168"/>
            <w:shd w:fill="F9FBFD"/>
            <w:tcMar>
              <w:top w:w="60" w:type="dxa"/>
              <w:bottom w:w="60" w:type="dxa"/>
              <w:left w:w="100" w:type="dxa"/>
              <w:right w:w="100" w:type="dxa"/>
            </w:tcMar>
          </w:tcPr>
          <w:p>
            <w:r>
              <w:rPr>
                <w:sz w:val="19"/>
              </w:rPr>
              <w:t>Performs deep late-fusion classification into 4 physical categories.</w:t>
            </w:r>
          </w:p>
        </w:tc>
        <w:tc>
          <w:tcPr>
            <w:tcW w:type="dxa" w:w="2016"/>
            <w:shd w:fill="F9FBFD"/>
            <w:tcMar>
              <w:top w:w="60" w:type="dxa"/>
              <w:bottom w:w="60" w:type="dxa"/>
              <w:left w:w="100" w:type="dxa"/>
              <w:right w:w="100" w:type="dxa"/>
            </w:tcMar>
          </w:tcPr>
          <w:p>
            <w:r>
              <w:rPr>
                <w:sz w:val="19"/>
              </w:rPr>
              <w:t>Global, Local, Centroid arrays + 16 normalized metadata parameters.</w:t>
            </w:r>
          </w:p>
        </w:tc>
        <w:tc>
          <w:tcPr>
            <w:tcW w:type="dxa" w:w="2016"/>
            <w:shd w:fill="F9FBFD"/>
            <w:tcMar>
              <w:top w:w="60" w:type="dxa"/>
              <w:bottom w:w="60" w:type="dxa"/>
              <w:left w:w="100" w:type="dxa"/>
              <w:right w:w="100" w:type="dxa"/>
            </w:tcMar>
          </w:tcPr>
          <w:p>
            <w:r>
              <w:rPr>
                <w:sz w:val="19"/>
              </w:rPr>
              <w:t>4-Class Probabilities (Planet, EB, Activity, Noise).</w:t>
            </w:r>
          </w:p>
        </w:tc>
      </w:tr>
      <w:tr>
        <w:tc>
          <w:tcPr>
            <w:tcW w:type="dxa" w:w="2160"/>
            <w:shd w:fill="FFFFFF"/>
            <w:tcMar>
              <w:top w:w="60" w:type="dxa"/>
              <w:bottom w:w="60" w:type="dxa"/>
              <w:left w:w="100" w:type="dxa"/>
              <w:right w:w="100" w:type="dxa"/>
            </w:tcMar>
          </w:tcPr>
          <w:p>
            <w:r>
              <w:rPr>
                <w:b/>
                <w:sz w:val="19"/>
              </w:rPr>
              <w:t>5. Physics Safety Audit</w:t>
            </w:r>
          </w:p>
        </w:tc>
        <w:tc>
          <w:tcPr>
            <w:tcW w:type="dxa" w:w="3168"/>
            <w:shd w:fill="FFFFFF"/>
            <w:tcMar>
              <w:top w:w="60" w:type="dxa"/>
              <w:bottom w:w="60" w:type="dxa"/>
              <w:left w:w="100" w:type="dxa"/>
              <w:right w:w="100" w:type="dxa"/>
            </w:tcMar>
          </w:tcPr>
          <w:p>
            <w:r>
              <w:rPr>
                <w:sz w:val="19"/>
              </w:rPr>
              <w:t>Runs deterministic size veto checks and calculates Evidence Health Grades (A-F).</w:t>
            </w:r>
          </w:p>
        </w:tc>
        <w:tc>
          <w:tcPr>
            <w:tcW w:type="dxa" w:w="2016"/>
            <w:shd w:fill="FFFFFF"/>
            <w:tcMar>
              <w:top w:w="60" w:type="dxa"/>
              <w:bottom w:w="60" w:type="dxa"/>
              <w:left w:w="100" w:type="dxa"/>
              <w:right w:w="100" w:type="dxa"/>
            </w:tcMar>
          </w:tcPr>
          <w:p>
            <w:r>
              <w:rPr>
                <w:sz w:val="19"/>
              </w:rPr>
              <w:t>Neural net probabilities, derived planet size, density deltas.</w:t>
            </w:r>
          </w:p>
        </w:tc>
        <w:tc>
          <w:tcPr>
            <w:tcW w:type="dxa" w:w="2016"/>
            <w:shd w:fill="FFFFFF"/>
            <w:tcMar>
              <w:top w:w="60" w:type="dxa"/>
              <w:bottom w:w="60" w:type="dxa"/>
              <w:left w:w="100" w:type="dxa"/>
              <w:right w:w="100" w:type="dxa"/>
            </w:tcMar>
          </w:tcPr>
          <w:p>
            <w:r>
              <w:rPr>
                <w:sz w:val="19"/>
              </w:rPr>
              <w:t>Calibrated planet probabilities, Health Grade (A-F), and alerts.</w:t>
            </w:r>
          </w:p>
        </w:tc>
      </w:tr>
    </w:tbl>
    <w:p>
      <w:r>
        <w:br w:type="page"/>
      </w:r>
    </w:p>
    <w:p>
      <w:pPr>
        <w:keepNext/>
        <w:spacing w:before="240" w:after="120"/>
      </w:pPr>
      <w:r>
        <w:rPr>
          <w:rFonts w:ascii="Times New Roman" w:hAnsi="Times New Roman"/>
          <w:b/>
          <w:sz w:val="28"/>
        </w:rPr>
        <w:t>3. System Workflow</w:t>
      </w:r>
    </w:p>
    <w:p>
      <w:r>
        <w:t>The workflow of the system moves from raw ingestion to model evaluation and frontend updating. The sequence below enforces physical validation gates before the results are finalized in the database:</w:t>
      </w:r>
    </w:p>
    <w:p>
      <w:pPr>
        <w:keepNext/>
        <w:spacing w:before="160" w:after="80"/>
      </w:pPr>
      <w:r>
        <w:rPr>
          <w:rFonts w:ascii="Times New Roman" w:hAnsi="Times New Roman"/>
          <w:b/>
          <w:sz w:val="24"/>
        </w:rPr>
        <w:t>System Flowchart</w:t>
      </w:r>
    </w:p>
    <w:p>
      <w:pPr>
        <w:spacing w:after="240"/>
        <w:jc w:val="center"/>
      </w:pPr>
      <w:r>
        <w:rPr>
          <w:rFonts w:ascii="Consolas" w:hAnsi="Consolas"/>
          <w:sz w:val="19"/>
        </w:rPr>
        <w:t xml:space="preserve">   [ START: Raw Target Candidates Ingest ]</w:t>
        <w:br/>
        <w:t xml:space="preserve">                     |</w:t>
        <w:br/>
        <w:t xml:space="preserve">                     v</w:t>
        <w:br/>
        <w:t xml:space="preserve">   [ Calculate Astrometric Proper Motion ]</w:t>
        <w:br/>
        <w:t xml:space="preserve">   (Update RA/Dec from J2000 to Gaia J2016.0)</w:t>
        <w:br/>
        <w:t xml:space="preserve">                     |</w:t>
        <w:br/>
        <w:t xml:space="preserve">                     v</w:t>
        <w:br/>
        <w:t xml:space="preserve">   [ Query VizieR / TAP Cross-Matching ]</w:t>
        <w:br/>
        <w:t xml:space="preserve">   (Retrieve Gaia DR3, 2MASS, and Spectroscopy)</w:t>
        <w:br/>
        <w:t xml:space="preserve">                     |</w:t>
        <w:br/>
        <w:t xml:space="preserve">                     v</w:t>
        <w:br/>
        <w:t xml:space="preserve">   [ Compute Discrepancy &amp; Agreement Metrics ]</w:t>
        <w:br/>
        <w:t xml:space="preserve">   (Compute Delta Teff, Delta Rad, and Gaia RUWE)</w:t>
        <w:br/>
        <w:t xml:space="preserve">                     |</w:t>
        <w:br/>
        <w:t xml:space="preserve">                     v</w:t>
        <w:br/>
        <w:t xml:space="preserve">   [ Time-Series &amp; Centroid Signal Preprocessing ]</w:t>
        <w:br/>
        <w:t xml:space="preserve">   (Detrend Light Curve, Phase Fold, Resample to CNN)</w:t>
        <w:br/>
        <w:t xml:space="preserve">                     |</w:t>
        <w:br/>
        <w:t xml:space="preserve">                     v</w:t>
        <w:br/>
        <w:t xml:space="preserve">   [ Unified 4-Branch Neural Network Inference ]</w:t>
        <w:br/>
        <w:t xml:space="preserve">   (Fuses Global, Local, Centroid CNNs &amp; MLP Branch)</w:t>
        <w:br/>
        <w:t xml:space="preserve">                     |</w:t>
        <w:br/>
        <w:t xml:space="preserve">                     v</w:t>
        <w:br/>
        <w:t xml:space="preserve">     /---------------------------------\</w:t>
        <w:br/>
        <w:t xml:space="preserve">    / Is Derived Planet Size &gt; 22.0 Re? \</w:t>
        <w:br/>
        <w:t xml:space="preserve">    \     (Unphysical Size Override)     /</w:t>
        <w:br/>
        <w:t xml:space="preserve">     \---------------------------------/</w:t>
        <w:br/>
        <w:t xml:space="preserve">            /                     \</w:t>
        <w:br/>
        <w:t xml:space="preserve">      YES  /                       \  NO</w:t>
        <w:br/>
        <w:t xml:space="preserve">          v                         v</w:t>
        <w:br/>
        <w:t xml:space="preserve">   [ CAPPED: Planet Prob &lt;= 4.0% ]   [ Use Raw Model Probabilities ]</w:t>
        <w:br/>
        <w:t xml:space="preserve">   [ EB Probability set to 95.0% ]   [ Keep Neural Net Classifications ]</w:t>
        <w:br/>
        <w:t xml:space="preserve">          \                         /</w:t>
        <w:br/>
        <w:t xml:space="preserve">           \                       /</w:t>
        <w:br/>
        <w:t xml:space="preserve">            +----------+----------+</w:t>
        <w:br/>
        <w:t xml:space="preserve">                       |</w:t>
        <w:br/>
        <w:t xml:space="preserve">                       v</w:t>
        <w:br/>
        <w:t xml:space="preserve">   [ Evaluate Stellar Density Invariants ]</w:t>
        <w:br/>
        <w:t xml:space="preserve">   (Transit Density vs Gaia Density agreement check)</w:t>
        <w:br/>
        <w:t xml:space="preserve">                       |</w:t>
        <w:br/>
        <w:t xml:space="preserve">                       v</w:t>
        <w:br/>
        <w:t xml:space="preserve">   [ Compute Evidence Health Grade (A-F) ]</w:t>
        <w:br/>
        <w:t xml:space="preserve">   (Deduct points for discrepancies and high RUWE)</w:t>
        <w:br/>
        <w:t xml:space="preserve">                       |</w:t>
        <w:br/>
        <w:t xml:space="preserve">                       v</w:t>
        <w:br/>
        <w:t xml:space="preserve">   [ Write Results to DB &amp; Sync Frontend ]</w:t>
        <w:br/>
        <w:t xml:space="preserve">                     |</w:t>
        <w:br/>
        <w:t xml:space="preserve">                     v</w:t>
        <w:br/>
        <w:t xml:space="preserve">               [ END OF CYCLE ]</w:t>
      </w:r>
    </w:p>
    <w:p>
      <w:r>
        <w:br w:type="page"/>
      </w:r>
    </w:p>
    <w:p>
      <w:pPr>
        <w:keepNext/>
        <w:spacing w:before="240" w:after="120"/>
      </w:pPr>
      <w:r>
        <w:rPr>
          <w:rFonts w:ascii="Times New Roman" w:hAnsi="Times New Roman"/>
          <w:b/>
          <w:sz w:val="28"/>
        </w:rPr>
        <w:t>4. Design Artefacts</w:t>
      </w:r>
    </w:p>
    <w:p>
      <w:r>
        <w:t>To rigorously document the system structure, this section presents four design artefacts: a Data Flow Diagram (DFD) showing process levels, an Entity Relationship Diagram (ERD) mapping the database relationships, a detailed Data Dictionary, and the Pseudocode of the core physics safety audit algorithm.</w:t>
      </w:r>
    </w:p>
    <w:p>
      <w:pPr>
        <w:keepNext/>
        <w:spacing w:before="160" w:after="80"/>
      </w:pPr>
      <w:r>
        <w:rPr>
          <w:rFonts w:ascii="Times New Roman" w:hAnsi="Times New Roman"/>
          <w:b/>
          <w:sz w:val="24"/>
        </w:rPr>
        <w:t>Artefact A: Data Flow Diagram (DFD)</w:t>
      </w:r>
    </w:p>
    <w:p>
      <w:pPr>
        <w:spacing w:after="240"/>
        <w:jc w:val="center"/>
      </w:pPr>
      <w:r>
        <w:rPr>
          <w:rFonts w:ascii="Consolas" w:hAnsi="Consolas"/>
          <w:sz w:val="17"/>
        </w:rPr>
        <w:t xml:space="preserve">  +-----------------+                                                          </w:t>
        <w:br/>
        <w:t xml:space="preserve">  |  Space Catalogs | (NASA Archive, Gaia DR3, 2MASS phot)                     </w:t>
        <w:br/>
        <w:t xml:space="preserve">  +--------+--------+                                                          </w:t>
        <w:br/>
        <w:t xml:space="preserve">           | Raw coordinates &amp; photometries                                    </w:t>
        <w:br/>
        <w:t xml:space="preserve">           v                                                                   </w:t>
        <w:br/>
        <w:t xml:space="preserve">    (( Process 1.0: Ingestion &amp; Epoch Alignment ))                             </w:t>
        <w:br/>
        <w:t xml:space="preserve">           | Coordinate matched &amp; corrected records                            </w:t>
        <w:br/>
        <w:t xml:space="preserve">           v                                                                   </w:t>
        <w:br/>
        <w:t xml:space="preserve">  +-----------------+                                                          </w:t>
        <w:br/>
        <w:t xml:space="preserve">  |   SQL Database  | [(SQLite: HostStar, Candidate, Metrics)]                 </w:t>
        <w:br/>
        <w:t xml:space="preserve">  +--------+--------+                                                          </w:t>
        <w:br/>
        <w:t xml:space="preserve">           | Ingested target lists                                             </w:t>
        <w:br/>
        <w:t xml:space="preserve">           v                                                                   </w:t>
        <w:br/>
        <w:t xml:space="preserve">    (( Process 2.0: ML Vetting Pipeline ))                                     </w:t>
        <w:br/>
        <w:t xml:space="preserve">           | Folded time-series &amp; metadata                                     </w:t>
        <w:br/>
        <w:t xml:space="preserve">           v                                                                   </w:t>
        <w:br/>
        <w:t xml:space="preserve">    (( Process 3.0: Physics Safety Audit ))                                    </w:t>
        <w:br/>
        <w:t xml:space="preserve">           | Calibrated probabilities, alerts, &amp; grades                        </w:t>
        <w:br/>
        <w:t xml:space="preserve">           v                                                                   </w:t>
        <w:br/>
        <w:t xml:space="preserve">  +-----------------+                                                          </w:t>
        <w:br/>
        <w:t xml:space="preserve">  |   SQL Database  | (Writes MLPredictions, Alerts)                           </w:t>
        <w:br/>
        <w:t xml:space="preserve">  +--------+--------+                                                          </w:t>
        <w:br/>
        <w:t xml:space="preserve">           | Telemetry updates                                                 </w:t>
        <w:br/>
        <w:t xml:space="preserve">           v                                                                   </w:t>
        <w:br/>
        <w:t xml:space="preserve">    (( Process 4.0: Next.js Observatory UI ))                                  </w:t>
        <w:br/>
        <w:t xml:space="preserve">           | Visual interface charts &amp; tables                                  </w:t>
        <w:br/>
        <w:t xml:space="preserve">           v                                                                   </w:t>
        <w:br/>
        <w:t xml:space="preserve">  +-----------------+                                                          </w:t>
        <w:br/>
        <w:t xml:space="preserve">  |    Curator UI   | (Interactive visual dashboards)                          </w:t>
        <w:br/>
        <w:t xml:space="preserve">  +-----------------+</w:t>
      </w:r>
    </w:p>
    <w:p>
      <w:pPr>
        <w:keepNext/>
        <w:spacing w:before="160" w:after="80"/>
      </w:pPr>
      <w:r>
        <w:rPr>
          <w:rFonts w:ascii="Times New Roman" w:hAnsi="Times New Roman"/>
          <w:b/>
          <w:sz w:val="24"/>
        </w:rPr>
        <w:t>Artefact B: Entity Relationship Diagram (ERD)</w:t>
      </w:r>
    </w:p>
    <w:p>
      <w:pPr>
        <w:spacing w:after="240"/>
        <w:jc w:val="center"/>
      </w:pPr>
      <w:r>
        <w:rPr>
          <w:rFonts w:ascii="Consolas" w:hAnsi="Consolas"/>
          <w:sz w:val="17"/>
        </w:rPr>
        <w:t xml:space="preserve">  +----------------------+             +--------------------------+</w:t>
        <w:br/>
        <w:t xml:space="preserve">  |       HOST_STARS     |             |    EXOPLANET_CANDIDATES  |</w:t>
        <w:br/>
        <w:t xml:space="preserve">  +----------------------+             +--------------------------+</w:t>
        <w:br/>
        <w:t xml:space="preserve">  | PK | id (UUID)       |&lt;----------- | PK | id (UUID)           |</w:t>
        <w:br/>
        <w:t xml:space="preserve">  |    | hostname (str)  | 1       0..*| FK | host_id (UUID)      |</w:t>
        <w:br/>
        <w:t xml:space="preserve">  |    | ra, dec (Float) |             |    | tic_id (Int)        |</w:t>
        <w:br/>
        <w:t xml:space="preserve">  |    | parallax, dist  |             |    | pl_name (str)       |</w:t>
        <w:br/>
        <w:t xml:space="preserve">  |    | ruwe (Float)    |             |    | disposition (str)   |</w:t>
        <w:br/>
        <w:t xml:space="preserve">  |    | j_mag, k_mag    |             |    | density_transit     |</w:t>
        <w:br/>
        <w:t xml:space="preserve">  |    | teff_spec, fe_h |             |    | density_gaia        |</w:t>
        <w:br/>
        <w:t xml:space="preserve">  +----------------------+             |    | health_grade (str)  |</w:t>
        <w:br/>
        <w:t xml:space="preserve">                                       +------------+-------------+</w:t>
        <w:br/>
        <w:t xml:space="preserve">                                                    |              </w:t>
        <w:br/>
        <w:t xml:space="preserve">                         +--------------------------+--------------------------+</w:t>
        <w:br/>
        <w:t xml:space="preserve">                         |                          |                          |</w:t>
        <w:br/>
        <w:t xml:space="preserve">                         v 1                        v 1                        v 1</w:t>
        <w:br/>
        <w:t xml:space="preserve">            +--------------------------+  +--------------------------+  +--------------------------+</w:t>
        <w:br/>
        <w:t xml:space="preserve">            |    AGREEMENT_METRICS     |  |      ML_PREDICTIONS      |  |    MEASUREMENT_HISTORY   |</w:t>
        <w:br/>
        <w:t xml:space="preserve">            +--------------------------+  +--------------------------+  +--------------------------+</w:t>
        <w:br/>
        <w:t xml:space="preserve">            | PK | id (UUID)           |  | PK | id (UUID)           |  | PK | id (UUID)           |</w:t>
        <w:br/>
        <w:t xml:space="preserve">            | FK | candidate_id (UUID) |  | FK | candidate_id (UUID) |  | FK | candidate_id (UUID) |</w:t>
        <w:br/>
        <w:t xml:space="preserve">            |    | teff_disagreement   |  |    | confirmation_prob   |  | FK | source_id (UUID)    |</w:t>
        <w:br/>
        <w:t xml:space="preserve">            |    | rad_disagreement    |  |    | prob_planet, prob_eb|  |    | parameter_name (str)|</w:t>
        <w:br/>
        <w:t xml:space="preserve">            |    | derived_rp_diff     |  |    | prob_activity, noise|  |    | value (Float)       |</w:t>
        <w:br/>
        <w:t xml:space="preserve">            |    | is_unphysical_rp    |  |    | features_used (JSON)|  |    | measured_at (Date)  |</w:t>
        <w:br/>
        <w:t xml:space="preserve">            +--------------------------+  +--------------------------+  +--------------------------+</w:t>
      </w:r>
    </w:p>
    <w:p>
      <w:r>
        <w:br w:type="page"/>
      </w:r>
    </w:p>
    <w:p>
      <w:pPr>
        <w:keepNext/>
        <w:spacing w:before="160" w:after="80"/>
      </w:pPr>
      <w:r>
        <w:rPr>
          <w:rFonts w:ascii="Times New Roman" w:hAnsi="Times New Roman"/>
          <w:b/>
          <w:sz w:val="24"/>
        </w:rPr>
        <w:t>Artefact C: Data Dictionary</w:t>
      </w:r>
    </w:p>
    <w:p>
      <w:r>
        <w:rPr>
          <w:b/>
        </w:rPr>
        <w:t>Table A: HostStar (Stellar Property Records)</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c>
          <w:tcPr>
            <w:tcW w:type="dxa" w:w="2160"/>
            <w:shd w:fill="1B365D"/>
            <w:tcMar>
              <w:top w:w="60" w:type="dxa"/>
              <w:bottom w:w="60" w:type="dxa"/>
              <w:left w:w="80" w:type="dxa"/>
              <w:right w:w="80" w:type="dxa"/>
            </w:tcMar>
          </w:tcPr>
          <w:p>
            <w:r>
              <w:rPr>
                <w:b/>
                <w:color w:val="FFFFFF"/>
                <w:sz w:val="19"/>
              </w:rPr>
              <w:t>Column Name</w:t>
            </w:r>
          </w:p>
        </w:tc>
        <w:tc>
          <w:tcPr>
            <w:tcW w:type="dxa" w:w="1728"/>
            <w:shd w:fill="1B365D"/>
            <w:tcMar>
              <w:top w:w="60" w:type="dxa"/>
              <w:bottom w:w="60" w:type="dxa"/>
              <w:left w:w="80" w:type="dxa"/>
              <w:right w:w="80" w:type="dxa"/>
            </w:tcMar>
          </w:tcPr>
          <w:p>
            <w:r>
              <w:rPr>
                <w:b/>
                <w:color w:val="FFFFFF"/>
                <w:sz w:val="19"/>
              </w:rPr>
              <w:t>Data Type</w:t>
            </w:r>
          </w:p>
        </w:tc>
        <w:tc>
          <w:tcPr>
            <w:tcW w:type="dxa" w:w="2160"/>
            <w:shd w:fill="1B365D"/>
            <w:tcMar>
              <w:top w:w="60" w:type="dxa"/>
              <w:bottom w:w="60" w:type="dxa"/>
              <w:left w:w="80" w:type="dxa"/>
              <w:right w:w="80" w:type="dxa"/>
            </w:tcMar>
          </w:tcPr>
          <w:p>
            <w:r>
              <w:rPr>
                <w:b/>
                <w:color w:val="FFFFFF"/>
                <w:sz w:val="19"/>
              </w:rPr>
              <w:t>Constraints</w:t>
            </w:r>
          </w:p>
        </w:tc>
        <w:tc>
          <w:tcPr>
            <w:tcW w:type="dxa" w:w="3312"/>
            <w:shd w:fill="1B365D"/>
            <w:tcMar>
              <w:top w:w="60" w:type="dxa"/>
              <w:bottom w:w="60" w:type="dxa"/>
              <w:left w:w="80" w:type="dxa"/>
              <w:right w:w="80" w:type="dxa"/>
            </w:tcMar>
          </w:tcPr>
          <w:p>
            <w:r>
              <w:rPr>
                <w:b/>
                <w:color w:val="FFFFFF"/>
                <w:sz w:val="19"/>
              </w:rPr>
              <w:t>Description</w:t>
            </w:r>
          </w:p>
        </w:tc>
      </w:tr>
      <w:tr>
        <w:tc>
          <w:tcPr>
            <w:tcW w:type="dxa" w:w="2160"/>
            <w:shd w:fill="FFFFFF"/>
            <w:tcMar>
              <w:top w:w="50" w:type="dxa"/>
              <w:bottom w:w="50" w:type="dxa"/>
              <w:left w:w="80" w:type="dxa"/>
              <w:right w:w="80" w:type="dxa"/>
            </w:tcMar>
          </w:tcPr>
          <w:p>
            <w:r>
              <w:rPr>
                <w:b/>
                <w:sz w:val="18"/>
              </w:rPr>
              <w:t>id</w:t>
            </w:r>
          </w:p>
        </w:tc>
        <w:tc>
          <w:tcPr>
            <w:tcW w:type="dxa" w:w="1728"/>
            <w:shd w:fill="FFFFFF"/>
            <w:tcMar>
              <w:top w:w="50" w:type="dxa"/>
              <w:bottom w:w="50" w:type="dxa"/>
              <w:left w:w="80" w:type="dxa"/>
              <w:right w:w="80" w:type="dxa"/>
            </w:tcMar>
          </w:tcPr>
          <w:p>
            <w:r>
              <w:rPr>
                <w:sz w:val="18"/>
              </w:rPr>
              <w:t>UUID</w:t>
            </w:r>
          </w:p>
        </w:tc>
        <w:tc>
          <w:tcPr>
            <w:tcW w:type="dxa" w:w="2160"/>
            <w:shd w:fill="FFFFFF"/>
            <w:tcMar>
              <w:top w:w="50" w:type="dxa"/>
              <w:bottom w:w="50" w:type="dxa"/>
              <w:left w:w="80" w:type="dxa"/>
              <w:right w:w="80" w:type="dxa"/>
            </w:tcMar>
          </w:tcPr>
          <w:p>
            <w:r>
              <w:rPr>
                <w:sz w:val="18"/>
              </w:rPr>
              <w:t>PRIMARY KEY, Not Null</w:t>
            </w:r>
          </w:p>
        </w:tc>
        <w:tc>
          <w:tcPr>
            <w:tcW w:type="dxa" w:w="3312"/>
            <w:shd w:fill="FFFFFF"/>
            <w:tcMar>
              <w:top w:w="50" w:type="dxa"/>
              <w:bottom w:w="50" w:type="dxa"/>
              <w:left w:w="80" w:type="dxa"/>
              <w:right w:w="80" w:type="dxa"/>
            </w:tcMar>
          </w:tcPr>
          <w:p>
            <w:r>
              <w:rPr>
                <w:sz w:val="18"/>
              </w:rPr>
              <w:t>Unique internal database surrogate key.</w:t>
            </w:r>
          </w:p>
        </w:tc>
      </w:tr>
      <w:tr>
        <w:tc>
          <w:tcPr>
            <w:tcW w:type="dxa" w:w="2160"/>
            <w:shd w:fill="F9FBFD"/>
            <w:tcMar>
              <w:top w:w="50" w:type="dxa"/>
              <w:bottom w:w="50" w:type="dxa"/>
              <w:left w:w="80" w:type="dxa"/>
              <w:right w:w="80" w:type="dxa"/>
            </w:tcMar>
          </w:tcPr>
          <w:p>
            <w:r>
              <w:rPr>
                <w:b/>
                <w:sz w:val="18"/>
              </w:rPr>
              <w:t>hostname</w:t>
            </w:r>
          </w:p>
        </w:tc>
        <w:tc>
          <w:tcPr>
            <w:tcW w:type="dxa" w:w="1728"/>
            <w:shd w:fill="F9FBFD"/>
            <w:tcMar>
              <w:top w:w="50" w:type="dxa"/>
              <w:bottom w:w="50" w:type="dxa"/>
              <w:left w:w="80" w:type="dxa"/>
              <w:right w:w="80" w:type="dxa"/>
            </w:tcMar>
          </w:tcPr>
          <w:p>
            <w:r>
              <w:rPr>
                <w:sz w:val="18"/>
              </w:rPr>
              <w:t>VARCHAR(64)</w:t>
            </w:r>
          </w:p>
        </w:tc>
        <w:tc>
          <w:tcPr>
            <w:tcW w:type="dxa" w:w="2160"/>
            <w:shd w:fill="F9FBFD"/>
            <w:tcMar>
              <w:top w:w="50" w:type="dxa"/>
              <w:bottom w:w="50" w:type="dxa"/>
              <w:left w:w="80" w:type="dxa"/>
              <w:right w:w="80" w:type="dxa"/>
            </w:tcMar>
          </w:tcPr>
          <w:p>
            <w:r>
              <w:rPr>
                <w:sz w:val="18"/>
              </w:rPr>
              <w:t>Unique, Not Null</w:t>
            </w:r>
          </w:p>
        </w:tc>
        <w:tc>
          <w:tcPr>
            <w:tcW w:type="dxa" w:w="3312"/>
            <w:shd w:fill="F9FBFD"/>
            <w:tcMar>
              <w:top w:w="50" w:type="dxa"/>
              <w:bottom w:w="50" w:type="dxa"/>
              <w:left w:w="80" w:type="dxa"/>
              <w:right w:w="80" w:type="dxa"/>
            </w:tcMar>
          </w:tcPr>
          <w:p>
            <w:r>
              <w:rPr>
                <w:sz w:val="18"/>
              </w:rPr>
              <w:t>Star catalog identifier (e.g. TIC 150428135).</w:t>
            </w:r>
          </w:p>
        </w:tc>
      </w:tr>
      <w:tr>
        <w:tc>
          <w:tcPr>
            <w:tcW w:type="dxa" w:w="2160"/>
            <w:shd w:fill="FFFFFF"/>
            <w:tcMar>
              <w:top w:w="50" w:type="dxa"/>
              <w:bottom w:w="50" w:type="dxa"/>
              <w:left w:w="80" w:type="dxa"/>
              <w:right w:w="80" w:type="dxa"/>
            </w:tcMar>
          </w:tcPr>
          <w:p>
            <w:r>
              <w:rPr>
                <w:b/>
                <w:sz w:val="18"/>
              </w:rPr>
              <w:t>ra, dec</w:t>
            </w:r>
          </w:p>
        </w:tc>
        <w:tc>
          <w:tcPr>
            <w:tcW w:type="dxa" w:w="1728"/>
            <w:shd w:fill="FFFFFF"/>
            <w:tcMar>
              <w:top w:w="50" w:type="dxa"/>
              <w:bottom w:w="50" w:type="dxa"/>
              <w:left w:w="80" w:type="dxa"/>
              <w:right w:w="80" w:type="dxa"/>
            </w:tcMar>
          </w:tcPr>
          <w:p>
            <w:r>
              <w:rPr>
                <w:sz w:val="18"/>
              </w:rPr>
              <w:t>FLOAT</w:t>
            </w:r>
          </w:p>
        </w:tc>
        <w:tc>
          <w:tcPr>
            <w:tcW w:type="dxa" w:w="2160"/>
            <w:shd w:fill="FFFFFF"/>
            <w:tcMar>
              <w:top w:w="50" w:type="dxa"/>
              <w:bottom w:w="50" w:type="dxa"/>
              <w:left w:w="80" w:type="dxa"/>
              <w:right w:w="80" w:type="dxa"/>
            </w:tcMar>
          </w:tcPr>
          <w:p>
            <w:r>
              <w:rPr>
                <w:sz w:val="18"/>
              </w:rPr>
              <w:t>Not Null</w:t>
            </w:r>
          </w:p>
        </w:tc>
        <w:tc>
          <w:tcPr>
            <w:tcW w:type="dxa" w:w="3312"/>
            <w:shd w:fill="FFFFFF"/>
            <w:tcMar>
              <w:top w:w="50" w:type="dxa"/>
              <w:bottom w:w="50" w:type="dxa"/>
              <w:left w:w="80" w:type="dxa"/>
              <w:right w:w="80" w:type="dxa"/>
            </w:tcMar>
          </w:tcPr>
          <w:p>
            <w:r>
              <w:rPr>
                <w:sz w:val="18"/>
              </w:rPr>
              <w:t>Observational RA/Dec coordinates in decimal degrees.</w:t>
            </w:r>
          </w:p>
        </w:tc>
      </w:tr>
      <w:tr>
        <w:tc>
          <w:tcPr>
            <w:tcW w:type="dxa" w:w="2160"/>
            <w:shd w:fill="F9FBFD"/>
            <w:tcMar>
              <w:top w:w="50" w:type="dxa"/>
              <w:bottom w:w="50" w:type="dxa"/>
              <w:left w:w="80" w:type="dxa"/>
              <w:right w:w="80" w:type="dxa"/>
            </w:tcMar>
          </w:tcPr>
          <w:p>
            <w:r>
              <w:rPr>
                <w:b/>
                <w:sz w:val="18"/>
              </w:rPr>
              <w:t>ruwe</w:t>
            </w:r>
          </w:p>
        </w:tc>
        <w:tc>
          <w:tcPr>
            <w:tcW w:type="dxa" w:w="1728"/>
            <w:shd w:fill="F9FBFD"/>
            <w:tcMar>
              <w:top w:w="50" w:type="dxa"/>
              <w:bottom w:w="50" w:type="dxa"/>
              <w:left w:w="80" w:type="dxa"/>
              <w:right w:w="80" w:type="dxa"/>
            </w:tcMar>
          </w:tcPr>
          <w:p>
            <w:r>
              <w:rPr>
                <w:sz w:val="18"/>
              </w:rPr>
              <w:t>FLOAT</w:t>
            </w:r>
          </w:p>
        </w:tc>
        <w:tc>
          <w:tcPr>
            <w:tcW w:type="dxa" w:w="2160"/>
            <w:shd w:fill="F9FBFD"/>
            <w:tcMar>
              <w:top w:w="50" w:type="dxa"/>
              <w:bottom w:w="50" w:type="dxa"/>
              <w:left w:w="80" w:type="dxa"/>
              <w:right w:w="80" w:type="dxa"/>
            </w:tcMar>
          </w:tcPr>
          <w:p>
            <w:r>
              <w:rPr>
                <w:sz w:val="18"/>
              </w:rPr>
              <w:t>Nullable</w:t>
            </w:r>
          </w:p>
        </w:tc>
        <w:tc>
          <w:tcPr>
            <w:tcW w:type="dxa" w:w="3312"/>
            <w:shd w:fill="F9FBFD"/>
            <w:tcMar>
              <w:top w:w="50" w:type="dxa"/>
              <w:bottom w:w="50" w:type="dxa"/>
              <w:left w:w="80" w:type="dxa"/>
              <w:right w:w="80" w:type="dxa"/>
            </w:tcMar>
          </w:tcPr>
          <w:p>
            <w:r>
              <w:rPr>
                <w:sz w:val="18"/>
              </w:rPr>
              <w:t>Gaia DR3 astrometric Renormalized Unit Weight Error.</w:t>
            </w:r>
          </w:p>
        </w:tc>
      </w:tr>
      <w:tr>
        <w:tc>
          <w:tcPr>
            <w:tcW w:type="dxa" w:w="2160"/>
            <w:shd w:fill="FFFFFF"/>
            <w:tcMar>
              <w:top w:w="50" w:type="dxa"/>
              <w:bottom w:w="50" w:type="dxa"/>
              <w:left w:w="80" w:type="dxa"/>
              <w:right w:w="80" w:type="dxa"/>
            </w:tcMar>
          </w:tcPr>
          <w:p>
            <w:r>
              <w:rPr>
                <w:b/>
                <w:sz w:val="18"/>
              </w:rPr>
              <w:t>teff_spec</w:t>
            </w:r>
          </w:p>
        </w:tc>
        <w:tc>
          <w:tcPr>
            <w:tcW w:type="dxa" w:w="1728"/>
            <w:shd w:fill="FFFFFF"/>
            <w:tcMar>
              <w:top w:w="50" w:type="dxa"/>
              <w:bottom w:w="50" w:type="dxa"/>
              <w:left w:w="80" w:type="dxa"/>
              <w:right w:w="80" w:type="dxa"/>
            </w:tcMar>
          </w:tcPr>
          <w:p>
            <w:r>
              <w:rPr>
                <w:sz w:val="18"/>
              </w:rPr>
              <w:t>FLOAT</w:t>
            </w:r>
          </w:p>
        </w:tc>
        <w:tc>
          <w:tcPr>
            <w:tcW w:type="dxa" w:w="2160"/>
            <w:shd w:fill="FFFFFF"/>
            <w:tcMar>
              <w:top w:w="50" w:type="dxa"/>
              <w:bottom w:w="50" w:type="dxa"/>
              <w:left w:w="80" w:type="dxa"/>
              <w:right w:w="80" w:type="dxa"/>
            </w:tcMar>
          </w:tcPr>
          <w:p>
            <w:r>
              <w:rPr>
                <w:sz w:val="18"/>
              </w:rPr>
              <w:t>Nullable</w:t>
            </w:r>
          </w:p>
        </w:tc>
        <w:tc>
          <w:tcPr>
            <w:tcW w:type="dxa" w:w="3312"/>
            <w:shd w:fill="FFFFFF"/>
            <w:tcMar>
              <w:top w:w="50" w:type="dxa"/>
              <w:bottom w:w="50" w:type="dxa"/>
              <w:left w:w="80" w:type="dxa"/>
              <w:right w:w="80" w:type="dxa"/>
            </w:tcMar>
          </w:tcPr>
          <w:p>
            <w:r>
              <w:rPr>
                <w:sz w:val="18"/>
              </w:rPr>
              <w:t>Stellar effective temperature from spectroscopic surveys (K).</w:t>
            </w:r>
          </w:p>
        </w:tc>
      </w:tr>
      <w:tr>
        <w:tc>
          <w:tcPr>
            <w:tcW w:type="dxa" w:w="2160"/>
            <w:shd w:fill="F9FBFD"/>
            <w:tcMar>
              <w:top w:w="50" w:type="dxa"/>
              <w:bottom w:w="50" w:type="dxa"/>
              <w:left w:w="80" w:type="dxa"/>
              <w:right w:w="80" w:type="dxa"/>
            </w:tcMar>
          </w:tcPr>
          <w:p>
            <w:r>
              <w:rPr>
                <w:b/>
                <w:sz w:val="18"/>
              </w:rPr>
              <w:t>fe_h</w:t>
            </w:r>
          </w:p>
        </w:tc>
        <w:tc>
          <w:tcPr>
            <w:tcW w:type="dxa" w:w="1728"/>
            <w:shd w:fill="F9FBFD"/>
            <w:tcMar>
              <w:top w:w="50" w:type="dxa"/>
              <w:bottom w:w="50" w:type="dxa"/>
              <w:left w:w="80" w:type="dxa"/>
              <w:right w:w="80" w:type="dxa"/>
            </w:tcMar>
          </w:tcPr>
          <w:p>
            <w:r>
              <w:rPr>
                <w:sz w:val="18"/>
              </w:rPr>
              <w:t>FLOAT</w:t>
            </w:r>
          </w:p>
        </w:tc>
        <w:tc>
          <w:tcPr>
            <w:tcW w:type="dxa" w:w="2160"/>
            <w:shd w:fill="F9FBFD"/>
            <w:tcMar>
              <w:top w:w="50" w:type="dxa"/>
              <w:bottom w:w="50" w:type="dxa"/>
              <w:left w:w="80" w:type="dxa"/>
              <w:right w:w="80" w:type="dxa"/>
            </w:tcMar>
          </w:tcPr>
          <w:p>
            <w:r>
              <w:rPr>
                <w:sz w:val="18"/>
              </w:rPr>
              <w:t>Nullable</w:t>
            </w:r>
          </w:p>
        </w:tc>
        <w:tc>
          <w:tcPr>
            <w:tcW w:type="dxa" w:w="3312"/>
            <w:shd w:fill="F9FBFD"/>
            <w:tcMar>
              <w:top w:w="50" w:type="dxa"/>
              <w:bottom w:w="50" w:type="dxa"/>
              <w:left w:w="80" w:type="dxa"/>
              <w:right w:w="80" w:type="dxa"/>
            </w:tcMar>
          </w:tcPr>
          <w:p>
            <w:r>
              <w:rPr>
                <w:sz w:val="18"/>
              </w:rPr>
              <w:t>Stellar metallicity log abundance relative to Sun (dex).</w:t>
            </w:r>
          </w:p>
        </w:tc>
      </w:tr>
    </w:tbl>
    <w:p>
      <w:pPr>
        <w:spacing w:before="200"/>
      </w:pPr>
      <w:r>
        <w:rPr>
          <w:b/>
        </w:rPr>
        <w:br/>
        <w:t>Table B: ExoplanetCandidate (Vetting Target Records)</w:t>
      </w:r>
    </w:p>
    <w:tbl>
      <w:tblPr>
        <w:tblW w:type="auto" w:w="0"/>
        <w:jc w:val="center"/>
        <w:tblLayout w:type="fixed"/>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c>
          <w:tcPr>
            <w:tcW w:type="dxa" w:w="2160"/>
            <w:shd w:fill="1B365D"/>
            <w:tcMar>
              <w:top w:w="60" w:type="dxa"/>
              <w:bottom w:w="60" w:type="dxa"/>
              <w:left w:w="80" w:type="dxa"/>
              <w:right w:w="80" w:type="dxa"/>
            </w:tcMar>
          </w:tcPr>
          <w:p>
            <w:r>
              <w:rPr>
                <w:b/>
                <w:color w:val="FFFFFF"/>
                <w:sz w:val="19"/>
              </w:rPr>
              <w:t>Column Name</w:t>
            </w:r>
          </w:p>
        </w:tc>
        <w:tc>
          <w:tcPr>
            <w:tcW w:type="dxa" w:w="1728"/>
            <w:shd w:fill="1B365D"/>
            <w:tcMar>
              <w:top w:w="60" w:type="dxa"/>
              <w:bottom w:w="60" w:type="dxa"/>
              <w:left w:w="80" w:type="dxa"/>
              <w:right w:w="80" w:type="dxa"/>
            </w:tcMar>
          </w:tcPr>
          <w:p>
            <w:r>
              <w:rPr>
                <w:b/>
                <w:color w:val="FFFFFF"/>
                <w:sz w:val="19"/>
              </w:rPr>
              <w:t>Data Type</w:t>
            </w:r>
          </w:p>
        </w:tc>
        <w:tc>
          <w:tcPr>
            <w:tcW w:type="dxa" w:w="2160"/>
            <w:shd w:fill="1B365D"/>
            <w:tcMar>
              <w:top w:w="60" w:type="dxa"/>
              <w:bottom w:w="60" w:type="dxa"/>
              <w:left w:w="80" w:type="dxa"/>
              <w:right w:w="80" w:type="dxa"/>
            </w:tcMar>
          </w:tcPr>
          <w:p>
            <w:r>
              <w:rPr>
                <w:b/>
                <w:color w:val="FFFFFF"/>
                <w:sz w:val="19"/>
              </w:rPr>
              <w:t>Constraints</w:t>
            </w:r>
          </w:p>
        </w:tc>
        <w:tc>
          <w:tcPr>
            <w:tcW w:type="dxa" w:w="3312"/>
            <w:shd w:fill="1B365D"/>
            <w:tcMar>
              <w:top w:w="60" w:type="dxa"/>
              <w:bottom w:w="60" w:type="dxa"/>
              <w:left w:w="80" w:type="dxa"/>
              <w:right w:w="80" w:type="dxa"/>
            </w:tcMar>
          </w:tcPr>
          <w:p>
            <w:r>
              <w:rPr>
                <w:b/>
                <w:color w:val="FFFFFF"/>
                <w:sz w:val="19"/>
              </w:rPr>
              <w:t>Description</w:t>
            </w:r>
          </w:p>
        </w:tc>
      </w:tr>
      <w:tr>
        <w:tc>
          <w:tcPr>
            <w:tcW w:type="dxa" w:w="2160"/>
            <w:shd w:fill="FFFFFF"/>
            <w:tcMar>
              <w:top w:w="50" w:type="dxa"/>
              <w:bottom w:w="50" w:type="dxa"/>
              <w:left w:w="80" w:type="dxa"/>
              <w:right w:w="80" w:type="dxa"/>
            </w:tcMar>
          </w:tcPr>
          <w:p>
            <w:r>
              <w:rPr>
                <w:b/>
                <w:sz w:val="18"/>
              </w:rPr>
              <w:t>id</w:t>
            </w:r>
          </w:p>
        </w:tc>
        <w:tc>
          <w:tcPr>
            <w:tcW w:type="dxa" w:w="1728"/>
            <w:shd w:fill="FFFFFF"/>
            <w:tcMar>
              <w:top w:w="50" w:type="dxa"/>
              <w:bottom w:w="50" w:type="dxa"/>
              <w:left w:w="80" w:type="dxa"/>
              <w:right w:w="80" w:type="dxa"/>
            </w:tcMar>
          </w:tcPr>
          <w:p>
            <w:r>
              <w:rPr>
                <w:sz w:val="18"/>
              </w:rPr>
              <w:t>UUID</w:t>
            </w:r>
          </w:p>
        </w:tc>
        <w:tc>
          <w:tcPr>
            <w:tcW w:type="dxa" w:w="2160"/>
            <w:shd w:fill="FFFFFF"/>
            <w:tcMar>
              <w:top w:w="50" w:type="dxa"/>
              <w:bottom w:w="50" w:type="dxa"/>
              <w:left w:w="80" w:type="dxa"/>
              <w:right w:w="80" w:type="dxa"/>
            </w:tcMar>
          </w:tcPr>
          <w:p>
            <w:r>
              <w:rPr>
                <w:sz w:val="18"/>
              </w:rPr>
              <w:t>PRIMARY KEY, Not Null</w:t>
            </w:r>
          </w:p>
        </w:tc>
        <w:tc>
          <w:tcPr>
            <w:tcW w:type="dxa" w:w="3312"/>
            <w:shd w:fill="FFFFFF"/>
            <w:tcMar>
              <w:top w:w="50" w:type="dxa"/>
              <w:bottom w:w="50" w:type="dxa"/>
              <w:left w:w="80" w:type="dxa"/>
              <w:right w:w="80" w:type="dxa"/>
            </w:tcMar>
          </w:tcPr>
          <w:p>
            <w:r>
              <w:rPr>
                <w:sz w:val="18"/>
              </w:rPr>
              <w:t>Unique internal candidate identifier.</w:t>
            </w:r>
          </w:p>
        </w:tc>
      </w:tr>
      <w:tr>
        <w:tc>
          <w:tcPr>
            <w:tcW w:type="dxa" w:w="2160"/>
            <w:shd w:fill="F9FBFD"/>
            <w:tcMar>
              <w:top w:w="50" w:type="dxa"/>
              <w:bottom w:w="50" w:type="dxa"/>
              <w:left w:w="80" w:type="dxa"/>
              <w:right w:w="80" w:type="dxa"/>
            </w:tcMar>
          </w:tcPr>
          <w:p>
            <w:r>
              <w:rPr>
                <w:b/>
                <w:sz w:val="18"/>
              </w:rPr>
              <w:t>host_id</w:t>
            </w:r>
          </w:p>
        </w:tc>
        <w:tc>
          <w:tcPr>
            <w:tcW w:type="dxa" w:w="1728"/>
            <w:shd w:fill="F9FBFD"/>
            <w:tcMar>
              <w:top w:w="50" w:type="dxa"/>
              <w:bottom w:w="50" w:type="dxa"/>
              <w:left w:w="80" w:type="dxa"/>
              <w:right w:w="80" w:type="dxa"/>
            </w:tcMar>
          </w:tcPr>
          <w:p>
            <w:r>
              <w:rPr>
                <w:sz w:val="18"/>
              </w:rPr>
              <w:t>UUID</w:t>
            </w:r>
          </w:p>
        </w:tc>
        <w:tc>
          <w:tcPr>
            <w:tcW w:type="dxa" w:w="2160"/>
            <w:shd w:fill="F9FBFD"/>
            <w:tcMar>
              <w:top w:w="50" w:type="dxa"/>
              <w:bottom w:w="50" w:type="dxa"/>
              <w:left w:w="80" w:type="dxa"/>
              <w:right w:w="80" w:type="dxa"/>
            </w:tcMar>
          </w:tcPr>
          <w:p>
            <w:r>
              <w:rPr>
                <w:sz w:val="18"/>
              </w:rPr>
              <w:t>FOREIGN KEY, Not Null</w:t>
            </w:r>
          </w:p>
        </w:tc>
        <w:tc>
          <w:tcPr>
            <w:tcW w:type="dxa" w:w="3312"/>
            <w:shd w:fill="F9FBFD"/>
            <w:tcMar>
              <w:top w:w="50" w:type="dxa"/>
              <w:bottom w:w="50" w:type="dxa"/>
              <w:left w:w="80" w:type="dxa"/>
              <w:right w:w="80" w:type="dxa"/>
            </w:tcMar>
          </w:tcPr>
          <w:p>
            <w:r>
              <w:rPr>
                <w:sz w:val="18"/>
              </w:rPr>
              <w:t>Reference to the host star row id.</w:t>
            </w:r>
          </w:p>
        </w:tc>
      </w:tr>
      <w:tr>
        <w:tc>
          <w:tcPr>
            <w:tcW w:type="dxa" w:w="2160"/>
            <w:shd w:fill="FFFFFF"/>
            <w:tcMar>
              <w:top w:w="50" w:type="dxa"/>
              <w:bottom w:w="50" w:type="dxa"/>
              <w:left w:w="80" w:type="dxa"/>
              <w:right w:w="80" w:type="dxa"/>
            </w:tcMar>
          </w:tcPr>
          <w:p>
            <w:r>
              <w:rPr>
                <w:b/>
                <w:sz w:val="18"/>
              </w:rPr>
              <w:t>pl_name</w:t>
            </w:r>
          </w:p>
        </w:tc>
        <w:tc>
          <w:tcPr>
            <w:tcW w:type="dxa" w:w="1728"/>
            <w:shd w:fill="FFFFFF"/>
            <w:tcMar>
              <w:top w:w="50" w:type="dxa"/>
              <w:bottom w:w="50" w:type="dxa"/>
              <w:left w:w="80" w:type="dxa"/>
              <w:right w:w="80" w:type="dxa"/>
            </w:tcMar>
          </w:tcPr>
          <w:p>
            <w:r>
              <w:rPr>
                <w:sz w:val="18"/>
              </w:rPr>
              <w:t>VARCHAR(64)</w:t>
            </w:r>
          </w:p>
        </w:tc>
        <w:tc>
          <w:tcPr>
            <w:tcW w:type="dxa" w:w="2160"/>
            <w:shd w:fill="FFFFFF"/>
            <w:tcMar>
              <w:top w:w="50" w:type="dxa"/>
              <w:bottom w:w="50" w:type="dxa"/>
              <w:left w:w="80" w:type="dxa"/>
              <w:right w:w="80" w:type="dxa"/>
            </w:tcMar>
          </w:tcPr>
          <w:p>
            <w:r>
              <w:rPr>
                <w:sz w:val="18"/>
              </w:rPr>
              <w:t>Unique, Not Null</w:t>
            </w:r>
          </w:p>
        </w:tc>
        <w:tc>
          <w:tcPr>
            <w:tcW w:type="dxa" w:w="3312"/>
            <w:shd w:fill="FFFFFF"/>
            <w:tcMar>
              <w:top w:w="50" w:type="dxa"/>
              <w:bottom w:w="50" w:type="dxa"/>
              <w:left w:w="80" w:type="dxa"/>
              <w:right w:w="80" w:type="dxa"/>
            </w:tcMar>
          </w:tcPr>
          <w:p>
            <w:r>
              <w:rPr>
                <w:sz w:val="18"/>
              </w:rPr>
              <w:t>Planet name identifier (e.g. TOI-700.01).</w:t>
            </w:r>
          </w:p>
        </w:tc>
      </w:tr>
      <w:tr>
        <w:tc>
          <w:tcPr>
            <w:tcW w:type="dxa" w:w="2160"/>
            <w:shd w:fill="F9FBFD"/>
            <w:tcMar>
              <w:top w:w="50" w:type="dxa"/>
              <w:bottom w:w="50" w:type="dxa"/>
              <w:left w:w="80" w:type="dxa"/>
              <w:right w:w="80" w:type="dxa"/>
            </w:tcMar>
          </w:tcPr>
          <w:p>
            <w:r>
              <w:rPr>
                <w:b/>
                <w:sz w:val="18"/>
              </w:rPr>
              <w:t>density_transit</w:t>
            </w:r>
          </w:p>
        </w:tc>
        <w:tc>
          <w:tcPr>
            <w:tcW w:type="dxa" w:w="1728"/>
            <w:shd w:fill="F9FBFD"/>
            <w:tcMar>
              <w:top w:w="50" w:type="dxa"/>
              <w:bottom w:w="50" w:type="dxa"/>
              <w:left w:w="80" w:type="dxa"/>
              <w:right w:w="80" w:type="dxa"/>
            </w:tcMar>
          </w:tcPr>
          <w:p>
            <w:r>
              <w:rPr>
                <w:sz w:val="18"/>
              </w:rPr>
              <w:t>FLOAT</w:t>
            </w:r>
          </w:p>
        </w:tc>
        <w:tc>
          <w:tcPr>
            <w:tcW w:type="dxa" w:w="2160"/>
            <w:shd w:fill="F9FBFD"/>
            <w:tcMar>
              <w:top w:w="50" w:type="dxa"/>
              <w:bottom w:w="50" w:type="dxa"/>
              <w:left w:w="80" w:type="dxa"/>
              <w:right w:w="80" w:type="dxa"/>
            </w:tcMar>
          </w:tcPr>
          <w:p>
            <w:r>
              <w:rPr>
                <w:sz w:val="18"/>
              </w:rPr>
              <w:t>Nullable</w:t>
            </w:r>
          </w:p>
        </w:tc>
        <w:tc>
          <w:tcPr>
            <w:tcW w:type="dxa" w:w="3312"/>
            <w:shd w:fill="F9FBFD"/>
            <w:tcMar>
              <w:top w:w="50" w:type="dxa"/>
              <w:bottom w:w="50" w:type="dxa"/>
              <w:left w:w="80" w:type="dxa"/>
              <w:right w:w="80" w:type="dxa"/>
            </w:tcMar>
          </w:tcPr>
          <w:p>
            <w:r>
              <w:rPr>
                <w:sz w:val="18"/>
              </w:rPr>
              <w:t>Mean stellar density derived from transit duration (g/cm³).</w:t>
            </w:r>
          </w:p>
        </w:tc>
      </w:tr>
      <w:tr>
        <w:tc>
          <w:tcPr>
            <w:tcW w:type="dxa" w:w="2160"/>
            <w:shd w:fill="FFFFFF"/>
            <w:tcMar>
              <w:top w:w="50" w:type="dxa"/>
              <w:bottom w:w="50" w:type="dxa"/>
              <w:left w:w="80" w:type="dxa"/>
              <w:right w:w="80" w:type="dxa"/>
            </w:tcMar>
          </w:tcPr>
          <w:p>
            <w:r>
              <w:rPr>
                <w:b/>
                <w:sz w:val="18"/>
              </w:rPr>
              <w:t>health_score</w:t>
            </w:r>
          </w:p>
        </w:tc>
        <w:tc>
          <w:tcPr>
            <w:tcW w:type="dxa" w:w="1728"/>
            <w:shd w:fill="FFFFFF"/>
            <w:tcMar>
              <w:top w:w="50" w:type="dxa"/>
              <w:bottom w:w="50" w:type="dxa"/>
              <w:left w:w="80" w:type="dxa"/>
              <w:right w:w="80" w:type="dxa"/>
            </w:tcMar>
          </w:tcPr>
          <w:p>
            <w:r>
              <w:rPr>
                <w:sz w:val="18"/>
              </w:rPr>
              <w:t>FLOAT</w:t>
            </w:r>
          </w:p>
        </w:tc>
        <w:tc>
          <w:tcPr>
            <w:tcW w:type="dxa" w:w="2160"/>
            <w:shd w:fill="FFFFFF"/>
            <w:tcMar>
              <w:top w:w="50" w:type="dxa"/>
              <w:bottom w:w="50" w:type="dxa"/>
              <w:left w:w="80" w:type="dxa"/>
              <w:right w:w="80" w:type="dxa"/>
            </w:tcMar>
          </w:tcPr>
          <w:p>
            <w:r>
              <w:rPr>
                <w:sz w:val="18"/>
              </w:rPr>
              <w:t>Nullable</w:t>
            </w:r>
          </w:p>
        </w:tc>
        <w:tc>
          <w:tcPr>
            <w:tcW w:type="dxa" w:w="3312"/>
            <w:shd w:fill="FFFFFF"/>
            <w:tcMar>
              <w:top w:w="50" w:type="dxa"/>
              <w:bottom w:w="50" w:type="dxa"/>
              <w:left w:w="80" w:type="dxa"/>
              <w:right w:w="80" w:type="dxa"/>
            </w:tcMar>
          </w:tcPr>
          <w:p>
            <w:r>
              <w:rPr>
                <w:sz w:val="18"/>
              </w:rPr>
              <w:t>0.0 - 100.0 calculated catalog agreement health score.</w:t>
            </w:r>
          </w:p>
        </w:tc>
      </w:tr>
      <w:tr>
        <w:tc>
          <w:tcPr>
            <w:tcW w:type="dxa" w:w="2160"/>
            <w:shd w:fill="F9FBFD"/>
            <w:tcMar>
              <w:top w:w="50" w:type="dxa"/>
              <w:bottom w:w="50" w:type="dxa"/>
              <w:left w:w="80" w:type="dxa"/>
              <w:right w:w="80" w:type="dxa"/>
            </w:tcMar>
          </w:tcPr>
          <w:p>
            <w:r>
              <w:rPr>
                <w:b/>
                <w:sz w:val="18"/>
              </w:rPr>
              <w:t>health_grade</w:t>
            </w:r>
          </w:p>
        </w:tc>
        <w:tc>
          <w:tcPr>
            <w:tcW w:type="dxa" w:w="1728"/>
            <w:shd w:fill="F9FBFD"/>
            <w:tcMar>
              <w:top w:w="50" w:type="dxa"/>
              <w:bottom w:w="50" w:type="dxa"/>
              <w:left w:w="80" w:type="dxa"/>
              <w:right w:w="80" w:type="dxa"/>
            </w:tcMar>
          </w:tcPr>
          <w:p>
            <w:r>
              <w:rPr>
                <w:sz w:val="18"/>
              </w:rPr>
              <w:t>VARCHAR(2)</w:t>
            </w:r>
          </w:p>
        </w:tc>
        <w:tc>
          <w:tcPr>
            <w:tcW w:type="dxa" w:w="2160"/>
            <w:shd w:fill="F9FBFD"/>
            <w:tcMar>
              <w:top w:w="50" w:type="dxa"/>
              <w:bottom w:w="50" w:type="dxa"/>
              <w:left w:w="80" w:type="dxa"/>
              <w:right w:w="80" w:type="dxa"/>
            </w:tcMar>
          </w:tcPr>
          <w:p>
            <w:r>
              <w:rPr>
                <w:sz w:val="18"/>
              </w:rPr>
              <w:t>Nullable</w:t>
            </w:r>
          </w:p>
        </w:tc>
        <w:tc>
          <w:tcPr>
            <w:tcW w:type="dxa" w:w="3312"/>
            <w:shd w:fill="F9FBFD"/>
            <w:tcMar>
              <w:top w:w="50" w:type="dxa"/>
              <w:bottom w:w="50" w:type="dxa"/>
              <w:left w:w="80" w:type="dxa"/>
              <w:right w:w="80" w:type="dxa"/>
            </w:tcMar>
          </w:tcPr>
          <w:p>
            <w:r>
              <w:rPr>
                <w:sz w:val="18"/>
              </w:rPr>
              <w:t>Vetting grade label (A, B, C, D, F).</w:t>
            </w:r>
          </w:p>
        </w:tc>
      </w:tr>
    </w:tbl>
    <w:p>
      <w:r>
        <w:br w:type="page"/>
      </w:r>
    </w:p>
    <w:p>
      <w:pPr>
        <w:keepNext/>
        <w:spacing w:before="160" w:after="80"/>
      </w:pPr>
      <w:r>
        <w:rPr>
          <w:rFonts w:ascii="Times New Roman" w:hAnsi="Times New Roman"/>
          <w:b/>
          <w:sz w:val="24"/>
        </w:rPr>
        <w:t>Artefact D: Physics Safety Audit Algorithm (Pseudocode)</w:t>
      </w:r>
    </w:p>
    <w:p>
      <w:pPr>
        <w:spacing w:before="80" w:after="240"/>
      </w:pPr>
      <w:r>
        <w:rPr>
          <w:rFonts w:ascii="Consolas" w:hAnsi="Consolas"/>
          <w:sz w:val="17"/>
        </w:rPr>
        <w:t>ALGORITHM: PhysicsSafetyAuditAndGrading</w:t>
        <w:br/>
        <w:t>INPUT:</w:t>
        <w:br/>
        <w:t xml:space="preserve">    P_model = [P_planet, P_eb, P_activity, P_noise]   // Output probabilities from DeepExoFusionNet</w:t>
        <w:br/>
        <w:t xml:space="preserve">    R_star_gaia, R_star_toi                          // Host star radius from Gaia and TOI catalogs</w:t>
        <w:br/>
        <w:t xml:space="preserve">    trandep_ppm                                      // Transit depth in parts-per-million</w:t>
        <w:br/>
        <w:t xml:space="preserve">    density_transit, density_gaia                    // Mean stellar density values</w:t>
        <w:br/>
        <w:t xml:space="preserve">    ruwe_gaia                                        // Gaia astrometric noise value</w:t>
        <w:br/>
        <w:t xml:space="preserve">    query_failed_flag                                // Flag representing catalog API timeout</w:t>
        <w:br/>
        <w:t>OUTPUT:</w:t>
        <w:br/>
        <w:t xml:space="preserve">    P_calibrated, HealthScore, HealthGrade</w:t>
        <w:br/>
        <w:br/>
        <w:t>BEGIN</w:t>
        <w:br/>
        <w:t xml:space="preserve">    // Step 1: Perform host star radius checks and calculate derived size</w:t>
        <w:br/>
        <w:t xml:space="preserve">    R_star_ref = (R_star_gaia != NULL) ? R_star_gaia : R_star_toi;</w:t>
        <w:br/>
        <w:t xml:space="preserve">    derived_rp_earth = R_star_ref * sqrt(trandep_ppm * 1e-6) * 109.2;</w:t>
        <w:br/>
        <w:t xml:space="preserve">    </w:t>
        <w:br/>
        <w:t xml:space="preserve">    // Step 2: Evaluate unphysical size override</w:t>
        <w:br/>
        <w:t xml:space="preserve">    is_unphysical = FALSE;</w:t>
        <w:br/>
        <w:t xml:space="preserve">    IF derived_rp_earth &gt; 22.0 THEN</w:t>
        <w:br/>
        <w:t xml:space="preserve">        is_unphysical = TRUE;</w:t>
        <w:br/>
        <w:t xml:space="preserve">        // Hard override to Eclipsing Binary class</w:t>
        <w:br/>
        <w:t xml:space="preserve">        P_calibrated = [0.02, 0.95, 0.02, 0.01];</w:t>
        <w:br/>
        <w:t xml:space="preserve">    ELSE</w:t>
        <w:br/>
        <w:t xml:space="preserve">        P_calibrated = P_model;</w:t>
        <w:br/>
        <w:t xml:space="preserve">    ENDIF</w:t>
        <w:br/>
        <w:br/>
        <w:t xml:space="preserve">    // Step 3: Compute catalog consistency deductions</w:t>
        <w:br/>
        <w:t xml:space="preserve">    health_score = 100.0;</w:t>
        <w:br/>
        <w:t xml:space="preserve">    </w:t>
        <w:br/>
        <w:t xml:space="preserve">    teff_delta = abs(Teff_toi - Teff_gaia);</w:t>
        <w:br/>
        <w:t xml:space="preserve">    health_score = health_score - min(25.0, teff_delta / 20.0);</w:t>
        <w:br/>
        <w:t xml:space="preserve">    </w:t>
        <w:br/>
        <w:t xml:space="preserve">    rad_delta = abs(R_star_toi - R_star_gaia);</w:t>
        <w:br/>
        <w:t xml:space="preserve">    health_score = health_score - min(25.0, rad_delta / 0.05);</w:t>
        <w:br/>
        <w:t xml:space="preserve">    </w:t>
        <w:br/>
        <w:t xml:space="preserve">    // Step 4: Evaluate astrometric companion wobble and density discrepancy</w:t>
        <w:br/>
        <w:t xml:space="preserve">    IF ruwe_gaia &gt; 1.4 THEN</w:t>
        <w:br/>
        <w:t xml:space="preserve">        health_score = health_score - 20.0;</w:t>
        <w:br/>
        <w:t xml:space="preserve">    ENDIF</w:t>
        <w:br/>
        <w:t xml:space="preserve">    </w:t>
        <w:br/>
        <w:t xml:space="preserve">    IF is_unphysical == TRUE THEN</w:t>
        <w:br/>
        <w:t xml:space="preserve">        health_score = health_score - 30.0;</w:t>
        <w:br/>
        <w:t xml:space="preserve">    ENDIF</w:t>
        <w:br/>
        <w:t xml:space="preserve">    </w:t>
        <w:br/>
        <w:t xml:space="preserve">    IF query_failed_flag == TRUE THEN</w:t>
        <w:br/>
        <w:t xml:space="preserve">        health_score = health_score - 15.0; // Deduct penalty during API downtime</w:t>
        <w:br/>
        <w:t xml:space="preserve">    ENDIF</w:t>
        <w:br/>
        <w:t xml:space="preserve">    </w:t>
        <w:br/>
        <w:t xml:space="preserve">    health_score = max(0.0, health_score);</w:t>
        <w:br/>
        <w:br/>
        <w:t xml:space="preserve">    // Step 5: Assign final letter grade</w:t>
        <w:br/>
        <w:t xml:space="preserve">    IF health_score &gt;= 90.0 THEN HealthGrade = "A";</w:t>
        <w:br/>
        <w:t xml:space="preserve">    ELSE IF health_score &gt;= 80.0 THEN HealthGrade = "B";</w:t>
        <w:br/>
        <w:t xml:space="preserve">    ELSE IF health_score &gt;= 70.0 THEN HealthGrade = "C";</w:t>
        <w:br/>
        <w:t xml:space="preserve">    ELSE IF health_score &gt;= 50.0 THEN HealthGrade = "D";</w:t>
        <w:br/>
        <w:t xml:space="preserve">    ELSE HealthGrade = "F";</w:t>
        <w:br/>
        <w:t xml:space="preserve">    ENDIF</w:t>
        <w:br/>
        <w:t xml:space="preserve">    </w:t>
        <w:br/>
        <w:t xml:space="preserve">    RETURN P_calibrated, health_score, HealthGrade;</w:t>
        <w:br/>
        <w:t>END</w:t>
      </w:r>
    </w:p>
    <w:p>
      <w:r>
        <w:br w:type="page"/>
      </w:r>
    </w:p>
    <w:p>
      <w:pPr>
        <w:keepNext/>
        <w:spacing w:before="240" w:after="120"/>
      </w:pPr>
      <w:r>
        <w:rPr>
          <w:rFonts w:ascii="Times New Roman" w:hAnsi="Times New Roman"/>
          <w:b/>
          <w:sz w:val="28"/>
        </w:rPr>
        <w:t>5. User Interface Design</w:t>
      </w:r>
    </w:p>
    <w:p>
      <w:r>
        <w:t>To achieve professional observatory standards, the front-end layout is built as a unified Next.js dashboard. The interface uses a curated dark observatory palette consisting of Deep Slate (#080C14) backgrounds, Sky Blue (#0EA5E9) telemetry text, and color-coded status badges. Below are mock-up wireframes of the four key views:</w:t>
      </w:r>
    </w:p>
    <w:p>
      <w:pPr>
        <w:keepNext/>
        <w:spacing w:before="160" w:after="80"/>
      </w:pPr>
      <w:r>
        <w:rPr>
          <w:rFonts w:ascii="Times New Roman" w:hAnsi="Times New Roman"/>
          <w:b/>
          <w:sz w:val="24"/>
        </w:rPr>
        <w:t>Screen A: Curator Portal Login Gateway</w:t>
      </w:r>
    </w:p>
    <w:p>
      <w:pPr>
        <w:jc w:val="center"/>
      </w:pPr>
      <w:r>
        <w:rPr>
          <w:rFonts w:ascii="Consolas" w:hAnsi="Consolas"/>
          <w:sz w:val="17"/>
        </w:rPr>
        <w:t>+----------------------------------------------------------------------------------+</w:t>
        <w:br/>
        <w:t>|                                                                                  |</w:t>
        <w:br/>
        <w:t>|                         EXOPLANET EVIDENCE FUSION NETWORK                        |</w:t>
        <w:br/>
        <w:t>|                                  [ EEFN V2 ]                                     |</w:t>
        <w:br/>
        <w:t>|                                                                                  |</w:t>
        <w:br/>
        <w:t>|       +------------------------------------------------------------------+       |</w:t>
        <w:br/>
        <w:t>|       |  Curator Security Authentication Gateway                         |       |</w:t>
        <w:br/>
        <w:t>|       |                                                                  |       |</w:t>
        <w:br/>
        <w:t>|       |  Username / Registry Email:                                      |       |</w:t>
        <w:br/>
        <w:t>|       |  [ j.surya@observatory.org                                    ]  |       |</w:t>
        <w:br/>
        <w:t>|       |                                                                  |       |</w:t>
        <w:br/>
        <w:t>|       |  Access Token / Password:                                        |       |</w:t>
        <w:br/>
        <w:t>|       |  [ ******************                                         ]  |       |</w:t>
        <w:br/>
        <w:t>|       |                                                                  |       |</w:t>
        <w:br/>
        <w:t>|       |  Observation Sector:                                             |       |</w:t>
        <w:br/>
        <w:t>|       |  [ TESS Sector 1-45 (Authoritative)                            v]|       |</w:t>
        <w:br/>
        <w:t>|       |                                                                  |       |</w:t>
        <w:br/>
        <w:t>|       |  [   AUTHENTICATE &amp; LOG IN   ]  [   Request Observatory Access  ]|       |</w:t>
        <w:br/>
        <w:t>|       |                                                                  |       |</w:t>
        <w:br/>
        <w:t>|       |  Security Warning: For authorized research personnel only.       |       |</w:t>
        <w:br/>
        <w:t>|       |  All access requests are logged under ISO 27001 standards.       |       |</w:t>
        <w:br/>
        <w:t>|       +------------------------------------------------------------------+       |</w:t>
        <w:br/>
        <w:t>|                                                                                  |</w:t>
        <w:br/>
        <w:t>|  System Status: ONLINE  | DB Records: 2,667  | Ingest Daemon: Active             |</w:t>
        <w:br/>
        <w:t>+----------------------------------------------------------------------------------+</w:t>
      </w:r>
    </w:p>
    <w:p>
      <w:pPr>
        <w:keepNext/>
        <w:spacing w:before="160" w:after="80"/>
      </w:pPr>
      <w:r>
        <w:rPr>
          <w:rFonts w:ascii="Times New Roman" w:hAnsi="Times New Roman"/>
          <w:b/>
          <w:sz w:val="24"/>
        </w:rPr>
        <w:t>Screen B: Vetting &amp; Diagnostics Dashboard</w:t>
      </w:r>
    </w:p>
    <w:p>
      <w:pPr>
        <w:spacing w:after="240"/>
        <w:jc w:val="center"/>
      </w:pPr>
      <w:r>
        <w:rPr>
          <w:rFonts w:ascii="Consolas" w:hAnsi="Consolas"/>
          <w:sz w:val="17"/>
        </w:rPr>
        <w:t>+----------------------------------------------------------------------------------+</w:t>
        <w:br/>
        <w:t>| ExoFusion-Net v2 | PIPELINE: ONLINE (ExoFusion-Net v2) | GAIA SYNC: 2026-07-27   |</w:t>
        <w:br/>
        <w:t>+----------------------------------------------------------------------------------+</w:t>
        <w:br/>
        <w:t>|                                                                                  |</w:t>
        <w:br/>
        <w:t>|  [METRICS SUMMARY]                                                               |</w:t>
        <w:br/>
        <w:t>|  Total Ingested: 50 | Grade A/B: 28 | Size Vetoes: 3 | Astrometric Wobble: 6     |</w:t>
        <w:br/>
        <w:t>|                                                                                  |</w:t>
        <w:br/>
        <w:t>|  +----------------------------------------------------------------------------+  |</w:t>
        <w:br/>
        <w:t>|  | SELECTED TARGET: TOI-1020.01 (TIC 182943945)              [GRADE B (84.9)] |  |</w:t>
        <w:br/>
        <w:t>|  | Host Star: Teff=6822K, Rad=1.42 R_sun | Period=14.85d | Depth=1420 ppm     |  |</w:t>
        <w:br/>
        <w:t>|  |                                                                            |  |</w:t>
        <w:br/>
        <w:t>|  |  [4-Branch NN Output]       [Catalog Discrepancy Matrix]   [Physics Audit] |  |</w:t>
        <w:br/>
        <w:t>|  |  - Planet:   94.2% [=====]  - Teff Delta:  18.2 K          - RUWE: 1.421   |  |</w:t>
        <w:br/>
        <w:t>|  |  - Binary:    3.1% [ ]      - Rad Delta:   0.04 R_sun      - Density: 1.2s |  |</w:t>
        <w:br/>
        <w:t>|  |  - Activity:  1.8% [ ]      - Dist Delta:  1.6 pc          - Rp: 3.62 Re   |  |</w:t>
        <w:br/>
        <w:t>|  |  - Noise:     0.9% [ ]      - Fe/H metall: -0.04 dex       - PM: Propagated|  |</w:t>
        <w:br/>
        <w:t>|  +----------------------------------------------------------------------------+  |</w:t>
        <w:br/>
        <w:t>|                                                                                  |</w:t>
        <w:br/>
        <w:t>|  [TARGET CATALOG VIEW]                                                           |</w:t>
        <w:br/>
        <w:t>|  Search TOI/TIC: [ 1020        ]  Filter: [All] [Grade A] [*Grade B*] [Grade C]  |</w:t>
        <w:br/>
        <w:t>|  +----------------------------------------------------------------------------+  |</w:t>
        <w:br/>
        <w:t>|  | Target       | Grade       | Disposition | Planet Radius | Depth  | Prob(%) |  |</w:t>
        <w:br/>
        <w:t>|  |--------------|-------------|-------------|---------------|--------|---------|  |</w:t>
        <w:br/>
        <w:t>|  | *TOI-1020.01*| *GRADE B*   | *CP*        | *3.62 Re*     |*1420p* | *94.2%* |  |</w:t>
        <w:br/>
        <w:t>|  | TOI-1017.01  | GRADE D     | FP          | 22.24 Re (Veto|16000p  |  2.0%   |  |</w:t>
        <w:br/>
        <w:t>|  | TOI-1025.01  | GRADE C     | PC          | 5.74 Re       | 2200p  | 54.0%   |  |</w:t>
        <w:br/>
        <w:t>|  +----------------------------------------------------------------------------+  |</w:t>
        <w:br/>
        <w:t>+----------------------------------------------------------------------------------+</w:t>
      </w:r>
    </w:p>
    <w:p>
      <w:r>
        <w:br w:type="page"/>
      </w:r>
    </w:p>
    <w:p>
      <w:pPr>
        <w:keepNext/>
        <w:spacing w:before="160" w:after="80"/>
      </w:pPr>
      <w:r>
        <w:rPr>
          <w:rFonts w:ascii="Times New Roman" w:hAnsi="Times New Roman"/>
          <w:b/>
          <w:sz w:val="24"/>
        </w:rPr>
        <w:t>Screen C: Data Entry / Catalog Ingestion Panel</w:t>
      </w:r>
    </w:p>
    <w:p>
      <w:pPr>
        <w:jc w:val="center"/>
      </w:pPr>
      <w:r>
        <w:rPr>
          <w:rFonts w:ascii="Consolas" w:hAnsi="Consolas"/>
          <w:sz w:val="17"/>
        </w:rPr>
        <w:t>+----------------------------------------------------------------------------------+</w:t>
        <w:br/>
        <w:t>| Ingestion Panel | Sector Config | Task Scheduler | Ingestion Sync Logs           |</w:t>
        <w:br/>
        <w:t>+----------------------------------------------------------------------------------+</w:t>
        <w:br/>
        <w:t>|                                                                                  |</w:t>
        <w:br/>
        <w:t>|  [ INGESTION MODE SELECTION ]                                                    |</w:t>
        <w:br/>
        <w:t>|  (*) Batch Catalog Sync  ( ) Manual Target Ingestion  ( ) CSV Ingestion          |</w:t>
        <w:br/>
        <w:t>|                                                                                  |</w:t>
        <w:br/>
        <w:t>|  +----------------------------------------------------------------------------+  |</w:t>
        <w:br/>
        <w:t>|  | MANUAL TARGET COORDINATES INGEST                                           |  |</w:t>
        <w:br/>
        <w:t>|  |                                                                            |  |</w:t>
        <w:br/>
        <w:t>|  |  Target TOI ID:      [ TOI-1028.01 ]      Stellar Host Name: [ TIC 182945201]  |  |</w:t>
        <w:br/>
        <w:t>|  |  Right Ascension:    [ 80.9312°    ]      Declination:       [ -63.1812°   ]  |  |</w:t>
        <w:br/>
        <w:t>|  |  PM Right Ascension: [ 45.2 mas/yr ]      PM Declination:    [ -35.8 mas/yr]  |  |</w:t>
        <w:br/>
        <w:t>|  |                                                                            |  |</w:t>
        <w:br/>
        <w:t>|  |  TAP Cross-Check:    [X] Gaia DR3   [X] 2MASS   [X] APOGEE   [ ] Pan-STARRS|  |</w:t>
        <w:br/>
        <w:t>|  |                                                                            |  |</w:t>
        <w:br/>
        <w:t>|  |  [   INITIATE PM epoch CORRELATION &amp; INGEST   ] [ Reset Fields ]            |  |</w:t>
        <w:br/>
        <w:t>|  +----------------------------------------------------------------------------+  |</w:t>
        <w:br/>
        <w:t>|                                                                                  |</w:t>
        <w:br/>
        <w:t>|  +----------------------------------------------------------------------------+  |</w:t>
        <w:br/>
        <w:t>|  | CSV INGESTION PORTAL                                                       |  |</w:t>
        <w:br/>
        <w:t>|  |  +----------------------------------------------------------------------+  |  |</w:t>
        <w:br/>
        <w:t>|  |  | Drag and drop catalog csv file here or click to browse files.        |  |  |</w:t>
        <w:br/>
        <w:t>|  |  | [ Acceptable schema: pl_name, toi_id, trandep, trandurh, rade ]      |  |  |</w:t>
        <w:br/>
        <w:t>|  |  +----------------------------------------------------------------------+  |  |</w:t>
        <w:br/>
        <w:t>|  |  [   PROCESS BULK INGESTION   ]                                            |  |</w:t>
        <w:br/>
        <w:t>|  +----------------------------------------------------------------------------+  |</w:t>
        <w:br/>
        <w:t>+----------------------------------------------------------------------------------+</w:t>
      </w:r>
    </w:p>
    <w:p>
      <w:pPr>
        <w:keepNext/>
        <w:spacing w:before="160" w:after="80"/>
      </w:pPr>
      <w:r>
        <w:rPr>
          <w:rFonts w:ascii="Times New Roman" w:hAnsi="Times New Roman"/>
          <w:b/>
          <w:sz w:val="24"/>
        </w:rPr>
        <w:t>Screen D: Results &amp; Validation Report</w:t>
      </w:r>
    </w:p>
    <w:p>
      <w:pPr>
        <w:jc w:val="center"/>
      </w:pPr>
      <w:r>
        <w:rPr>
          <w:rFonts w:ascii="Consolas" w:hAnsi="Consolas"/>
          <w:sz w:val="17"/>
        </w:rPr>
        <w:t>+----------------------------------------------------------------------------------+</w:t>
        <w:br/>
        <w:t>| Validation Report | Target: TOI-1017.01 | Ingest ID: b84f938d-192a-4122-bc22      |</w:t>
        <w:br/>
        <w:t>+----------------------------------------------------------------------------------+</w:t>
        <w:br/>
        <w:t>|                                                                                  |</w:t>
        <w:br/>
        <w:t>|  [ DETAILED VALIDATION REPORT SUMMARY ]                                          |</w:t>
        <w:br/>
        <w:t>|  - Target Host Star: TIC 182943944     - Orbital Period: 9.22 days               |</w:t>
        <w:br/>
        <w:t>|  - Derived planet radius: 22.24 Re     - Evidence Grade: GRADE D (Risk)          |</w:t>
        <w:br/>
        <w:t>|                                                                                  |</w:t>
        <w:br/>
        <w:t>|  +-------------------------------------+  +-----------------------------------+  |</w:t>
        <w:br/>
        <w:t>|  | TRANSIT LIGHT CURVE DATA            |  | NEURAL NET CLASS PROBABILITIES    |  |</w:t>
        <w:br/>
        <w:t>|  |                                     |  |                                   |  |</w:t>
        <w:br/>
        <w:t>|  | Flux                                |  |  Planet Transit:     2.0%  [ ]    |  |</w:t>
        <w:br/>
        <w:t>|  | 1.00 - - - - - - - - - -            |  |  Eclipsing Binary:  95.0%  [====] |  |</w:t>
        <w:br/>
        <w:t>|  | 0.99      /      \                  |  |  Stellar Activity:   2.0%  [ ]    |  |</w:t>
        <w:br/>
        <w:t>|  | 0.98 ____/        \____             |  |  Instrumental Noise: 1.0%  [ ]    |  |</w:t>
        <w:br/>
        <w:t>|  |     -0.04   0.00   +0.04 Phase (d)  |  |                                   |  |</w:t>
        <w:br/>
        <w:t>|  +-------------------------------------+  +-----------------------------------+  |</w:t>
        <w:br/>
        <w:t>|                                                                                  |</w:t>
        <w:br/>
        <w:t>|  +----------------------------------------------------------------------------+  |</w:t>
        <w:br/>
        <w:t>|  | DETAILED RECONCILIATION AUDIT MATRIX                                       |  |</w:t>
        <w:br/>
        <w:t>|  |  1. Derived Planet size (22.24 Re) exceeds the 2.0 R_Jup boundary.            |  |</w:t>
        <w:br/>
        <w:t>|  |  2. Gaia RUWE is 0.858 (Astrometric stability confirmed).                  |  |</w:t>
        <w:br/>
        <w:t>|  |  3. Host star size discrepancy: TOI = 1.61 R_sun vs Gaia = 1.627 R_sun.      |  |</w:t>
        <w:br/>
        <w:t>|  |  [OVERRIDE APPLIED]: Neural net shape classification (Planet Transit) is    |  |</w:t>
        <w:br/>
        <w:t>|  |  overridden to Eclipsing Binary due to stellar radius enlargements.         |  |</w:t>
        <w:br/>
        <w:t>|  |                                                                            |  |</w:t>
        <w:br/>
        <w:t>|  |  [   EXPORT TO PDF   ]   [   FLAG FOR REVIEW   ]   [   APPROVE TARGET   ]  |  |</w:t>
        <w:br/>
        <w:t>|  +----------------------------------------------------------------------------+  |</w:t>
        <w:br/>
        <w:t>+----------------------------------------------------------------------------------+</w:t>
      </w:r>
    </w:p>
    <w:p>
      <w:pPr>
        <w:keepNext/>
        <w:spacing w:before="160" w:after="80"/>
      </w:pPr>
      <w:r>
        <w:rPr>
          <w:rFonts w:ascii="Times New Roman" w:hAnsi="Times New Roman"/>
          <w:b/>
          <w:sz w:val="24"/>
        </w:rPr>
        <w:t>UI Design Best Practices Implemented:</w:t>
      </w:r>
    </w:p>
    <w:p>
      <w:r>
        <w:rPr>
          <w:b/>
        </w:rPr>
        <w:t xml:space="preserve">• High Information Density: </w:t>
      </w:r>
      <w:r>
        <w:t>Presents time-series, catalog parameters, and network classifications in a single view to eliminate tab-switching.</w:t>
      </w:r>
    </w:p>
    <w:p>
      <w:r>
        <w:rPr>
          <w:b/>
        </w:rPr>
        <w:t xml:space="preserve">• Immediate Visual Hierarchy: </w:t>
      </w:r>
      <w:r>
        <w:t>Grade letter colors (Green for A/B, Red for D/F) draw immediate focus to unphysical data anomalies.</w:t>
      </w:r>
    </w:p>
    <w:p>
      <w:r>
        <w:rPr>
          <w:b/>
        </w:rPr>
        <w:t xml:space="preserve">• Non-Intrusive Telemetry: </w:t>
      </w:r>
      <w:r>
        <w:t>The header bar displays live sync status, active alert indicators, and API status without cluttering workspace components.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