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6CD2FA5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REVIEWER NAME </w:t>
      </w:r>
      <w:r w:rsidRPr="00560E74">
        <w:rPr>
          <w:bCs/>
          <w:color w:val="000000"/>
          <w:sz w:val="24"/>
          <w:szCs w:val="24"/>
        </w:rPr>
        <w:t>________</w:t>
      </w:r>
      <w:r w:rsidR="00560E74" w:rsidRPr="00560E74">
        <w:rPr>
          <w:bCs/>
          <w:color w:val="000000"/>
          <w:sz w:val="24"/>
          <w:szCs w:val="24"/>
        </w:rPr>
        <w:t>_______</w:t>
      </w:r>
      <w:r w:rsidR="000E0F20" w:rsidRPr="00560E74">
        <w:rPr>
          <w:bCs/>
          <w:color w:val="000000"/>
          <w:sz w:val="24"/>
          <w:szCs w:val="24"/>
          <w:u w:val="single"/>
        </w:rPr>
        <w:t>J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aya</w:t>
      </w:r>
      <w:r w:rsidRPr="00560E74">
        <w:rPr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18F95A3B" w:rsidR="00877226" w:rsidRPr="00560E74" w:rsidRDefault="00877226" w:rsidP="00877226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REVIEWEE NAME </w:t>
      </w:r>
      <w:r w:rsidRPr="00560E74">
        <w:rPr>
          <w:b/>
          <w:bCs/>
          <w:color w:val="000000"/>
          <w:sz w:val="24"/>
          <w:szCs w:val="24"/>
        </w:rPr>
        <w:t>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="00560E74" w:rsidRPr="00496DCD">
        <w:rPr>
          <w:b/>
          <w:bCs/>
          <w:color w:val="000000"/>
          <w:sz w:val="24"/>
          <w:szCs w:val="24"/>
          <w:u w:val="single"/>
        </w:rPr>
        <w:t>_</w:t>
      </w:r>
      <w:r w:rsidR="00496DCD" w:rsidRPr="00496DCD">
        <w:rPr>
          <w:bCs/>
          <w:color w:val="000000"/>
          <w:sz w:val="24"/>
          <w:szCs w:val="24"/>
          <w:u w:val="single"/>
        </w:rPr>
        <w:t>Hogan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6C24C3D" w14:textId="77777777" w:rsidR="00811DB8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  <w:p w14:paraId="54331DCD" w14:textId="74FD4C9D" w:rsidR="00E30885" w:rsidRPr="00E30885" w:rsidRDefault="00E3088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1C7BFA82" w:rsidR="00811DB8" w:rsidRPr="00560E74" w:rsidRDefault="0085367C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3%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bookmarkStart w:id="0" w:name="OLE_LINK1"/>
            <w:bookmarkStart w:id="1" w:name="OLE_LINK2"/>
            <w:r w:rsidRPr="00877226">
              <w:rPr>
                <w:b/>
                <w:bCs/>
                <w:sz w:val="24"/>
                <w:szCs w:val="24"/>
              </w:rPr>
              <w:t>Content</w:t>
            </w:r>
            <w:bookmarkEnd w:id="0"/>
            <w:bookmarkEnd w:id="1"/>
            <w:r w:rsidRPr="00877226">
              <w:rPr>
                <w:b/>
                <w:bCs/>
                <w:sz w:val="24"/>
                <w:szCs w:val="24"/>
              </w:rPr>
              <w:t xml:space="preserve">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6F33302A" w:rsidR="00811DB8" w:rsidRPr="00560E74" w:rsidRDefault="0085367C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5%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ACB4FA7" w:rsidR="00811DB8" w:rsidRPr="00560E74" w:rsidRDefault="0085367C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93</w:t>
            </w:r>
            <w:bookmarkStart w:id="2" w:name="_GoBack"/>
            <w:bookmarkEnd w:id="2"/>
            <w:r>
              <w:rPr>
                <w:rFonts w:eastAsiaTheme="minor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2EBE0F9F" w:rsidR="00811DB8" w:rsidRPr="00560E74" w:rsidRDefault="0085367C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>85%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2225C0BD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94DD692" w14:textId="6AD5FFA6" w:rsidR="00877226" w:rsidRPr="00560E74" w:rsidRDefault="0085367C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634AA1C2" w:rsidR="00A95895" w:rsidRPr="00560E74" w:rsidRDefault="0085367C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5FFC3828" w:rsidR="00A95895" w:rsidRPr="00560E74" w:rsidRDefault="0085367C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06743817" w14:textId="00C7C14B" w:rsidR="00877226" w:rsidRDefault="00877226" w:rsidP="00560E74">
            <w:pPr>
              <w:ind w:right="120"/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A4F06C2" w14:textId="77777777" w:rsidR="00560E74" w:rsidRDefault="00560E74" w:rsidP="00560E74">
            <w:pPr>
              <w:ind w:right="120"/>
              <w:jc w:val="right"/>
              <w:rPr>
                <w:sz w:val="24"/>
                <w:szCs w:val="24"/>
              </w:rPr>
            </w:pPr>
          </w:p>
          <w:p w14:paraId="33987F42" w14:textId="40CEAA52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C56C397" w14:textId="34DCDC97" w:rsidR="00877226" w:rsidRPr="00560E74" w:rsidRDefault="0085367C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6F73A545" w:rsidR="00877226" w:rsidRPr="00560E74" w:rsidRDefault="0085367C" w:rsidP="00560E74">
            <w:pPr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83%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63E8F58A" w:rsidR="006B6F05" w:rsidRPr="00560E74" w:rsidRDefault="0085367C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2E18FD41" w:rsidR="006B6F05" w:rsidRPr="00560E74" w:rsidRDefault="0085367C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328106B2" w:rsidR="006B6F05" w:rsidRPr="00560E74" w:rsidRDefault="0085367C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3738A043" w:rsidR="006B6F05" w:rsidRPr="00560E74" w:rsidRDefault="0085367C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560E74">
            <w:pPr>
              <w:ind w:right="480"/>
              <w:rPr>
                <w:sz w:val="24"/>
                <w:szCs w:val="24"/>
              </w:rPr>
            </w:pPr>
          </w:p>
          <w:p w14:paraId="33B8A45E" w14:textId="6205E80E" w:rsidR="006B6F05" w:rsidRPr="00560E74" w:rsidRDefault="0085367C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241B4FE9" w:rsidR="006B6F05" w:rsidRPr="00560E74" w:rsidRDefault="0085367C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75%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157A7BCD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16EC2182" w14:textId="304A845E" w:rsidR="00560E74" w:rsidRPr="00560E74" w:rsidRDefault="0085367C" w:rsidP="00F3281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lthough</w:t>
      </w:r>
      <w:r>
        <w:rPr>
          <w:rFonts w:eastAsiaTheme="minorEastAsia"/>
          <w:lang w:eastAsia="zh-CN"/>
        </w:rPr>
        <w:t xml:space="preserve"> the web </w:t>
      </w:r>
      <w:r>
        <w:rPr>
          <w:rFonts w:eastAsiaTheme="minorEastAsia" w:hint="eastAsia"/>
          <w:lang w:eastAsia="zh-CN"/>
        </w:rPr>
        <w:t>p</w:t>
      </w:r>
      <w:r w:rsidRPr="0085367C">
        <w:rPr>
          <w:rFonts w:eastAsiaTheme="minorEastAsia"/>
          <w:lang w:eastAsia="zh-CN"/>
        </w:rPr>
        <w:t>ushes the boundaries of traditional web design</w:t>
      </w:r>
      <w:r>
        <w:rPr>
          <w:rFonts w:eastAsiaTheme="minorEastAsia"/>
          <w:lang w:eastAsia="zh-CN"/>
        </w:rPr>
        <w:t xml:space="preserve">. </w:t>
      </w:r>
      <w:r w:rsidRPr="0085367C">
        <w:rPr>
          <w:rFonts w:eastAsiaTheme="minorEastAsia"/>
          <w:lang w:eastAsia="zh-CN"/>
        </w:rPr>
        <w:t>it is not convenient to use the mobile phone interface on the web page. What’s great is that the menu images can be clicked and can be clicked back to the menu.</w:t>
      </w:r>
    </w:p>
    <w:sectPr w:rsidR="00560E74" w:rsidRPr="00560E74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A72B3" w14:textId="77777777" w:rsidR="00560ACD" w:rsidRDefault="00560ACD" w:rsidP="00811DB8">
      <w:r>
        <w:separator/>
      </w:r>
    </w:p>
  </w:endnote>
  <w:endnote w:type="continuationSeparator" w:id="0">
    <w:p w14:paraId="7A9F1663" w14:textId="77777777" w:rsidR="00560ACD" w:rsidRDefault="00560ACD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78FC" w14:textId="77777777" w:rsidR="00560ACD" w:rsidRDefault="00560ACD" w:rsidP="00811DB8">
      <w:r>
        <w:separator/>
      </w:r>
    </w:p>
  </w:footnote>
  <w:footnote w:type="continuationSeparator" w:id="0">
    <w:p w14:paraId="1E5CD902" w14:textId="77777777" w:rsidR="00560ACD" w:rsidRDefault="00560ACD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0E0F20"/>
    <w:rsid w:val="00140758"/>
    <w:rsid w:val="00152D58"/>
    <w:rsid w:val="0025383B"/>
    <w:rsid w:val="00496DCD"/>
    <w:rsid w:val="00560ACD"/>
    <w:rsid w:val="00560E74"/>
    <w:rsid w:val="0062150B"/>
    <w:rsid w:val="006915CF"/>
    <w:rsid w:val="006B6F05"/>
    <w:rsid w:val="00770B16"/>
    <w:rsid w:val="00771E58"/>
    <w:rsid w:val="00811DB8"/>
    <w:rsid w:val="0085367C"/>
    <w:rsid w:val="00877226"/>
    <w:rsid w:val="00880A9C"/>
    <w:rsid w:val="009D32F5"/>
    <w:rsid w:val="009F6E73"/>
    <w:rsid w:val="00A6293E"/>
    <w:rsid w:val="00A95895"/>
    <w:rsid w:val="00AB2D75"/>
    <w:rsid w:val="00B36F59"/>
    <w:rsid w:val="00BB2810"/>
    <w:rsid w:val="00BC6EAD"/>
    <w:rsid w:val="00BD6BE9"/>
    <w:rsid w:val="00C50810"/>
    <w:rsid w:val="00C66E89"/>
    <w:rsid w:val="00E30885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hu jiayue</cp:lastModifiedBy>
  <cp:revision>3</cp:revision>
  <dcterms:created xsi:type="dcterms:W3CDTF">2018-04-27T15:21:00Z</dcterms:created>
  <dcterms:modified xsi:type="dcterms:W3CDTF">2018-04-27T15:57:00Z</dcterms:modified>
</cp:coreProperties>
</file>